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736F9"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Exchange Rate Volatility, Blue Economy, and Shipping Industry Financial Performance in Nigeria</w:t>
      </w:r>
    </w:p>
    <w:p w14:paraId="79F49A10"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37C74D13"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73E4B614"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282A17DA"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71E1BFF6"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7C8E424A"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Mina Enaikpobomene IREJEH</w:t>
      </w:r>
    </w:p>
    <w:p w14:paraId="78920FE2"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PG/MGS2015540</w:t>
      </w:r>
    </w:p>
    <w:p w14:paraId="16784CD0"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202776D8"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2507078D"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19B95FDA"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779EE770" w14:textId="77777777" w:rsidR="00020B08" w:rsidRPr="00EA38DE" w:rsidRDefault="00020B08" w:rsidP="00020B08">
      <w:pPr>
        <w:spacing w:after="0" w:line="240" w:lineRule="auto"/>
        <w:rPr>
          <w:rFonts w:ascii="Times New Roman" w:eastAsia="SimSun" w:hAnsi="Times New Roman" w:cs="Times New Roman"/>
          <w:b/>
          <w:sz w:val="28"/>
          <w:szCs w:val="28"/>
          <w:lang w:eastAsia="zh-CN"/>
        </w:rPr>
      </w:pPr>
    </w:p>
    <w:p w14:paraId="2621AB33"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p>
    <w:p w14:paraId="74B19293"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p>
    <w:p w14:paraId="5B510371"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DEPARTMENT OF FINANCE</w:t>
      </w:r>
    </w:p>
    <w:p w14:paraId="4DFDF193"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FACULTY OF MANAGEMENT SCIENCES</w:t>
      </w:r>
    </w:p>
    <w:p w14:paraId="222960FB"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UNIVERSITY OF BENIN</w:t>
      </w:r>
    </w:p>
    <w:p w14:paraId="287A4916"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BENIN CITY</w:t>
      </w:r>
    </w:p>
    <w:p w14:paraId="7652AAE7"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5C735EEC"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510D5914"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081F29D6"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2E94BADA"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1AD11B4F"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63115E91"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2C65DBB6"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5AAA9255" w14:textId="0B5F8ECB" w:rsidR="00020B08" w:rsidRPr="00EA38DE" w:rsidRDefault="00F0123D"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JANUARY</w:t>
      </w:r>
      <w:r w:rsidR="00020B08" w:rsidRPr="00EA38DE">
        <w:rPr>
          <w:rFonts w:ascii="Times New Roman" w:eastAsia="SimSun" w:hAnsi="Times New Roman" w:cs="Times New Roman"/>
          <w:b/>
          <w:sz w:val="28"/>
          <w:szCs w:val="28"/>
          <w:lang w:eastAsia="zh-CN"/>
        </w:rPr>
        <w:t>, 202</w:t>
      </w:r>
      <w:r w:rsidR="00EA5956" w:rsidRPr="00EA38DE">
        <w:rPr>
          <w:rFonts w:ascii="Times New Roman" w:eastAsia="SimSun" w:hAnsi="Times New Roman" w:cs="Times New Roman"/>
          <w:b/>
          <w:sz w:val="28"/>
          <w:szCs w:val="28"/>
          <w:lang w:eastAsia="zh-CN"/>
        </w:rPr>
        <w:t>6</w:t>
      </w:r>
    </w:p>
    <w:p w14:paraId="5CBCB014"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lastRenderedPageBreak/>
        <w:t>Exchange Rate Volatility, Blue Economy, and Shipping Industry Financial Performance in Nigeria</w:t>
      </w:r>
    </w:p>
    <w:p w14:paraId="4DBBCA01"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384160EE"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3F3058C3"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3CCA0390"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2CF7732C"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2C0A19E1"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1A8F9DBD"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12A31CB3"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Mina Enaikpobomene IREJEH</w:t>
      </w:r>
    </w:p>
    <w:p w14:paraId="1690CBFB"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PG/MGS2015540</w:t>
      </w:r>
    </w:p>
    <w:p w14:paraId="4BEE2490"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09FD93FD"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6023050F"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3A85FA79"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40E6CE9F"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71917B5B"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75364AD7" w14:textId="5C716788" w:rsidR="00020B08" w:rsidRPr="00EA38DE" w:rsidRDefault="00020B08" w:rsidP="00020B08">
      <w:pPr>
        <w:jc w:val="center"/>
        <w:rPr>
          <w:rFonts w:ascii="Times New Roman" w:hAnsi="Times New Roman" w:cs="Times New Roman"/>
          <w:b/>
          <w:sz w:val="24"/>
          <w:szCs w:val="24"/>
        </w:rPr>
      </w:pPr>
      <w:r w:rsidRPr="00EA38DE">
        <w:rPr>
          <w:rFonts w:ascii="Times New Roman" w:hAnsi="Times New Roman" w:cs="Times New Roman"/>
          <w:b/>
          <w:sz w:val="24"/>
          <w:szCs w:val="24"/>
        </w:rPr>
        <w:t>BEING A DISSERTATION WRITTEN IN THE DEPARTMENT OF FINANCE AND SUBMITED TO THE COLLEGE OF POSTGRADUATE STUDIES IN PARTIAL FULFILMENT OF THE REQUIREMENTS FOR THE AWARD OF THE DEGREE OF DOCTOR OF PHILOSOPHY (Ph.D</w:t>
      </w:r>
      <w:r w:rsidR="00883FD6" w:rsidRPr="00EA38DE">
        <w:rPr>
          <w:rFonts w:ascii="Times New Roman" w:hAnsi="Times New Roman" w:cs="Times New Roman"/>
          <w:b/>
          <w:sz w:val="24"/>
          <w:szCs w:val="24"/>
        </w:rPr>
        <w:t>.</w:t>
      </w:r>
      <w:r w:rsidRPr="00EA38DE">
        <w:rPr>
          <w:rFonts w:ascii="Times New Roman" w:hAnsi="Times New Roman" w:cs="Times New Roman"/>
          <w:b/>
          <w:sz w:val="24"/>
          <w:szCs w:val="24"/>
        </w:rPr>
        <w:t>) IN FINANCE, UNIVERSITY OF BENIN, BENIN CITY, EDO STATE, NIGERIA.</w:t>
      </w:r>
    </w:p>
    <w:p w14:paraId="3EE212D1" w14:textId="77777777" w:rsidR="00020B08" w:rsidRPr="00EA38DE" w:rsidRDefault="00020B08" w:rsidP="00020B08">
      <w:pPr>
        <w:jc w:val="center"/>
        <w:rPr>
          <w:rFonts w:ascii="Times New Roman" w:hAnsi="Times New Roman" w:cs="Times New Roman"/>
          <w:b/>
          <w:sz w:val="24"/>
          <w:szCs w:val="24"/>
        </w:rPr>
      </w:pPr>
    </w:p>
    <w:p w14:paraId="01F8A762"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3B3A0AB5"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p>
    <w:p w14:paraId="3CB98CC3"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p>
    <w:p w14:paraId="3559D880" w14:textId="77777777" w:rsidR="00020B08" w:rsidRPr="00EA38DE" w:rsidRDefault="00020B08" w:rsidP="00020B08">
      <w:pPr>
        <w:spacing w:after="0" w:line="240" w:lineRule="auto"/>
        <w:jc w:val="center"/>
        <w:rPr>
          <w:rFonts w:ascii="Times New Roman" w:eastAsia="SimSun" w:hAnsi="Times New Roman" w:cs="Times New Roman"/>
          <w:b/>
          <w:sz w:val="28"/>
          <w:szCs w:val="28"/>
          <w:lang w:eastAsia="zh-CN"/>
        </w:rPr>
      </w:pPr>
    </w:p>
    <w:p w14:paraId="52D3812A"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170EF9DC" w14:textId="77777777" w:rsidR="00020B08" w:rsidRPr="00EA38DE" w:rsidRDefault="00020B08" w:rsidP="00020B08">
      <w:pPr>
        <w:spacing w:line="240" w:lineRule="auto"/>
        <w:jc w:val="center"/>
        <w:rPr>
          <w:rFonts w:ascii="Times New Roman" w:eastAsia="SimSun" w:hAnsi="Times New Roman" w:cs="Times New Roman"/>
          <w:b/>
          <w:sz w:val="28"/>
          <w:szCs w:val="28"/>
          <w:lang w:eastAsia="zh-CN"/>
        </w:rPr>
      </w:pPr>
    </w:p>
    <w:p w14:paraId="349418FB" w14:textId="48875747" w:rsidR="00020B08" w:rsidRPr="00EA38DE" w:rsidRDefault="00F0123D" w:rsidP="00020B08">
      <w:pPr>
        <w:spacing w:line="240" w:lineRule="auto"/>
        <w:jc w:val="center"/>
        <w:rPr>
          <w:rFonts w:ascii="Times New Roman" w:eastAsia="SimSun" w:hAnsi="Times New Roman" w:cs="Times New Roman"/>
          <w:b/>
          <w:sz w:val="28"/>
          <w:szCs w:val="28"/>
          <w:lang w:eastAsia="zh-CN"/>
        </w:rPr>
      </w:pPr>
      <w:r w:rsidRPr="00EA38DE">
        <w:rPr>
          <w:rFonts w:ascii="Times New Roman" w:eastAsia="SimSun" w:hAnsi="Times New Roman" w:cs="Times New Roman"/>
          <w:b/>
          <w:sz w:val="28"/>
          <w:szCs w:val="28"/>
          <w:lang w:eastAsia="zh-CN"/>
        </w:rPr>
        <w:t>JANUARY</w:t>
      </w:r>
      <w:r w:rsidR="00020B08" w:rsidRPr="00EA38DE">
        <w:rPr>
          <w:rFonts w:ascii="Times New Roman" w:eastAsia="SimSun" w:hAnsi="Times New Roman" w:cs="Times New Roman"/>
          <w:b/>
          <w:sz w:val="28"/>
          <w:szCs w:val="28"/>
          <w:lang w:eastAsia="zh-CN"/>
        </w:rPr>
        <w:t>, 202</w:t>
      </w:r>
      <w:r w:rsidR="00EA5956" w:rsidRPr="00EA38DE">
        <w:rPr>
          <w:rFonts w:ascii="Times New Roman" w:eastAsia="SimSun" w:hAnsi="Times New Roman" w:cs="Times New Roman"/>
          <w:b/>
          <w:sz w:val="28"/>
          <w:szCs w:val="28"/>
          <w:lang w:eastAsia="zh-CN"/>
        </w:rPr>
        <w:t>6</w:t>
      </w:r>
    </w:p>
    <w:p w14:paraId="308F2788" w14:textId="77777777" w:rsidR="00020B08" w:rsidRPr="00EA38DE" w:rsidRDefault="00020B08" w:rsidP="00020B08">
      <w:pPr>
        <w:spacing w:line="480" w:lineRule="auto"/>
        <w:jc w:val="center"/>
        <w:rPr>
          <w:rFonts w:ascii="Times New Roman" w:hAnsi="Times New Roman" w:cs="Times New Roman"/>
          <w:b/>
          <w:sz w:val="24"/>
          <w:szCs w:val="24"/>
          <w:lang w:val="en-GB"/>
        </w:rPr>
      </w:pPr>
      <w:r w:rsidRPr="00EA38DE">
        <w:rPr>
          <w:rFonts w:ascii="Times New Roman" w:hAnsi="Times New Roman" w:cs="Times New Roman"/>
          <w:b/>
          <w:sz w:val="24"/>
          <w:szCs w:val="24"/>
          <w:lang w:val="en-GB"/>
        </w:rPr>
        <w:lastRenderedPageBreak/>
        <w:t>DECLARATION</w:t>
      </w:r>
    </w:p>
    <w:p w14:paraId="7EEC57C8" w14:textId="77777777" w:rsidR="00020B08" w:rsidRPr="00EA38DE" w:rsidRDefault="00020B08" w:rsidP="00020B08">
      <w:pPr>
        <w:spacing w:line="480" w:lineRule="auto"/>
        <w:jc w:val="both"/>
        <w:rPr>
          <w:rFonts w:ascii="Times New Roman" w:hAnsi="Times New Roman" w:cs="Times New Roman"/>
          <w:b/>
          <w:sz w:val="28"/>
          <w:szCs w:val="28"/>
          <w:lang w:val="en-GB"/>
        </w:rPr>
      </w:pPr>
      <w:r w:rsidRPr="00EA38DE">
        <w:rPr>
          <w:rFonts w:ascii="Times New Roman" w:hAnsi="Times New Roman" w:cs="Times New Roman"/>
          <w:sz w:val="24"/>
          <w:szCs w:val="24"/>
          <w:lang w:val="en-GB"/>
        </w:rPr>
        <w:t xml:space="preserve">I, </w:t>
      </w:r>
      <w:r w:rsidRPr="00EA38DE">
        <w:rPr>
          <w:rFonts w:ascii="Times New Roman" w:hAnsi="Times New Roman" w:cs="Times New Roman"/>
          <w:sz w:val="24"/>
          <w:szCs w:val="24"/>
        </w:rPr>
        <w:t>Mina Enaikpobomene IREJEH</w:t>
      </w:r>
      <w:r w:rsidRPr="00EA38DE">
        <w:rPr>
          <w:rFonts w:ascii="Times New Roman" w:hAnsi="Times New Roman" w:cs="Times New Roman"/>
          <w:b/>
          <w:sz w:val="24"/>
          <w:szCs w:val="24"/>
          <w:lang w:val="en-GB"/>
        </w:rPr>
        <w:t xml:space="preserve">, </w:t>
      </w:r>
      <w:r w:rsidRPr="00EA38DE">
        <w:rPr>
          <w:rFonts w:ascii="Times New Roman" w:hAnsi="Times New Roman" w:cs="Times New Roman"/>
          <w:sz w:val="24"/>
          <w:szCs w:val="24"/>
          <w:lang w:val="en-GB"/>
        </w:rPr>
        <w:t>a Doctor of Philosophy (Ph.D.) candidate of the Department of Finance, Faculty of Management Sciences, University of Benin, Benin City, Nigeria, do hereby declare that this dissertation is entirely my research work. The work embodied in this dissertation has not been submitted in candidature for any degree and it is not concurrently being submitted for any other degree. All references from other works have been duly acknowledged.</w:t>
      </w:r>
    </w:p>
    <w:p w14:paraId="4BF08985" w14:textId="77777777" w:rsidR="00020B08" w:rsidRPr="00EA38DE" w:rsidRDefault="00020B08" w:rsidP="00020B08">
      <w:pPr>
        <w:spacing w:after="0" w:line="480" w:lineRule="auto"/>
        <w:jc w:val="both"/>
        <w:rPr>
          <w:rFonts w:ascii="Times New Roman" w:hAnsi="Times New Roman" w:cs="Times New Roman"/>
          <w:b/>
          <w:sz w:val="24"/>
          <w:szCs w:val="24"/>
          <w:lang w:val="en-GB"/>
        </w:rPr>
      </w:pPr>
    </w:p>
    <w:p w14:paraId="65D88283" w14:textId="77777777" w:rsidR="00020B08" w:rsidRPr="00EA38DE" w:rsidRDefault="00020B08" w:rsidP="00020B08">
      <w:pPr>
        <w:spacing w:after="0" w:line="480" w:lineRule="auto"/>
        <w:rPr>
          <w:rFonts w:ascii="Times New Roman" w:hAnsi="Times New Roman" w:cs="Times New Roman"/>
          <w:sz w:val="24"/>
          <w:szCs w:val="24"/>
          <w:lang w:val="en-GB"/>
        </w:rPr>
      </w:pPr>
    </w:p>
    <w:p w14:paraId="3E13DB91" w14:textId="77777777" w:rsidR="00020B08" w:rsidRPr="00EA38DE" w:rsidRDefault="00020B08" w:rsidP="00020B08">
      <w:pPr>
        <w:spacing w:after="0" w:line="480" w:lineRule="auto"/>
        <w:rPr>
          <w:rFonts w:ascii="Times New Roman" w:hAnsi="Times New Roman" w:cs="Times New Roman"/>
          <w:sz w:val="24"/>
          <w:szCs w:val="24"/>
          <w:lang w:val="en-GB"/>
        </w:rPr>
      </w:pPr>
    </w:p>
    <w:p w14:paraId="1ADB2CCF" w14:textId="77777777" w:rsidR="00020B08" w:rsidRPr="00EA38DE" w:rsidRDefault="00020B08" w:rsidP="00020B08">
      <w:pPr>
        <w:spacing w:after="0" w:line="480" w:lineRule="auto"/>
        <w:rPr>
          <w:rFonts w:ascii="Times New Roman" w:hAnsi="Times New Roman" w:cs="Times New Roman"/>
          <w:sz w:val="24"/>
          <w:szCs w:val="24"/>
          <w:lang w:val="en-GB"/>
        </w:rPr>
      </w:pPr>
    </w:p>
    <w:p w14:paraId="6552C096" w14:textId="77777777" w:rsidR="00020B08" w:rsidRPr="00EA38DE" w:rsidRDefault="00020B08" w:rsidP="00020B08">
      <w:pPr>
        <w:spacing w:after="0" w:line="240" w:lineRule="auto"/>
        <w:jc w:val="both"/>
        <w:rPr>
          <w:rFonts w:ascii="Times New Roman" w:hAnsi="Times New Roman" w:cs="Times New Roman"/>
          <w:b/>
          <w:sz w:val="24"/>
          <w:szCs w:val="24"/>
          <w:lang w:val="en-GB"/>
        </w:rPr>
      </w:pPr>
      <w:r w:rsidRPr="00EA38DE">
        <w:rPr>
          <w:rFonts w:ascii="Times New Roman" w:hAnsi="Times New Roman" w:cs="Times New Roman"/>
          <w:sz w:val="24"/>
          <w:szCs w:val="24"/>
          <w:lang w:val="en-GB"/>
        </w:rPr>
        <w:t>_________________________</w:t>
      </w:r>
      <w:r w:rsidRPr="00EA38DE">
        <w:rPr>
          <w:rFonts w:ascii="Times New Roman" w:hAnsi="Times New Roman" w:cs="Times New Roman"/>
          <w:sz w:val="24"/>
          <w:szCs w:val="24"/>
          <w:lang w:val="en-GB"/>
        </w:rPr>
        <w:tab/>
      </w:r>
      <w:r w:rsidRPr="00EA38DE">
        <w:rPr>
          <w:rFonts w:ascii="Times New Roman" w:hAnsi="Times New Roman" w:cs="Times New Roman"/>
          <w:sz w:val="24"/>
          <w:szCs w:val="24"/>
          <w:lang w:val="en-GB"/>
        </w:rPr>
        <w:tab/>
        <w:t xml:space="preserve">                      ___________________</w:t>
      </w:r>
    </w:p>
    <w:p w14:paraId="32B32DF5" w14:textId="77777777" w:rsidR="00020B08" w:rsidRPr="00EA38DE" w:rsidRDefault="00020B08" w:rsidP="00020B08">
      <w:pPr>
        <w:autoSpaceDE w:val="0"/>
        <w:autoSpaceDN w:val="0"/>
        <w:adjustRightInd w:val="0"/>
        <w:spacing w:after="0" w:line="240" w:lineRule="auto"/>
        <w:jc w:val="both"/>
        <w:rPr>
          <w:rFonts w:ascii="Times New Roman" w:eastAsia="MinionPro-Regular" w:hAnsi="Times New Roman" w:cs="Times New Roman"/>
          <w:b/>
          <w:sz w:val="24"/>
          <w:szCs w:val="24"/>
          <w:lang w:val="en-GB"/>
        </w:rPr>
      </w:pPr>
      <w:r w:rsidRPr="00EA38DE">
        <w:rPr>
          <w:rFonts w:ascii="Times New Roman" w:hAnsi="Times New Roman" w:cs="Times New Roman"/>
          <w:b/>
          <w:sz w:val="24"/>
          <w:szCs w:val="24"/>
        </w:rPr>
        <w:t>Mina Enaikpobomene IREJEH</w:t>
      </w:r>
      <w:r w:rsidRPr="00EA38DE">
        <w:rPr>
          <w:rFonts w:ascii="Times New Roman" w:hAnsi="Times New Roman" w:cs="Times New Roman"/>
          <w:b/>
          <w:sz w:val="24"/>
          <w:szCs w:val="28"/>
          <w:lang w:val="en-GB"/>
        </w:rPr>
        <w:tab/>
      </w:r>
      <w:r w:rsidRPr="00EA38DE">
        <w:rPr>
          <w:rFonts w:ascii="Times New Roman" w:hAnsi="Times New Roman" w:cs="Times New Roman"/>
          <w:b/>
          <w:sz w:val="24"/>
          <w:szCs w:val="28"/>
          <w:lang w:val="en-GB"/>
        </w:rPr>
        <w:tab/>
      </w:r>
      <w:r w:rsidRPr="00EA38DE">
        <w:rPr>
          <w:rFonts w:ascii="Times New Roman" w:hAnsi="Times New Roman" w:cs="Times New Roman"/>
          <w:b/>
          <w:sz w:val="24"/>
          <w:szCs w:val="28"/>
          <w:lang w:val="en-GB"/>
        </w:rPr>
        <w:tab/>
      </w:r>
      <w:r w:rsidRPr="00EA38DE">
        <w:rPr>
          <w:rFonts w:ascii="Times New Roman" w:hAnsi="Times New Roman" w:cs="Times New Roman"/>
          <w:b/>
          <w:sz w:val="24"/>
          <w:szCs w:val="28"/>
          <w:lang w:val="en-GB"/>
        </w:rPr>
        <w:tab/>
        <w:t xml:space="preserve">               Date</w:t>
      </w:r>
    </w:p>
    <w:p w14:paraId="1EF6E653" w14:textId="77777777" w:rsidR="00020B08" w:rsidRPr="00EA38DE" w:rsidRDefault="00020B08" w:rsidP="00020B08">
      <w:pPr>
        <w:autoSpaceDE w:val="0"/>
        <w:autoSpaceDN w:val="0"/>
        <w:adjustRightInd w:val="0"/>
        <w:spacing w:after="0" w:line="240" w:lineRule="auto"/>
        <w:jc w:val="both"/>
        <w:rPr>
          <w:rFonts w:ascii="Times New Roman" w:eastAsia="MinionPro-Regular" w:hAnsi="Times New Roman" w:cs="Times New Roman"/>
          <w:b/>
          <w:sz w:val="24"/>
          <w:szCs w:val="24"/>
          <w:lang w:val="en-GB"/>
        </w:rPr>
      </w:pPr>
      <w:r w:rsidRPr="00EA38DE">
        <w:rPr>
          <w:rFonts w:ascii="Times New Roman" w:hAnsi="Times New Roman" w:cs="Times New Roman"/>
          <w:b/>
          <w:sz w:val="24"/>
          <w:szCs w:val="24"/>
          <w:lang w:val="en-GB"/>
        </w:rPr>
        <w:t>(</w:t>
      </w:r>
      <w:r w:rsidRPr="00EA38DE">
        <w:rPr>
          <w:rFonts w:ascii="Times New Roman" w:eastAsia="SimSun" w:hAnsi="Times New Roman" w:cs="Times New Roman"/>
          <w:b/>
          <w:sz w:val="24"/>
          <w:szCs w:val="24"/>
          <w:lang w:eastAsia="zh-CN"/>
        </w:rPr>
        <w:t>PG/MGS2015540</w:t>
      </w:r>
      <w:r w:rsidRPr="00EA38DE">
        <w:rPr>
          <w:rFonts w:ascii="Times New Roman" w:hAnsi="Times New Roman" w:cs="Times New Roman"/>
          <w:b/>
          <w:sz w:val="24"/>
          <w:szCs w:val="24"/>
          <w:lang w:val="en-GB"/>
        </w:rPr>
        <w:t>)</w:t>
      </w:r>
    </w:p>
    <w:p w14:paraId="00EEBB39" w14:textId="77777777" w:rsidR="00020B08" w:rsidRPr="00EA38DE" w:rsidRDefault="00020B08" w:rsidP="00020B08">
      <w:pPr>
        <w:rPr>
          <w:rFonts w:ascii="Times New Roman" w:hAnsi="Times New Roman" w:cs="Times New Roman"/>
          <w:sz w:val="24"/>
          <w:szCs w:val="24"/>
        </w:rPr>
      </w:pPr>
    </w:p>
    <w:p w14:paraId="61912E9B" w14:textId="77777777" w:rsidR="00020B08" w:rsidRPr="00EA38DE" w:rsidRDefault="00020B08" w:rsidP="00020B08">
      <w:pPr>
        <w:spacing w:line="240" w:lineRule="auto"/>
        <w:rPr>
          <w:rFonts w:ascii="Times New Roman" w:eastAsia="SimSun" w:hAnsi="Times New Roman" w:cs="Times New Roman"/>
          <w:b/>
          <w:sz w:val="24"/>
          <w:szCs w:val="24"/>
          <w:lang w:eastAsia="zh-CN"/>
        </w:rPr>
      </w:pPr>
    </w:p>
    <w:p w14:paraId="19B5D34B" w14:textId="77777777" w:rsidR="00020B08" w:rsidRPr="00EA38DE" w:rsidRDefault="00020B08" w:rsidP="00020B08">
      <w:pPr>
        <w:spacing w:before="240" w:after="0"/>
        <w:rPr>
          <w:rFonts w:ascii="Times New Roman" w:hAnsi="Times New Roman" w:cs="Times New Roman"/>
          <w:sz w:val="24"/>
          <w:szCs w:val="24"/>
        </w:rPr>
      </w:pPr>
    </w:p>
    <w:p w14:paraId="6F77A129" w14:textId="77777777" w:rsidR="00020B08" w:rsidRPr="00EA38DE" w:rsidRDefault="00020B08" w:rsidP="00020B08">
      <w:pPr>
        <w:spacing w:before="240" w:after="0"/>
        <w:rPr>
          <w:rFonts w:ascii="Times New Roman" w:hAnsi="Times New Roman" w:cs="Times New Roman"/>
          <w:sz w:val="24"/>
          <w:szCs w:val="24"/>
        </w:rPr>
      </w:pPr>
    </w:p>
    <w:p w14:paraId="5B6E9595" w14:textId="77777777" w:rsidR="00020B08" w:rsidRPr="00EA38DE" w:rsidRDefault="00020B08" w:rsidP="00020B08">
      <w:pPr>
        <w:spacing w:before="240" w:after="0"/>
        <w:rPr>
          <w:rFonts w:ascii="Times New Roman" w:hAnsi="Times New Roman" w:cs="Times New Roman"/>
          <w:sz w:val="24"/>
          <w:szCs w:val="24"/>
        </w:rPr>
      </w:pPr>
    </w:p>
    <w:p w14:paraId="3C6D605A" w14:textId="77777777" w:rsidR="00020B08" w:rsidRPr="00EA38DE" w:rsidRDefault="00020B08" w:rsidP="00020B08">
      <w:pPr>
        <w:spacing w:before="240" w:after="0"/>
        <w:rPr>
          <w:rFonts w:ascii="Times New Roman" w:hAnsi="Times New Roman" w:cs="Times New Roman"/>
          <w:sz w:val="24"/>
          <w:szCs w:val="24"/>
        </w:rPr>
      </w:pPr>
    </w:p>
    <w:p w14:paraId="4B1633C3" w14:textId="77777777" w:rsidR="00020B08" w:rsidRPr="00EA38DE" w:rsidRDefault="00020B08" w:rsidP="00020B08">
      <w:pPr>
        <w:spacing w:before="240" w:after="0"/>
        <w:rPr>
          <w:rFonts w:ascii="Times New Roman" w:hAnsi="Times New Roman" w:cs="Times New Roman"/>
          <w:sz w:val="24"/>
          <w:szCs w:val="24"/>
        </w:rPr>
      </w:pPr>
    </w:p>
    <w:p w14:paraId="2DCC9C3A" w14:textId="77777777" w:rsidR="00020B08" w:rsidRPr="00EA38DE" w:rsidRDefault="00020B08" w:rsidP="00020B08">
      <w:pPr>
        <w:spacing w:before="240" w:after="0"/>
        <w:rPr>
          <w:rFonts w:ascii="Times New Roman" w:hAnsi="Times New Roman" w:cs="Times New Roman"/>
          <w:sz w:val="24"/>
          <w:szCs w:val="24"/>
        </w:rPr>
      </w:pPr>
    </w:p>
    <w:p w14:paraId="1D92357D" w14:textId="77777777" w:rsidR="00020B08" w:rsidRPr="00EA38DE" w:rsidRDefault="00020B08" w:rsidP="00020B08">
      <w:pPr>
        <w:spacing w:before="240" w:after="0"/>
        <w:jc w:val="center"/>
        <w:rPr>
          <w:rFonts w:ascii="Times New Roman" w:hAnsi="Times New Roman" w:cs="Times New Roman"/>
          <w:b/>
          <w:bCs/>
          <w:sz w:val="24"/>
          <w:szCs w:val="24"/>
        </w:rPr>
      </w:pPr>
    </w:p>
    <w:p w14:paraId="0D1ABCC7" w14:textId="77777777" w:rsidR="00020B08" w:rsidRPr="00EA38DE" w:rsidRDefault="00020B08" w:rsidP="00020B08">
      <w:pPr>
        <w:spacing w:before="240" w:after="0"/>
        <w:jc w:val="center"/>
        <w:rPr>
          <w:rFonts w:ascii="Times New Roman" w:hAnsi="Times New Roman" w:cs="Times New Roman"/>
          <w:b/>
          <w:bCs/>
          <w:sz w:val="24"/>
          <w:szCs w:val="24"/>
        </w:rPr>
      </w:pPr>
    </w:p>
    <w:p w14:paraId="55C8D2E4" w14:textId="77777777" w:rsidR="00020B08" w:rsidRPr="00EA38DE" w:rsidRDefault="00020B08" w:rsidP="00020B08">
      <w:pPr>
        <w:spacing w:before="240" w:after="0"/>
        <w:jc w:val="center"/>
        <w:rPr>
          <w:rFonts w:ascii="Times New Roman" w:hAnsi="Times New Roman" w:cs="Times New Roman"/>
          <w:b/>
          <w:bCs/>
          <w:sz w:val="24"/>
          <w:szCs w:val="24"/>
        </w:rPr>
      </w:pPr>
    </w:p>
    <w:p w14:paraId="144F624D" w14:textId="77777777" w:rsidR="00020B08" w:rsidRPr="00EA38DE" w:rsidRDefault="00020B08" w:rsidP="00020B08">
      <w:pPr>
        <w:spacing w:before="240" w:after="0"/>
        <w:jc w:val="center"/>
        <w:rPr>
          <w:rFonts w:ascii="Times New Roman" w:hAnsi="Times New Roman" w:cs="Times New Roman"/>
          <w:b/>
          <w:bCs/>
          <w:sz w:val="24"/>
          <w:szCs w:val="24"/>
        </w:rPr>
      </w:pPr>
    </w:p>
    <w:p w14:paraId="447AE5E9" w14:textId="77777777" w:rsidR="00020B08" w:rsidRPr="00EA38DE" w:rsidRDefault="00020B08" w:rsidP="00020B08">
      <w:pPr>
        <w:spacing w:line="480" w:lineRule="auto"/>
        <w:jc w:val="center"/>
        <w:rPr>
          <w:rFonts w:ascii="Times New Roman" w:hAnsi="Times New Roman" w:cs="Times New Roman"/>
          <w:sz w:val="24"/>
          <w:szCs w:val="24"/>
          <w:lang w:val="en-GB"/>
        </w:rPr>
      </w:pPr>
      <w:r w:rsidRPr="00EA38DE">
        <w:rPr>
          <w:rFonts w:ascii="Times New Roman" w:hAnsi="Times New Roman" w:cs="Times New Roman"/>
          <w:b/>
          <w:bCs/>
          <w:sz w:val="24"/>
          <w:szCs w:val="24"/>
        </w:rPr>
        <w:br w:type="page"/>
      </w:r>
      <w:r w:rsidRPr="00EA38DE">
        <w:rPr>
          <w:rFonts w:ascii="Times New Roman" w:hAnsi="Times New Roman" w:cs="Times New Roman"/>
          <w:b/>
          <w:sz w:val="24"/>
          <w:szCs w:val="24"/>
          <w:lang w:val="en-GB"/>
        </w:rPr>
        <w:lastRenderedPageBreak/>
        <w:t xml:space="preserve">CERTIFICATION OF DISSERTATION </w:t>
      </w:r>
    </w:p>
    <w:p w14:paraId="39D2EF7D" w14:textId="77777777" w:rsidR="00020B08" w:rsidRPr="00EA38DE" w:rsidRDefault="00020B08" w:rsidP="00020B08">
      <w:pPr>
        <w:spacing w:line="480" w:lineRule="auto"/>
        <w:jc w:val="both"/>
        <w:rPr>
          <w:rFonts w:ascii="Times New Roman" w:hAnsi="Times New Roman" w:cs="Times New Roman"/>
          <w:b/>
          <w:bCs/>
          <w:sz w:val="24"/>
          <w:szCs w:val="24"/>
        </w:rPr>
      </w:pPr>
      <w:r w:rsidRPr="00EA38DE">
        <w:rPr>
          <w:rFonts w:ascii="Times New Roman" w:hAnsi="Times New Roman" w:cs="Times New Roman"/>
          <w:sz w:val="24"/>
          <w:szCs w:val="24"/>
          <w:lang w:val="en-GB"/>
        </w:rPr>
        <w:t xml:space="preserve">We certify that this dissertation written by </w:t>
      </w:r>
      <w:r w:rsidRPr="00EA38DE">
        <w:rPr>
          <w:rStyle w:val="Strong"/>
          <w:rFonts w:ascii="Times New Roman" w:hAnsi="Times New Roman" w:cs="Times New Roman"/>
          <w:b w:val="0"/>
          <w:bCs w:val="0"/>
          <w:sz w:val="24"/>
          <w:szCs w:val="24"/>
        </w:rPr>
        <w:t>Mina Enaikpobomene IREJEH</w:t>
      </w:r>
      <w:r w:rsidRPr="00EA38DE">
        <w:rPr>
          <w:rFonts w:ascii="Times New Roman" w:eastAsia="MinionPro-Regular" w:hAnsi="Times New Roman" w:cs="Times New Roman"/>
          <w:b/>
          <w:sz w:val="24"/>
          <w:szCs w:val="24"/>
          <w:lang w:val="en-GB"/>
        </w:rPr>
        <w:t xml:space="preserve"> </w:t>
      </w:r>
      <w:r w:rsidRPr="00EA38DE">
        <w:rPr>
          <w:rFonts w:ascii="Times New Roman" w:hAnsi="Times New Roman" w:cs="Times New Roman"/>
          <w:sz w:val="24"/>
          <w:szCs w:val="24"/>
          <w:lang w:val="en-GB"/>
        </w:rPr>
        <w:t>is adequate in scope and quality in partial fulfilment of the requirements for the award of Doctor of Philosophy (Ph.D.) Finance in the Department of Finance, Faculty of Management Sciences, University of Benin, Benin City, Nigeria.</w:t>
      </w:r>
    </w:p>
    <w:p w14:paraId="6C3A7210" w14:textId="77777777" w:rsidR="00020B08" w:rsidRPr="00EA38DE" w:rsidRDefault="00020B08" w:rsidP="00020B08">
      <w:pPr>
        <w:pStyle w:val="NormalWeb"/>
        <w:spacing w:before="0" w:beforeAutospacing="0" w:after="0" w:afterAutospacing="0" w:line="480" w:lineRule="auto"/>
        <w:jc w:val="both"/>
      </w:pPr>
    </w:p>
    <w:p w14:paraId="1936BFFC" w14:textId="77777777" w:rsidR="00020B08" w:rsidRPr="00EA38DE" w:rsidRDefault="00020B08" w:rsidP="00020B08">
      <w:pPr>
        <w:pStyle w:val="NormalWeb"/>
        <w:spacing w:before="0" w:beforeAutospacing="0" w:after="0" w:afterAutospacing="0" w:line="480" w:lineRule="auto"/>
        <w:jc w:val="both"/>
      </w:pPr>
    </w:p>
    <w:p w14:paraId="646FD6E0" w14:textId="77777777" w:rsidR="00020B08" w:rsidRPr="00EA38DE" w:rsidRDefault="00020B08" w:rsidP="00020B08">
      <w:pPr>
        <w:pStyle w:val="NormalWeb"/>
        <w:spacing w:before="0" w:beforeAutospacing="0" w:after="0" w:afterAutospacing="0" w:line="480" w:lineRule="auto"/>
        <w:jc w:val="both"/>
      </w:pPr>
    </w:p>
    <w:p w14:paraId="31932F49" w14:textId="6FA25D7E" w:rsidR="00020B08" w:rsidRPr="00EA38DE" w:rsidRDefault="00020B08" w:rsidP="00020B08">
      <w:pPr>
        <w:pStyle w:val="BodyText"/>
        <w:ind w:right="158"/>
        <w:jc w:val="both"/>
        <w:rPr>
          <w:b/>
        </w:rPr>
      </w:pPr>
      <w:r w:rsidRPr="00EA38DE">
        <w:rPr>
          <w:b/>
        </w:rPr>
        <w:t>…</w:t>
      </w:r>
      <w:r w:rsidR="000F762C" w:rsidRPr="00EA38DE">
        <w:rPr>
          <w:b/>
        </w:rPr>
        <w:t>……</w:t>
      </w:r>
      <w:r w:rsidRPr="00EA38DE">
        <w:rPr>
          <w:b/>
        </w:rPr>
        <w:t>………………………</w:t>
      </w:r>
      <w:r w:rsidRPr="00EA38DE">
        <w:rPr>
          <w:b/>
        </w:rPr>
        <w:tab/>
      </w:r>
      <w:r w:rsidRPr="00EA38DE">
        <w:rPr>
          <w:b/>
        </w:rPr>
        <w:tab/>
      </w:r>
      <w:r w:rsidRPr="00EA38DE">
        <w:rPr>
          <w:b/>
        </w:rPr>
        <w:tab/>
      </w:r>
      <w:r w:rsidRPr="00EA38DE">
        <w:rPr>
          <w:b/>
        </w:rPr>
        <w:tab/>
      </w:r>
      <w:r w:rsidRPr="00EA38DE">
        <w:rPr>
          <w:b/>
        </w:rPr>
        <w:tab/>
        <w:t>…………………………</w:t>
      </w:r>
    </w:p>
    <w:p w14:paraId="7689CA2D" w14:textId="088B7813" w:rsidR="00020B08" w:rsidRPr="00EA38DE" w:rsidRDefault="00020B08" w:rsidP="00020B08">
      <w:pPr>
        <w:pStyle w:val="BodyText"/>
        <w:ind w:right="158"/>
        <w:jc w:val="both"/>
        <w:rPr>
          <w:bCs/>
        </w:rPr>
      </w:pPr>
      <w:r w:rsidRPr="00EA38DE">
        <w:rPr>
          <w:bCs/>
        </w:rPr>
        <w:t>Professor</w:t>
      </w:r>
      <w:r w:rsidR="00883FD6" w:rsidRPr="00EA38DE">
        <w:rPr>
          <w:bCs/>
        </w:rPr>
        <w:t xml:space="preserve"> S. O.</w:t>
      </w:r>
      <w:r w:rsidRPr="00EA38DE">
        <w:rPr>
          <w:bCs/>
        </w:rPr>
        <w:t xml:space="preserve"> Igbinosa</w:t>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t>Date</w:t>
      </w:r>
      <w:r w:rsidRPr="00EA38DE">
        <w:rPr>
          <w:bCs/>
        </w:rPr>
        <w:tab/>
      </w:r>
      <w:r w:rsidRPr="00EA38DE">
        <w:rPr>
          <w:bCs/>
        </w:rPr>
        <w:tab/>
      </w:r>
    </w:p>
    <w:p w14:paraId="1F1E0534" w14:textId="77777777" w:rsidR="00020B08" w:rsidRPr="00EA38DE" w:rsidRDefault="00020B08" w:rsidP="00020B08">
      <w:pPr>
        <w:pStyle w:val="BodyText"/>
        <w:ind w:right="158"/>
        <w:jc w:val="both"/>
        <w:rPr>
          <w:bCs/>
        </w:rPr>
      </w:pPr>
      <w:r w:rsidRPr="00EA38DE">
        <w:rPr>
          <w:bCs/>
        </w:rPr>
        <w:sym w:font="Symbol" w:char="F028"/>
      </w:r>
      <w:r w:rsidRPr="00EA38DE">
        <w:rPr>
          <w:bCs/>
        </w:rPr>
        <w:t>Chief Supervisor</w:t>
      </w:r>
      <w:r w:rsidRPr="00EA38DE">
        <w:rPr>
          <w:bCs/>
        </w:rPr>
        <w:sym w:font="Symbol" w:char="F029"/>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r>
    </w:p>
    <w:p w14:paraId="5DBA623F" w14:textId="77777777" w:rsidR="00020B08" w:rsidRPr="00EA38DE" w:rsidRDefault="00020B08" w:rsidP="00020B08">
      <w:pPr>
        <w:pStyle w:val="BodyText"/>
        <w:ind w:left="158" w:right="158"/>
        <w:jc w:val="both"/>
        <w:rPr>
          <w:bCs/>
        </w:rPr>
      </w:pPr>
    </w:p>
    <w:p w14:paraId="5257FA3B" w14:textId="77777777" w:rsidR="00020B08" w:rsidRPr="00EA38DE" w:rsidRDefault="00020B08" w:rsidP="00020B08">
      <w:pPr>
        <w:pStyle w:val="BodyText"/>
        <w:ind w:left="158" w:right="158"/>
        <w:jc w:val="both"/>
        <w:rPr>
          <w:bCs/>
        </w:rPr>
      </w:pPr>
    </w:p>
    <w:p w14:paraId="14278021" w14:textId="77777777" w:rsidR="00020B08" w:rsidRPr="00EA38DE" w:rsidRDefault="00020B08" w:rsidP="00020B08">
      <w:pPr>
        <w:pStyle w:val="BodyText"/>
        <w:ind w:left="158" w:right="158"/>
        <w:jc w:val="both"/>
        <w:rPr>
          <w:bCs/>
        </w:rPr>
      </w:pPr>
    </w:p>
    <w:p w14:paraId="4A6B2B88" w14:textId="77777777" w:rsidR="00020B08" w:rsidRPr="00EA38DE" w:rsidRDefault="00020B08" w:rsidP="00020B08">
      <w:pPr>
        <w:pStyle w:val="BodyText"/>
        <w:ind w:left="158" w:right="158"/>
        <w:jc w:val="both"/>
        <w:rPr>
          <w:bCs/>
        </w:rPr>
      </w:pPr>
    </w:p>
    <w:p w14:paraId="648FB0FD" w14:textId="77777777" w:rsidR="000F762C" w:rsidRPr="00EA38DE" w:rsidRDefault="000F762C" w:rsidP="00020B08">
      <w:pPr>
        <w:pStyle w:val="BodyText"/>
        <w:ind w:left="158" w:right="158"/>
        <w:jc w:val="both"/>
        <w:rPr>
          <w:bCs/>
        </w:rPr>
      </w:pPr>
    </w:p>
    <w:p w14:paraId="7785CB93" w14:textId="77777777" w:rsidR="000F762C" w:rsidRPr="00EA38DE" w:rsidRDefault="000F762C" w:rsidP="00020B08">
      <w:pPr>
        <w:pStyle w:val="BodyText"/>
        <w:ind w:left="158" w:right="158"/>
        <w:jc w:val="both"/>
        <w:rPr>
          <w:bCs/>
        </w:rPr>
      </w:pPr>
    </w:p>
    <w:p w14:paraId="0C71ED6E" w14:textId="77777777" w:rsidR="00020B08" w:rsidRPr="00EA38DE" w:rsidRDefault="00020B08" w:rsidP="00020B08">
      <w:pPr>
        <w:pStyle w:val="BodyText"/>
        <w:ind w:left="158" w:right="158"/>
        <w:jc w:val="both"/>
        <w:rPr>
          <w:bCs/>
        </w:rPr>
      </w:pPr>
    </w:p>
    <w:p w14:paraId="2E92A2C5" w14:textId="53E15F63" w:rsidR="000F762C" w:rsidRPr="00EA38DE" w:rsidRDefault="000F762C" w:rsidP="00020B08">
      <w:pPr>
        <w:pStyle w:val="BodyText"/>
        <w:ind w:right="158"/>
        <w:jc w:val="both"/>
        <w:rPr>
          <w:bCs/>
        </w:rPr>
      </w:pPr>
      <w:r w:rsidRPr="00EA38DE">
        <w:rPr>
          <w:bCs/>
        </w:rPr>
        <w:t>………………………………</w:t>
      </w:r>
      <w:r w:rsidRPr="00EA38DE">
        <w:rPr>
          <w:bCs/>
        </w:rPr>
        <w:tab/>
      </w:r>
      <w:r w:rsidRPr="00EA38DE">
        <w:rPr>
          <w:bCs/>
        </w:rPr>
        <w:tab/>
      </w:r>
      <w:r w:rsidRPr="00EA38DE">
        <w:rPr>
          <w:bCs/>
        </w:rPr>
        <w:tab/>
      </w:r>
      <w:r w:rsidRPr="00EA38DE">
        <w:rPr>
          <w:bCs/>
        </w:rPr>
        <w:tab/>
      </w:r>
      <w:r w:rsidRPr="00EA38DE">
        <w:rPr>
          <w:bCs/>
        </w:rPr>
        <w:tab/>
        <w:t>…………………………</w:t>
      </w:r>
    </w:p>
    <w:p w14:paraId="7FC44F58" w14:textId="06F79204" w:rsidR="00020B08" w:rsidRPr="00EA38DE" w:rsidRDefault="00020B08" w:rsidP="00020B08">
      <w:pPr>
        <w:pStyle w:val="BodyText"/>
        <w:ind w:right="158"/>
        <w:jc w:val="both"/>
        <w:rPr>
          <w:bCs/>
        </w:rPr>
      </w:pPr>
      <w:r w:rsidRPr="00EA38DE">
        <w:rPr>
          <w:bCs/>
        </w:rPr>
        <w:t>Professor E. J. Idolor</w:t>
      </w:r>
      <w:r w:rsidRPr="00EA38DE">
        <w:rPr>
          <w:bCs/>
        </w:rPr>
        <w:tab/>
      </w:r>
      <w:r w:rsidRPr="00EA38DE">
        <w:rPr>
          <w:bCs/>
        </w:rPr>
        <w:tab/>
      </w:r>
      <w:r w:rsidR="000F762C" w:rsidRPr="00EA38DE">
        <w:rPr>
          <w:bCs/>
        </w:rPr>
        <w:tab/>
      </w:r>
      <w:r w:rsidRPr="00EA38DE">
        <w:rPr>
          <w:bCs/>
        </w:rPr>
        <w:tab/>
      </w:r>
      <w:r w:rsidRPr="00EA38DE">
        <w:rPr>
          <w:bCs/>
        </w:rPr>
        <w:tab/>
      </w:r>
      <w:r w:rsidRPr="00EA38DE">
        <w:rPr>
          <w:bCs/>
        </w:rPr>
        <w:tab/>
      </w:r>
      <w:r w:rsidRPr="00EA38DE">
        <w:rPr>
          <w:bCs/>
        </w:rPr>
        <w:tab/>
      </w:r>
      <w:r w:rsidR="00BB791F" w:rsidRPr="00EA38DE">
        <w:rPr>
          <w:bCs/>
        </w:rPr>
        <w:t xml:space="preserve">        </w:t>
      </w:r>
      <w:r w:rsidRPr="00EA38DE">
        <w:rPr>
          <w:bCs/>
        </w:rPr>
        <w:t>Date</w:t>
      </w:r>
      <w:r w:rsidRPr="00EA38DE">
        <w:rPr>
          <w:bCs/>
        </w:rPr>
        <w:tab/>
      </w:r>
      <w:r w:rsidRPr="00EA38DE">
        <w:rPr>
          <w:bCs/>
        </w:rPr>
        <w:tab/>
      </w:r>
    </w:p>
    <w:p w14:paraId="2924EABE" w14:textId="77777777" w:rsidR="00020B08" w:rsidRPr="00EA38DE" w:rsidRDefault="00020B08" w:rsidP="00020B08">
      <w:pPr>
        <w:pStyle w:val="BodyText"/>
        <w:ind w:right="158"/>
        <w:jc w:val="both"/>
        <w:rPr>
          <w:bCs/>
        </w:rPr>
      </w:pPr>
      <w:r w:rsidRPr="00EA38DE">
        <w:rPr>
          <w:bCs/>
        </w:rPr>
        <w:sym w:font="Symbol" w:char="F028"/>
      </w:r>
      <w:r w:rsidRPr="00EA38DE">
        <w:rPr>
          <w:bCs/>
        </w:rPr>
        <w:t>Co-Supervisor</w:t>
      </w:r>
      <w:r w:rsidRPr="00EA38DE">
        <w:rPr>
          <w:bCs/>
        </w:rPr>
        <w:sym w:font="Symbol" w:char="F029"/>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r>
    </w:p>
    <w:p w14:paraId="084E3399" w14:textId="77777777" w:rsidR="00020B08" w:rsidRPr="00EA38DE" w:rsidRDefault="00020B08" w:rsidP="00020B08">
      <w:pPr>
        <w:pStyle w:val="BodyText"/>
        <w:ind w:left="158" w:right="158"/>
        <w:jc w:val="both"/>
        <w:rPr>
          <w:bCs/>
        </w:rPr>
      </w:pPr>
    </w:p>
    <w:p w14:paraId="3B1E2D61" w14:textId="77777777" w:rsidR="00020B08" w:rsidRPr="00EA38DE" w:rsidRDefault="00020B08" w:rsidP="00020B08">
      <w:pPr>
        <w:pStyle w:val="BodyText"/>
        <w:ind w:left="158" w:right="158"/>
        <w:jc w:val="both"/>
        <w:rPr>
          <w:bCs/>
        </w:rPr>
      </w:pPr>
    </w:p>
    <w:p w14:paraId="0FBFAFF1" w14:textId="77777777" w:rsidR="00020B08" w:rsidRPr="00EA38DE" w:rsidRDefault="00020B08" w:rsidP="00020B08">
      <w:pPr>
        <w:pStyle w:val="BodyText"/>
        <w:ind w:left="158" w:right="158"/>
        <w:jc w:val="both"/>
        <w:rPr>
          <w:bCs/>
        </w:rPr>
      </w:pPr>
    </w:p>
    <w:p w14:paraId="023E8861" w14:textId="77777777" w:rsidR="000F762C" w:rsidRPr="00EA38DE" w:rsidRDefault="000F762C" w:rsidP="00020B08">
      <w:pPr>
        <w:pStyle w:val="BodyText"/>
        <w:ind w:left="158" w:right="158"/>
        <w:jc w:val="both"/>
        <w:rPr>
          <w:bCs/>
        </w:rPr>
      </w:pPr>
    </w:p>
    <w:p w14:paraId="3402A564" w14:textId="77777777" w:rsidR="000F762C" w:rsidRPr="00EA38DE" w:rsidRDefault="000F762C" w:rsidP="00020B08">
      <w:pPr>
        <w:pStyle w:val="BodyText"/>
        <w:ind w:left="158" w:right="158"/>
        <w:jc w:val="both"/>
        <w:rPr>
          <w:bCs/>
        </w:rPr>
      </w:pPr>
    </w:p>
    <w:p w14:paraId="47CD71E3" w14:textId="77777777" w:rsidR="00020B08" w:rsidRPr="00EA38DE" w:rsidRDefault="00020B08" w:rsidP="00020B08">
      <w:pPr>
        <w:pStyle w:val="BodyText"/>
        <w:ind w:left="158" w:right="158"/>
        <w:jc w:val="both"/>
        <w:rPr>
          <w:bCs/>
        </w:rPr>
      </w:pPr>
    </w:p>
    <w:p w14:paraId="5CB87F3E" w14:textId="77777777" w:rsidR="000F762C" w:rsidRPr="00EA38DE" w:rsidRDefault="000F762C" w:rsidP="00020B08">
      <w:pPr>
        <w:pStyle w:val="BodyText"/>
        <w:ind w:right="158"/>
        <w:jc w:val="both"/>
        <w:rPr>
          <w:bCs/>
        </w:rPr>
      </w:pPr>
      <w:r w:rsidRPr="00EA38DE">
        <w:rPr>
          <w:bCs/>
        </w:rPr>
        <w:t>………………………………</w:t>
      </w:r>
      <w:r w:rsidRPr="00EA38DE">
        <w:rPr>
          <w:bCs/>
        </w:rPr>
        <w:tab/>
      </w:r>
      <w:r w:rsidRPr="00EA38DE">
        <w:rPr>
          <w:bCs/>
        </w:rPr>
        <w:tab/>
      </w:r>
      <w:r w:rsidRPr="00EA38DE">
        <w:rPr>
          <w:bCs/>
        </w:rPr>
        <w:tab/>
      </w:r>
      <w:r w:rsidRPr="00EA38DE">
        <w:rPr>
          <w:bCs/>
        </w:rPr>
        <w:tab/>
      </w:r>
      <w:r w:rsidRPr="00EA38DE">
        <w:rPr>
          <w:bCs/>
        </w:rPr>
        <w:tab/>
        <w:t>…………………………</w:t>
      </w:r>
    </w:p>
    <w:p w14:paraId="4E0CC724" w14:textId="2CF65C45" w:rsidR="00020B08" w:rsidRPr="00EA38DE" w:rsidRDefault="00020B08" w:rsidP="00020B08">
      <w:pPr>
        <w:pStyle w:val="BodyText"/>
        <w:ind w:right="158"/>
        <w:jc w:val="both"/>
        <w:rPr>
          <w:bCs/>
        </w:rPr>
      </w:pPr>
      <w:r w:rsidRPr="00EA38DE">
        <w:rPr>
          <w:bCs/>
        </w:rPr>
        <w:t xml:space="preserve">Dr. A.O. Izekor </w:t>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r>
      <w:r w:rsidR="000F762C" w:rsidRPr="00EA38DE">
        <w:rPr>
          <w:bCs/>
        </w:rPr>
        <w:tab/>
      </w:r>
      <w:r w:rsidRPr="00EA38DE">
        <w:rPr>
          <w:bCs/>
        </w:rPr>
        <w:t>Date</w:t>
      </w:r>
      <w:r w:rsidRPr="00EA38DE">
        <w:rPr>
          <w:bCs/>
        </w:rPr>
        <w:tab/>
      </w:r>
    </w:p>
    <w:p w14:paraId="5B409D3F" w14:textId="77777777" w:rsidR="00020B08" w:rsidRPr="00EA38DE" w:rsidRDefault="00020B08" w:rsidP="00020B08">
      <w:pPr>
        <w:pStyle w:val="BodyText"/>
        <w:ind w:right="158"/>
        <w:jc w:val="both"/>
        <w:rPr>
          <w:bCs/>
        </w:rPr>
      </w:pPr>
      <w:r w:rsidRPr="00EA38DE">
        <w:rPr>
          <w:bCs/>
        </w:rPr>
        <w:t>(Head of Department)</w:t>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r>
      <w:r w:rsidRPr="00EA38DE">
        <w:rPr>
          <w:bCs/>
        </w:rPr>
        <w:tab/>
      </w:r>
    </w:p>
    <w:p w14:paraId="58DD6CAD" w14:textId="77777777" w:rsidR="00020B08" w:rsidRPr="00EA38DE" w:rsidRDefault="00020B08" w:rsidP="00020B08">
      <w:pPr>
        <w:pStyle w:val="BodyText"/>
        <w:rPr>
          <w:bCs/>
        </w:rPr>
      </w:pPr>
    </w:p>
    <w:p w14:paraId="419F0D2D" w14:textId="77777777" w:rsidR="00020B08" w:rsidRPr="00EA38DE" w:rsidRDefault="00020B08" w:rsidP="00020B08">
      <w:pPr>
        <w:rPr>
          <w:rFonts w:ascii="Times New Roman" w:eastAsiaTheme="majorEastAsia" w:hAnsi="Times New Roman" w:cs="Times New Roman"/>
          <w:bCs/>
          <w:sz w:val="24"/>
          <w:szCs w:val="24"/>
        </w:rPr>
      </w:pPr>
      <w:r w:rsidRPr="00EA38DE">
        <w:rPr>
          <w:rFonts w:ascii="Times New Roman" w:hAnsi="Times New Roman" w:cs="Times New Roman"/>
          <w:bCs/>
          <w:sz w:val="24"/>
          <w:szCs w:val="24"/>
        </w:rPr>
        <w:br w:type="page"/>
      </w:r>
    </w:p>
    <w:p w14:paraId="0DC95982" w14:textId="77777777" w:rsidR="00020B08" w:rsidRPr="00EA38DE" w:rsidRDefault="00020B08" w:rsidP="00020B08">
      <w:pPr>
        <w:pStyle w:val="Heading1"/>
        <w:spacing w:before="0" w:after="200" w:line="480" w:lineRule="auto"/>
        <w:jc w:val="center"/>
        <w:rPr>
          <w:rFonts w:ascii="Times New Roman" w:hAnsi="Times New Roman" w:cs="Times New Roman"/>
          <w:color w:val="auto"/>
          <w:sz w:val="24"/>
          <w:szCs w:val="24"/>
        </w:rPr>
      </w:pPr>
      <w:r w:rsidRPr="00EA38DE">
        <w:rPr>
          <w:rFonts w:ascii="Times New Roman" w:hAnsi="Times New Roman" w:cs="Times New Roman"/>
          <w:b/>
          <w:bCs/>
          <w:color w:val="auto"/>
          <w:sz w:val="24"/>
          <w:szCs w:val="24"/>
        </w:rPr>
        <w:lastRenderedPageBreak/>
        <w:t>CERTIFICATION OF DISSERTATION ON ANTI-PLAGIARISM</w:t>
      </w:r>
    </w:p>
    <w:p w14:paraId="007B81C2" w14:textId="447CD5A6" w:rsidR="00020B08" w:rsidRPr="00EA38DE" w:rsidRDefault="00020B08" w:rsidP="00020B08">
      <w:pPr>
        <w:spacing w:before="240"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We, the undersigned, hereby attest that the dissertation authored by Mina Enaikpobomene IREJEH, titled “</w:t>
      </w:r>
      <w:r w:rsidRPr="00EA38DE">
        <w:rPr>
          <w:rStyle w:val="Emphasis"/>
          <w:rFonts w:ascii="Times New Roman" w:hAnsi="Times New Roman" w:cs="Times New Roman"/>
          <w:sz w:val="24"/>
          <w:szCs w:val="24"/>
        </w:rPr>
        <w:t>Exchange Rate Volatility, Blue Economy, and Shipping Industry Financial Performance in Nigeria,'</w:t>
      </w:r>
      <w:r w:rsidRPr="00EA38DE">
        <w:rPr>
          <w:rFonts w:ascii="Times New Roman" w:hAnsi="Times New Roman" w:cs="Times New Roman"/>
          <w:sz w:val="24"/>
          <w:szCs w:val="24"/>
        </w:rPr>
        <w:t xml:space="preserve"> has successfully passed the anti-plagiarism </w:t>
      </w:r>
      <w:r w:rsidR="005679AE" w:rsidRPr="00EA38DE">
        <w:rPr>
          <w:rFonts w:ascii="Times New Roman" w:hAnsi="Times New Roman" w:cs="Times New Roman"/>
          <w:sz w:val="24"/>
          <w:szCs w:val="24"/>
        </w:rPr>
        <w:t>check</w:t>
      </w:r>
      <w:r w:rsidR="00341DCB" w:rsidRPr="00EA38DE">
        <w:rPr>
          <w:rFonts w:ascii="Times New Roman" w:hAnsi="Times New Roman" w:cs="Times New Roman"/>
          <w:sz w:val="24"/>
          <w:szCs w:val="24"/>
        </w:rPr>
        <w:t>ed</w:t>
      </w:r>
      <w:r w:rsidR="005679AE" w:rsidRPr="00EA38DE">
        <w:rPr>
          <w:rFonts w:ascii="Times New Roman" w:hAnsi="Times New Roman" w:cs="Times New Roman"/>
          <w:sz w:val="24"/>
          <w:szCs w:val="24"/>
        </w:rPr>
        <w:t>,</w:t>
      </w:r>
      <w:r w:rsidRPr="00EA38DE">
        <w:rPr>
          <w:rFonts w:ascii="Times New Roman" w:hAnsi="Times New Roman" w:cs="Times New Roman"/>
          <w:sz w:val="24"/>
          <w:szCs w:val="24"/>
        </w:rPr>
        <w:t xml:space="preserve"> and as of </w:t>
      </w:r>
      <w:r w:rsidR="00F153ED" w:rsidRPr="00EA38DE">
        <w:rPr>
          <w:rFonts w:ascii="Times New Roman" w:hAnsi="Times New Roman" w:cs="Times New Roman"/>
          <w:sz w:val="24"/>
          <w:szCs w:val="24"/>
        </w:rPr>
        <w:t xml:space="preserve">September </w:t>
      </w:r>
      <w:r w:rsidR="00A30389" w:rsidRPr="00EA38DE">
        <w:rPr>
          <w:rFonts w:ascii="Times New Roman" w:hAnsi="Times New Roman" w:cs="Times New Roman"/>
          <w:sz w:val="24"/>
          <w:szCs w:val="24"/>
        </w:rPr>
        <w:t>3</w:t>
      </w:r>
      <w:r w:rsidR="00E1542C" w:rsidRPr="00EA38DE">
        <w:rPr>
          <w:rFonts w:ascii="Times New Roman" w:hAnsi="Times New Roman" w:cs="Times New Roman"/>
          <w:sz w:val="24"/>
          <w:szCs w:val="24"/>
          <w:vertAlign w:val="superscript"/>
        </w:rPr>
        <w:t>rd</w:t>
      </w:r>
      <w:r w:rsidRPr="00EA38DE">
        <w:rPr>
          <w:rFonts w:ascii="Times New Roman" w:hAnsi="Times New Roman" w:cs="Times New Roman"/>
          <w:sz w:val="24"/>
          <w:szCs w:val="24"/>
        </w:rPr>
        <w:t>, 2025, complies with all applicable copyright regulations.</w:t>
      </w:r>
    </w:p>
    <w:p w14:paraId="1D2DA56D" w14:textId="77777777" w:rsidR="00020B08" w:rsidRPr="00EA38DE" w:rsidRDefault="00020B08" w:rsidP="00020B08">
      <w:pPr>
        <w:spacing w:before="240" w:after="0" w:line="480" w:lineRule="auto"/>
        <w:rPr>
          <w:rFonts w:ascii="Times New Roman" w:hAnsi="Times New Roman" w:cs="Times New Roman"/>
          <w:sz w:val="24"/>
          <w:szCs w:val="24"/>
        </w:rPr>
      </w:pPr>
    </w:p>
    <w:p w14:paraId="7B30180B" w14:textId="77777777" w:rsidR="00020B08" w:rsidRPr="00EA38DE" w:rsidRDefault="00020B08" w:rsidP="00020B08">
      <w:pPr>
        <w:spacing w:before="240" w:after="0" w:line="480" w:lineRule="auto"/>
        <w:rPr>
          <w:rFonts w:ascii="Times New Roman" w:hAnsi="Times New Roman" w:cs="Times New Roman"/>
          <w:sz w:val="24"/>
          <w:szCs w:val="24"/>
        </w:rPr>
      </w:pPr>
    </w:p>
    <w:p w14:paraId="46AF766D" w14:textId="77777777" w:rsidR="000F762C" w:rsidRPr="00EA38DE" w:rsidRDefault="000F762C" w:rsidP="000F762C">
      <w:pPr>
        <w:pStyle w:val="BodyText"/>
        <w:ind w:right="158"/>
        <w:jc w:val="both"/>
        <w:rPr>
          <w:b/>
        </w:rPr>
      </w:pPr>
      <w:r w:rsidRPr="00EA38DE">
        <w:rPr>
          <w:b/>
        </w:rPr>
        <w:t>………………………………</w:t>
      </w:r>
      <w:r w:rsidRPr="00EA38DE">
        <w:rPr>
          <w:b/>
        </w:rPr>
        <w:tab/>
      </w:r>
      <w:r w:rsidRPr="00EA38DE">
        <w:rPr>
          <w:b/>
        </w:rPr>
        <w:tab/>
      </w:r>
      <w:r w:rsidRPr="00EA38DE">
        <w:rPr>
          <w:b/>
        </w:rPr>
        <w:tab/>
      </w:r>
      <w:r w:rsidRPr="00EA38DE">
        <w:rPr>
          <w:b/>
        </w:rPr>
        <w:tab/>
      </w:r>
      <w:r w:rsidRPr="00EA38DE">
        <w:rPr>
          <w:b/>
        </w:rPr>
        <w:tab/>
        <w:t>…………………………</w:t>
      </w:r>
    </w:p>
    <w:p w14:paraId="545F153A" w14:textId="77777777" w:rsidR="000F762C" w:rsidRPr="00EA38DE" w:rsidRDefault="000F762C" w:rsidP="000F762C">
      <w:pPr>
        <w:pStyle w:val="BodyText"/>
        <w:ind w:right="158"/>
        <w:jc w:val="both"/>
        <w:rPr>
          <w:b/>
        </w:rPr>
      </w:pPr>
      <w:r w:rsidRPr="00EA38DE">
        <w:rPr>
          <w:b/>
        </w:rPr>
        <w:t>Professor S. O. Igbinosa</w:t>
      </w:r>
      <w:r w:rsidRPr="00EA38DE">
        <w:rPr>
          <w:b/>
        </w:rPr>
        <w:tab/>
      </w:r>
      <w:r w:rsidRPr="00EA38DE">
        <w:rPr>
          <w:b/>
        </w:rPr>
        <w:tab/>
      </w:r>
      <w:r w:rsidRPr="00EA38DE">
        <w:rPr>
          <w:b/>
        </w:rPr>
        <w:tab/>
      </w:r>
      <w:r w:rsidRPr="00EA38DE">
        <w:rPr>
          <w:b/>
        </w:rPr>
        <w:tab/>
      </w:r>
      <w:r w:rsidRPr="00EA38DE">
        <w:rPr>
          <w:b/>
        </w:rPr>
        <w:tab/>
      </w:r>
      <w:r w:rsidRPr="00EA38DE">
        <w:rPr>
          <w:b/>
        </w:rPr>
        <w:tab/>
      </w:r>
      <w:r w:rsidRPr="00EA38DE">
        <w:rPr>
          <w:b/>
        </w:rPr>
        <w:tab/>
        <w:t>Date</w:t>
      </w:r>
      <w:r w:rsidRPr="00EA38DE">
        <w:rPr>
          <w:b/>
        </w:rPr>
        <w:tab/>
      </w:r>
      <w:r w:rsidRPr="00EA38DE">
        <w:rPr>
          <w:b/>
        </w:rPr>
        <w:tab/>
      </w:r>
    </w:p>
    <w:p w14:paraId="5EBE45E8" w14:textId="77777777" w:rsidR="000F762C" w:rsidRPr="00EA38DE" w:rsidRDefault="000F762C" w:rsidP="000F762C">
      <w:pPr>
        <w:pStyle w:val="BodyText"/>
        <w:ind w:right="158"/>
        <w:jc w:val="both"/>
      </w:pPr>
      <w:r w:rsidRPr="00EA38DE">
        <w:sym w:font="Symbol" w:char="F028"/>
      </w:r>
      <w:r w:rsidRPr="00EA38DE">
        <w:t>Chief Supervisor</w:t>
      </w:r>
      <w:r w:rsidRPr="00EA38DE">
        <w:sym w:font="Symbol" w:char="F029"/>
      </w:r>
      <w:r w:rsidRPr="00EA38DE">
        <w:tab/>
      </w:r>
      <w:r w:rsidRPr="00EA38DE">
        <w:tab/>
      </w:r>
      <w:r w:rsidRPr="00EA38DE">
        <w:tab/>
      </w:r>
      <w:r w:rsidRPr="00EA38DE">
        <w:tab/>
      </w:r>
      <w:r w:rsidRPr="00EA38DE">
        <w:tab/>
      </w:r>
      <w:r w:rsidRPr="00EA38DE">
        <w:tab/>
      </w:r>
      <w:r w:rsidRPr="00EA38DE">
        <w:tab/>
      </w:r>
    </w:p>
    <w:p w14:paraId="448CCE71" w14:textId="77777777" w:rsidR="000F762C" w:rsidRPr="00EA38DE" w:rsidRDefault="000F762C" w:rsidP="000F762C">
      <w:pPr>
        <w:pStyle w:val="BodyText"/>
        <w:ind w:left="158" w:right="158"/>
        <w:jc w:val="both"/>
      </w:pPr>
    </w:p>
    <w:p w14:paraId="68D893E0" w14:textId="77777777" w:rsidR="000F762C" w:rsidRPr="00EA38DE" w:rsidRDefault="000F762C" w:rsidP="000F762C">
      <w:pPr>
        <w:pStyle w:val="BodyText"/>
        <w:ind w:left="158" w:right="158"/>
        <w:jc w:val="both"/>
      </w:pPr>
    </w:p>
    <w:p w14:paraId="57ADD582" w14:textId="77777777" w:rsidR="000F762C" w:rsidRPr="00EA38DE" w:rsidRDefault="000F762C" w:rsidP="000F762C">
      <w:pPr>
        <w:pStyle w:val="BodyText"/>
        <w:ind w:left="158" w:right="158"/>
        <w:jc w:val="both"/>
      </w:pPr>
    </w:p>
    <w:p w14:paraId="42E4D3F6" w14:textId="77777777" w:rsidR="000F762C" w:rsidRPr="00EA38DE" w:rsidRDefault="000F762C" w:rsidP="000F762C">
      <w:pPr>
        <w:pStyle w:val="BodyText"/>
        <w:ind w:left="158" w:right="158"/>
        <w:jc w:val="both"/>
      </w:pPr>
    </w:p>
    <w:p w14:paraId="5FA4683F" w14:textId="77777777" w:rsidR="000F762C" w:rsidRPr="00EA38DE" w:rsidRDefault="000F762C" w:rsidP="000F762C">
      <w:pPr>
        <w:pStyle w:val="BodyText"/>
        <w:ind w:left="158" w:right="158"/>
        <w:jc w:val="both"/>
      </w:pPr>
    </w:p>
    <w:p w14:paraId="41401799" w14:textId="77777777" w:rsidR="000F762C" w:rsidRPr="00EA38DE" w:rsidRDefault="000F762C" w:rsidP="000F762C">
      <w:pPr>
        <w:pStyle w:val="BodyText"/>
        <w:ind w:left="158" w:right="158"/>
        <w:jc w:val="both"/>
      </w:pPr>
    </w:p>
    <w:p w14:paraId="52D612D6" w14:textId="77777777" w:rsidR="000F762C" w:rsidRPr="00EA38DE" w:rsidRDefault="000F762C" w:rsidP="000F762C">
      <w:pPr>
        <w:pStyle w:val="BodyText"/>
        <w:ind w:left="158" w:right="158"/>
        <w:jc w:val="both"/>
      </w:pPr>
    </w:p>
    <w:p w14:paraId="799D75CE" w14:textId="77777777" w:rsidR="000F762C" w:rsidRPr="00EA38DE" w:rsidRDefault="000F762C" w:rsidP="000F762C">
      <w:pPr>
        <w:pStyle w:val="BodyText"/>
        <w:ind w:right="158"/>
        <w:jc w:val="both"/>
        <w:rPr>
          <w:b/>
        </w:rPr>
      </w:pPr>
      <w:r w:rsidRPr="00EA38DE">
        <w:rPr>
          <w:b/>
        </w:rPr>
        <w:t>………………………………</w:t>
      </w:r>
      <w:r w:rsidRPr="00EA38DE">
        <w:rPr>
          <w:b/>
        </w:rPr>
        <w:tab/>
      </w:r>
      <w:r w:rsidRPr="00EA38DE">
        <w:rPr>
          <w:b/>
        </w:rPr>
        <w:tab/>
      </w:r>
      <w:r w:rsidRPr="00EA38DE">
        <w:rPr>
          <w:b/>
        </w:rPr>
        <w:tab/>
      </w:r>
      <w:r w:rsidRPr="00EA38DE">
        <w:rPr>
          <w:b/>
        </w:rPr>
        <w:tab/>
      </w:r>
      <w:r w:rsidRPr="00EA38DE">
        <w:rPr>
          <w:b/>
        </w:rPr>
        <w:tab/>
        <w:t>…………………………</w:t>
      </w:r>
    </w:p>
    <w:p w14:paraId="28BD466A" w14:textId="77777777" w:rsidR="000F762C" w:rsidRPr="00EA38DE" w:rsidRDefault="000F762C" w:rsidP="000F762C">
      <w:pPr>
        <w:pStyle w:val="BodyText"/>
        <w:ind w:right="158"/>
        <w:jc w:val="both"/>
        <w:rPr>
          <w:b/>
        </w:rPr>
      </w:pPr>
      <w:r w:rsidRPr="00EA38DE">
        <w:rPr>
          <w:b/>
        </w:rPr>
        <w:t>Professor E. J. Idolor</w:t>
      </w:r>
      <w:r w:rsidRPr="00EA38DE">
        <w:rPr>
          <w:b/>
        </w:rPr>
        <w:tab/>
      </w:r>
      <w:r w:rsidRPr="00EA38DE">
        <w:rPr>
          <w:b/>
        </w:rPr>
        <w:tab/>
      </w:r>
      <w:r w:rsidRPr="00EA38DE">
        <w:rPr>
          <w:b/>
        </w:rPr>
        <w:tab/>
      </w:r>
      <w:r w:rsidRPr="00EA38DE">
        <w:rPr>
          <w:b/>
        </w:rPr>
        <w:tab/>
      </w:r>
      <w:r w:rsidRPr="00EA38DE">
        <w:rPr>
          <w:b/>
        </w:rPr>
        <w:tab/>
      </w:r>
      <w:r w:rsidRPr="00EA38DE">
        <w:rPr>
          <w:b/>
        </w:rPr>
        <w:tab/>
      </w:r>
      <w:r w:rsidRPr="00EA38DE">
        <w:rPr>
          <w:b/>
        </w:rPr>
        <w:tab/>
        <w:t>Date</w:t>
      </w:r>
      <w:r w:rsidRPr="00EA38DE">
        <w:rPr>
          <w:b/>
        </w:rPr>
        <w:tab/>
      </w:r>
      <w:r w:rsidRPr="00EA38DE">
        <w:rPr>
          <w:b/>
        </w:rPr>
        <w:tab/>
      </w:r>
    </w:p>
    <w:p w14:paraId="00431D9D" w14:textId="77777777" w:rsidR="000F762C" w:rsidRPr="00EA38DE" w:rsidRDefault="000F762C" w:rsidP="000F762C">
      <w:pPr>
        <w:pStyle w:val="BodyText"/>
        <w:ind w:right="158"/>
        <w:jc w:val="both"/>
      </w:pPr>
      <w:r w:rsidRPr="00EA38DE">
        <w:sym w:font="Symbol" w:char="F028"/>
      </w:r>
      <w:r w:rsidRPr="00EA38DE">
        <w:t>Co-Supervisor</w:t>
      </w:r>
      <w:r w:rsidRPr="00EA38DE">
        <w:sym w:font="Symbol" w:char="F029"/>
      </w:r>
      <w:r w:rsidRPr="00EA38DE">
        <w:tab/>
      </w:r>
      <w:r w:rsidRPr="00EA38DE">
        <w:tab/>
      </w:r>
      <w:r w:rsidRPr="00EA38DE">
        <w:tab/>
      </w:r>
      <w:r w:rsidRPr="00EA38DE">
        <w:tab/>
      </w:r>
      <w:r w:rsidRPr="00EA38DE">
        <w:tab/>
      </w:r>
      <w:r w:rsidRPr="00EA38DE">
        <w:tab/>
      </w:r>
      <w:r w:rsidRPr="00EA38DE">
        <w:tab/>
      </w:r>
    </w:p>
    <w:p w14:paraId="29D3BFFE" w14:textId="77777777" w:rsidR="000F762C" w:rsidRPr="00EA38DE" w:rsidRDefault="000F762C" w:rsidP="000F762C">
      <w:pPr>
        <w:pStyle w:val="BodyText"/>
        <w:ind w:left="158" w:right="158"/>
        <w:jc w:val="both"/>
      </w:pPr>
    </w:p>
    <w:p w14:paraId="3B793058" w14:textId="77777777" w:rsidR="000F762C" w:rsidRPr="00EA38DE" w:rsidRDefault="000F762C" w:rsidP="000F762C">
      <w:pPr>
        <w:pStyle w:val="BodyText"/>
        <w:ind w:left="158" w:right="158"/>
        <w:jc w:val="both"/>
      </w:pPr>
    </w:p>
    <w:p w14:paraId="33406341" w14:textId="77777777" w:rsidR="000F762C" w:rsidRPr="00EA38DE" w:rsidRDefault="000F762C" w:rsidP="000F762C">
      <w:pPr>
        <w:pStyle w:val="BodyText"/>
        <w:ind w:left="158" w:right="158"/>
        <w:jc w:val="both"/>
      </w:pPr>
    </w:p>
    <w:p w14:paraId="482C92CC" w14:textId="77777777" w:rsidR="000F762C" w:rsidRPr="00EA38DE" w:rsidRDefault="000F762C" w:rsidP="000F762C">
      <w:pPr>
        <w:pStyle w:val="BodyText"/>
        <w:ind w:left="158" w:right="158"/>
        <w:jc w:val="both"/>
      </w:pPr>
    </w:p>
    <w:p w14:paraId="7108824F" w14:textId="77777777" w:rsidR="000F762C" w:rsidRPr="00EA38DE" w:rsidRDefault="000F762C" w:rsidP="000F762C">
      <w:pPr>
        <w:pStyle w:val="BodyText"/>
        <w:ind w:left="158" w:right="158"/>
        <w:jc w:val="both"/>
      </w:pPr>
    </w:p>
    <w:p w14:paraId="6E7C079C" w14:textId="77777777" w:rsidR="000F762C" w:rsidRPr="00EA38DE" w:rsidRDefault="000F762C" w:rsidP="000F762C">
      <w:pPr>
        <w:pStyle w:val="BodyText"/>
        <w:ind w:left="158" w:right="158"/>
        <w:jc w:val="both"/>
      </w:pPr>
    </w:p>
    <w:p w14:paraId="273CCFB4" w14:textId="77777777" w:rsidR="000F762C" w:rsidRPr="00EA38DE" w:rsidRDefault="000F762C" w:rsidP="000F762C">
      <w:pPr>
        <w:pStyle w:val="BodyText"/>
        <w:ind w:right="158"/>
        <w:jc w:val="both"/>
        <w:rPr>
          <w:b/>
        </w:rPr>
      </w:pPr>
      <w:r w:rsidRPr="00EA38DE">
        <w:rPr>
          <w:b/>
        </w:rPr>
        <w:t>………………………………</w:t>
      </w:r>
      <w:r w:rsidRPr="00EA38DE">
        <w:rPr>
          <w:b/>
        </w:rPr>
        <w:tab/>
      </w:r>
      <w:r w:rsidRPr="00EA38DE">
        <w:rPr>
          <w:b/>
        </w:rPr>
        <w:tab/>
      </w:r>
      <w:r w:rsidRPr="00EA38DE">
        <w:rPr>
          <w:b/>
        </w:rPr>
        <w:tab/>
      </w:r>
      <w:r w:rsidRPr="00EA38DE">
        <w:rPr>
          <w:b/>
        </w:rPr>
        <w:tab/>
      </w:r>
      <w:r w:rsidRPr="00EA38DE">
        <w:rPr>
          <w:b/>
        </w:rPr>
        <w:tab/>
        <w:t>…………………………</w:t>
      </w:r>
    </w:p>
    <w:p w14:paraId="62F8F2BF" w14:textId="77777777" w:rsidR="000F762C" w:rsidRPr="00EA38DE" w:rsidRDefault="000F762C" w:rsidP="000F762C">
      <w:pPr>
        <w:pStyle w:val="BodyText"/>
        <w:ind w:right="158"/>
        <w:jc w:val="both"/>
        <w:rPr>
          <w:b/>
        </w:rPr>
      </w:pPr>
      <w:r w:rsidRPr="00EA38DE">
        <w:rPr>
          <w:b/>
        </w:rPr>
        <w:t xml:space="preserve">Dr. A.O. Izekor </w:t>
      </w:r>
      <w:r w:rsidRPr="00EA38DE">
        <w:rPr>
          <w:b/>
        </w:rPr>
        <w:tab/>
      </w:r>
      <w:r w:rsidRPr="00EA38DE">
        <w:rPr>
          <w:b/>
        </w:rPr>
        <w:tab/>
      </w:r>
      <w:r w:rsidRPr="00EA38DE">
        <w:rPr>
          <w:b/>
        </w:rPr>
        <w:tab/>
      </w:r>
      <w:r w:rsidRPr="00EA38DE">
        <w:rPr>
          <w:b/>
        </w:rPr>
        <w:tab/>
      </w:r>
      <w:r w:rsidRPr="00EA38DE">
        <w:rPr>
          <w:b/>
        </w:rPr>
        <w:tab/>
      </w:r>
      <w:r w:rsidRPr="00EA38DE">
        <w:rPr>
          <w:b/>
        </w:rPr>
        <w:tab/>
      </w:r>
      <w:r w:rsidRPr="00EA38DE">
        <w:rPr>
          <w:b/>
        </w:rPr>
        <w:tab/>
      </w:r>
      <w:r w:rsidRPr="00EA38DE">
        <w:rPr>
          <w:b/>
        </w:rPr>
        <w:tab/>
        <w:t>Date</w:t>
      </w:r>
      <w:r w:rsidRPr="00EA38DE">
        <w:rPr>
          <w:b/>
        </w:rPr>
        <w:tab/>
      </w:r>
    </w:p>
    <w:p w14:paraId="668552DD" w14:textId="038578BC" w:rsidR="00020B08" w:rsidRPr="00EA38DE" w:rsidRDefault="000F762C" w:rsidP="000F762C">
      <w:pPr>
        <w:spacing w:line="480" w:lineRule="auto"/>
        <w:rPr>
          <w:rFonts w:ascii="Times New Roman" w:hAnsi="Times New Roman" w:cs="Times New Roman"/>
          <w:sz w:val="24"/>
          <w:szCs w:val="24"/>
        </w:rPr>
      </w:pPr>
      <w:r w:rsidRPr="00EA38DE">
        <w:t>(Head of Department)</w:t>
      </w:r>
      <w:r w:rsidRPr="00EA38DE">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r w:rsidR="00020B08" w:rsidRPr="00EA38DE">
        <w:rPr>
          <w:rFonts w:ascii="Times New Roman" w:hAnsi="Times New Roman" w:cs="Times New Roman"/>
          <w:sz w:val="24"/>
          <w:szCs w:val="24"/>
        </w:rPr>
        <w:tab/>
      </w:r>
    </w:p>
    <w:p w14:paraId="23C8D828" w14:textId="77777777" w:rsidR="00020B08" w:rsidRPr="00EA38DE" w:rsidRDefault="00020B08" w:rsidP="00020B08">
      <w:pPr>
        <w:spacing w:line="480" w:lineRule="auto"/>
        <w:rPr>
          <w:rFonts w:ascii="Times New Roman" w:hAnsi="Times New Roman" w:cs="Times New Roman"/>
          <w:sz w:val="24"/>
          <w:szCs w:val="24"/>
        </w:rPr>
      </w:pPr>
      <w:r w:rsidRPr="00EA38DE">
        <w:rPr>
          <w:rFonts w:ascii="Times New Roman" w:hAnsi="Times New Roman" w:cs="Times New Roman"/>
          <w:sz w:val="24"/>
          <w:szCs w:val="24"/>
        </w:rPr>
        <w:t xml:space="preserve">                                             </w:t>
      </w:r>
    </w:p>
    <w:p w14:paraId="6B193146" w14:textId="77777777" w:rsidR="00020B08" w:rsidRPr="00EA38DE" w:rsidRDefault="00020B08" w:rsidP="00020B08">
      <w:pPr>
        <w:spacing w:line="480" w:lineRule="auto"/>
        <w:rPr>
          <w:rFonts w:ascii="Times New Roman" w:hAnsi="Times New Roman" w:cs="Times New Roman"/>
          <w:sz w:val="24"/>
          <w:szCs w:val="24"/>
        </w:rPr>
      </w:pPr>
    </w:p>
    <w:p w14:paraId="408433DB" w14:textId="77777777" w:rsidR="00020B08" w:rsidRPr="00EA38DE" w:rsidRDefault="00020B08" w:rsidP="00020B08">
      <w:pPr>
        <w:spacing w:line="480" w:lineRule="auto"/>
        <w:rPr>
          <w:rFonts w:ascii="Times New Roman" w:hAnsi="Times New Roman" w:cs="Times New Roman"/>
          <w:sz w:val="24"/>
          <w:szCs w:val="24"/>
        </w:rPr>
      </w:pPr>
      <w:r w:rsidRPr="00EA38DE">
        <w:rPr>
          <w:rFonts w:ascii="Times New Roman" w:hAnsi="Times New Roman" w:cs="Times New Roman"/>
          <w:sz w:val="24"/>
          <w:szCs w:val="24"/>
        </w:rPr>
        <w:br w:type="page"/>
      </w:r>
    </w:p>
    <w:p w14:paraId="39E1B935" w14:textId="77777777" w:rsidR="00B421D1" w:rsidRPr="00EA38DE" w:rsidRDefault="00B421D1" w:rsidP="00B421D1">
      <w:pPr>
        <w:spacing w:after="240" w:line="480" w:lineRule="auto"/>
        <w:jc w:val="center"/>
        <w:rPr>
          <w:rFonts w:ascii="Times New Roman" w:hAnsi="Times New Roman"/>
          <w:b/>
          <w:sz w:val="24"/>
          <w:szCs w:val="24"/>
        </w:rPr>
      </w:pPr>
      <w:r w:rsidRPr="00EA38DE">
        <w:rPr>
          <w:rFonts w:ascii="Times New Roman" w:hAnsi="Times New Roman"/>
          <w:b/>
          <w:sz w:val="24"/>
          <w:szCs w:val="24"/>
        </w:rPr>
        <w:lastRenderedPageBreak/>
        <w:t xml:space="preserve">ATTESTATION </w:t>
      </w:r>
    </w:p>
    <w:p w14:paraId="238AE7F8" w14:textId="7619B422" w:rsidR="00B421D1" w:rsidRPr="00EA38DE" w:rsidRDefault="00B421D1" w:rsidP="00B421D1">
      <w:pPr>
        <w:spacing w:line="480" w:lineRule="auto"/>
        <w:jc w:val="both"/>
        <w:rPr>
          <w:rFonts w:ascii="Times New Roman" w:hAnsi="Times New Roman" w:cs="Times New Roman"/>
          <w:b/>
          <w:sz w:val="24"/>
          <w:szCs w:val="24"/>
          <w:lang w:val="en-GB"/>
        </w:rPr>
      </w:pPr>
      <w:r w:rsidRPr="00EA38DE">
        <w:rPr>
          <w:rFonts w:ascii="Times New Roman" w:hAnsi="Times New Roman" w:cs="Times New Roman"/>
          <w:sz w:val="24"/>
          <w:szCs w:val="24"/>
        </w:rPr>
        <w:t>We, the undersigned, hereby certify that Mina Enaikpobomene IREJEH</w:t>
      </w:r>
      <w:r w:rsidRPr="00EA38DE">
        <w:rPr>
          <w:rFonts w:ascii="Times New Roman" w:hAnsi="Times New Roman" w:cs="Times New Roman"/>
          <w:b/>
          <w:sz w:val="24"/>
          <w:szCs w:val="32"/>
        </w:rPr>
        <w:t xml:space="preserve"> </w:t>
      </w:r>
      <w:r w:rsidRPr="00EA38DE">
        <w:rPr>
          <w:rFonts w:ascii="Times New Roman" w:hAnsi="Times New Roman" w:cs="Times New Roman"/>
          <w:sz w:val="24"/>
          <w:szCs w:val="24"/>
        </w:rPr>
        <w:t>has satisfactorily effected all corrections recommended by both the external and internal examiners in his dissertation, titled: “</w:t>
      </w:r>
      <w:r w:rsidRPr="00EA38DE">
        <w:rPr>
          <w:rStyle w:val="Emphasis"/>
          <w:rFonts w:ascii="Times New Roman" w:hAnsi="Times New Roman" w:cs="Times New Roman"/>
          <w:sz w:val="24"/>
          <w:szCs w:val="24"/>
        </w:rPr>
        <w:t>Exchange Rate Volatility, Blue Economy, and Shipping Industry Financial Performance in Nigeria</w:t>
      </w:r>
      <w:r w:rsidRPr="00EA38DE">
        <w:rPr>
          <w:rFonts w:ascii="Times New Roman" w:hAnsi="Times New Roman" w:cs="Times New Roman"/>
          <w:iCs/>
          <w:sz w:val="24"/>
          <w:szCs w:val="24"/>
        </w:rPr>
        <w:t>".</w:t>
      </w:r>
    </w:p>
    <w:p w14:paraId="22F1D409" w14:textId="77777777" w:rsidR="00B421D1" w:rsidRPr="00EA38DE" w:rsidRDefault="00B421D1" w:rsidP="00B421D1">
      <w:pPr>
        <w:spacing w:after="0" w:line="480" w:lineRule="auto"/>
        <w:jc w:val="both"/>
        <w:rPr>
          <w:rFonts w:ascii="Times New Roman" w:hAnsi="Times New Roman" w:cs="Times New Roman"/>
          <w:sz w:val="24"/>
          <w:szCs w:val="24"/>
          <w:lang w:val="en-GB"/>
        </w:rPr>
      </w:pPr>
    </w:p>
    <w:p w14:paraId="326026ED" w14:textId="77777777" w:rsidR="00B421D1" w:rsidRPr="00EA38DE" w:rsidRDefault="00B421D1" w:rsidP="00B421D1">
      <w:pPr>
        <w:spacing w:after="0" w:line="480" w:lineRule="auto"/>
        <w:jc w:val="both"/>
        <w:rPr>
          <w:rFonts w:ascii="Times New Roman" w:hAnsi="Times New Roman" w:cs="Times New Roman"/>
          <w:sz w:val="24"/>
          <w:szCs w:val="24"/>
          <w:lang w:val="en-GB"/>
        </w:rPr>
      </w:pPr>
    </w:p>
    <w:p w14:paraId="2DC21AC8" w14:textId="77777777" w:rsidR="00B421D1" w:rsidRPr="00EA38DE" w:rsidRDefault="00B421D1" w:rsidP="00B421D1">
      <w:pPr>
        <w:spacing w:after="0" w:line="480" w:lineRule="auto"/>
        <w:jc w:val="both"/>
        <w:rPr>
          <w:rFonts w:ascii="Times New Roman" w:hAnsi="Times New Roman" w:cs="Times New Roman"/>
          <w:sz w:val="24"/>
          <w:szCs w:val="24"/>
          <w:lang w:val="en-GB"/>
        </w:rPr>
      </w:pPr>
    </w:p>
    <w:p w14:paraId="0A8A257B" w14:textId="77777777" w:rsidR="00B421D1" w:rsidRPr="00EA38DE" w:rsidRDefault="00B421D1" w:rsidP="00B421D1">
      <w:pPr>
        <w:spacing w:after="0" w:line="240" w:lineRule="auto"/>
        <w:jc w:val="both"/>
        <w:rPr>
          <w:rFonts w:ascii="Times New Roman" w:hAnsi="Times New Roman" w:cs="Times New Roman"/>
          <w:b/>
          <w:sz w:val="24"/>
          <w:szCs w:val="24"/>
          <w:lang w:val="en-GB"/>
        </w:rPr>
      </w:pPr>
      <w:r w:rsidRPr="00EA38DE">
        <w:rPr>
          <w:rFonts w:ascii="Times New Roman" w:hAnsi="Times New Roman" w:cs="Times New Roman"/>
          <w:b/>
          <w:sz w:val="24"/>
          <w:szCs w:val="24"/>
          <w:lang w:val="en-GB"/>
        </w:rPr>
        <w:t>_____________________________</w:t>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t>_________________________</w:t>
      </w:r>
    </w:p>
    <w:p w14:paraId="70CC8359" w14:textId="77777777" w:rsidR="00B421D1" w:rsidRPr="00EA38DE" w:rsidRDefault="00B421D1" w:rsidP="00B421D1">
      <w:pPr>
        <w:spacing w:after="0" w:line="240" w:lineRule="auto"/>
        <w:rPr>
          <w:rFonts w:ascii="Times New Roman" w:hAnsi="Times New Roman" w:cs="Times New Roman"/>
          <w:b/>
          <w:sz w:val="24"/>
          <w:szCs w:val="24"/>
          <w:lang w:val="en-GB"/>
        </w:rPr>
      </w:pPr>
      <w:r w:rsidRPr="00EA38DE">
        <w:rPr>
          <w:rFonts w:ascii="Times New Roman" w:hAnsi="Times New Roman" w:cs="Times New Roman"/>
          <w:b/>
          <w:sz w:val="24"/>
        </w:rPr>
        <w:t>Prof. S.O. Igbinosa</w:t>
      </w:r>
      <w:r w:rsidRPr="00EA38DE">
        <w:rPr>
          <w:rFonts w:ascii="Times New Roman" w:hAnsi="Times New Roman" w:cs="Times New Roman"/>
          <w:b/>
          <w:sz w:val="24"/>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t>Date</w:t>
      </w:r>
    </w:p>
    <w:p w14:paraId="70D7D8DA" w14:textId="77777777" w:rsidR="00B421D1" w:rsidRPr="00EA38DE" w:rsidRDefault="00B421D1" w:rsidP="00B421D1">
      <w:pPr>
        <w:spacing w:after="0" w:line="240" w:lineRule="auto"/>
        <w:rPr>
          <w:rFonts w:ascii="Times New Roman" w:hAnsi="Times New Roman" w:cs="Times New Roman"/>
          <w:b/>
          <w:sz w:val="24"/>
          <w:szCs w:val="24"/>
          <w:lang w:val="en-GB"/>
        </w:rPr>
      </w:pPr>
      <w:r w:rsidRPr="00EA38DE">
        <w:rPr>
          <w:rFonts w:ascii="Times New Roman" w:hAnsi="Times New Roman" w:cs="Times New Roman"/>
          <w:b/>
          <w:sz w:val="24"/>
          <w:szCs w:val="24"/>
          <w:lang w:val="en-GB"/>
        </w:rPr>
        <w:t>(Chief Supervisor)</w:t>
      </w:r>
      <w:r w:rsidRPr="00EA38DE">
        <w:rPr>
          <w:rFonts w:ascii="Times New Roman" w:hAnsi="Times New Roman" w:cs="Times New Roman"/>
          <w:b/>
          <w:sz w:val="24"/>
          <w:szCs w:val="24"/>
          <w:lang w:val="en-GB"/>
        </w:rPr>
        <w:tab/>
      </w:r>
    </w:p>
    <w:p w14:paraId="23A71636"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5C0BE890"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4FE5B913"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3AF9E2CC"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1F7E7E3C"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52BD7A45" w14:textId="77777777" w:rsidR="00B421D1" w:rsidRPr="00EA38DE" w:rsidRDefault="00B421D1" w:rsidP="00B421D1">
      <w:pPr>
        <w:spacing w:after="0" w:line="240" w:lineRule="auto"/>
        <w:jc w:val="both"/>
        <w:rPr>
          <w:rFonts w:ascii="Times New Roman" w:hAnsi="Times New Roman" w:cs="Times New Roman"/>
          <w:b/>
          <w:sz w:val="24"/>
          <w:szCs w:val="24"/>
          <w:lang w:val="en-GB"/>
        </w:rPr>
      </w:pPr>
      <w:r w:rsidRPr="00EA38DE">
        <w:rPr>
          <w:rFonts w:ascii="Times New Roman" w:hAnsi="Times New Roman" w:cs="Times New Roman"/>
          <w:b/>
          <w:sz w:val="24"/>
          <w:szCs w:val="24"/>
          <w:lang w:val="en-GB"/>
        </w:rPr>
        <w:t>__________________________</w:t>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t>_________________________</w:t>
      </w:r>
    </w:p>
    <w:p w14:paraId="4A0884EE" w14:textId="77777777" w:rsidR="00B421D1" w:rsidRPr="00EA38DE" w:rsidRDefault="00B421D1" w:rsidP="00B421D1">
      <w:pPr>
        <w:spacing w:after="0" w:line="240" w:lineRule="auto"/>
        <w:jc w:val="both"/>
        <w:rPr>
          <w:rFonts w:ascii="Times New Roman" w:hAnsi="Times New Roman" w:cs="Times New Roman"/>
          <w:sz w:val="24"/>
          <w:szCs w:val="24"/>
          <w:lang w:val="en-GB"/>
        </w:rPr>
      </w:pPr>
      <w:r w:rsidRPr="00EA38DE">
        <w:rPr>
          <w:rFonts w:ascii="Times New Roman" w:hAnsi="Times New Roman" w:cs="Times New Roman"/>
          <w:b/>
          <w:sz w:val="24"/>
          <w:szCs w:val="24"/>
          <w:lang w:val="en-GB"/>
        </w:rPr>
        <w:t>Prof. E. J. Idolor</w:t>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t>Date</w:t>
      </w:r>
    </w:p>
    <w:p w14:paraId="43E06C76" w14:textId="77777777" w:rsidR="00B421D1" w:rsidRPr="00EA38DE" w:rsidRDefault="00B421D1" w:rsidP="00B421D1">
      <w:pPr>
        <w:spacing w:after="0" w:line="240" w:lineRule="auto"/>
        <w:jc w:val="both"/>
        <w:rPr>
          <w:rFonts w:ascii="Times New Roman" w:hAnsi="Times New Roman" w:cs="Times New Roman"/>
          <w:b/>
          <w:sz w:val="24"/>
          <w:szCs w:val="24"/>
          <w:lang w:val="en-GB"/>
        </w:rPr>
      </w:pPr>
      <w:r w:rsidRPr="00EA38DE">
        <w:rPr>
          <w:rFonts w:ascii="Times New Roman" w:hAnsi="Times New Roman" w:cs="Times New Roman"/>
          <w:sz w:val="24"/>
          <w:szCs w:val="24"/>
          <w:lang w:val="en-GB"/>
        </w:rPr>
        <w:t>(</w:t>
      </w:r>
      <w:r w:rsidRPr="00EA38DE">
        <w:rPr>
          <w:rFonts w:ascii="Times New Roman" w:hAnsi="Times New Roman" w:cs="Times New Roman"/>
          <w:b/>
          <w:sz w:val="24"/>
          <w:szCs w:val="24"/>
          <w:lang w:val="en-GB"/>
        </w:rPr>
        <w:t>Co- Supervisor)</w:t>
      </w:r>
    </w:p>
    <w:p w14:paraId="13ADC815"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0CE17F9C" w14:textId="77777777" w:rsidR="00B421D1" w:rsidRPr="00EA38DE" w:rsidRDefault="00B421D1" w:rsidP="00B421D1">
      <w:pPr>
        <w:spacing w:after="0" w:line="240" w:lineRule="auto"/>
        <w:rPr>
          <w:rFonts w:cs="Times New Roman"/>
          <w:lang w:val="en-GB"/>
        </w:rPr>
      </w:pPr>
    </w:p>
    <w:p w14:paraId="41E93D11" w14:textId="77777777" w:rsidR="00B421D1" w:rsidRPr="00EA38DE" w:rsidRDefault="00B421D1" w:rsidP="00B421D1">
      <w:pPr>
        <w:spacing w:after="0" w:line="240" w:lineRule="auto"/>
        <w:rPr>
          <w:rFonts w:cs="Times New Roman"/>
          <w:lang w:val="en-GB"/>
        </w:rPr>
      </w:pPr>
    </w:p>
    <w:p w14:paraId="2BD89443" w14:textId="77777777" w:rsidR="00B421D1" w:rsidRPr="00EA38DE" w:rsidRDefault="00B421D1" w:rsidP="00B421D1">
      <w:pPr>
        <w:spacing w:after="0" w:line="240" w:lineRule="auto"/>
        <w:rPr>
          <w:rFonts w:cs="Times New Roman"/>
          <w:lang w:val="en-GB"/>
        </w:rPr>
      </w:pPr>
    </w:p>
    <w:p w14:paraId="2EBC9513" w14:textId="77777777" w:rsidR="00B421D1" w:rsidRPr="00EA38DE" w:rsidRDefault="00B421D1" w:rsidP="00B421D1">
      <w:pPr>
        <w:spacing w:after="0" w:line="240" w:lineRule="auto"/>
        <w:rPr>
          <w:rFonts w:cs="Times New Roman"/>
          <w:lang w:val="en-GB"/>
        </w:rPr>
      </w:pPr>
    </w:p>
    <w:p w14:paraId="13AFBF5D" w14:textId="77777777" w:rsidR="00B421D1" w:rsidRPr="00EA38DE" w:rsidRDefault="00B421D1" w:rsidP="00B421D1">
      <w:pPr>
        <w:spacing w:after="0" w:line="240" w:lineRule="auto"/>
        <w:jc w:val="both"/>
        <w:rPr>
          <w:rFonts w:ascii="Times New Roman" w:hAnsi="Times New Roman" w:cs="Times New Roman"/>
          <w:b/>
          <w:sz w:val="24"/>
          <w:szCs w:val="24"/>
          <w:lang w:val="en-GB"/>
        </w:rPr>
      </w:pPr>
      <w:r w:rsidRPr="00EA38DE">
        <w:rPr>
          <w:rFonts w:ascii="Times New Roman" w:hAnsi="Times New Roman" w:cs="Times New Roman"/>
          <w:b/>
          <w:sz w:val="24"/>
          <w:szCs w:val="24"/>
          <w:lang w:val="en-GB"/>
        </w:rPr>
        <w:t>_________________________</w:t>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t>_________________________</w:t>
      </w:r>
    </w:p>
    <w:p w14:paraId="584D14DF" w14:textId="77777777" w:rsidR="00B421D1" w:rsidRPr="00EA38DE" w:rsidRDefault="00B421D1" w:rsidP="00B421D1">
      <w:pPr>
        <w:spacing w:after="0" w:line="240" w:lineRule="auto"/>
        <w:jc w:val="both"/>
        <w:rPr>
          <w:rFonts w:ascii="Times New Roman" w:hAnsi="Times New Roman" w:cs="Times New Roman"/>
          <w:b/>
          <w:sz w:val="24"/>
          <w:szCs w:val="24"/>
          <w:lang w:val="en-GB"/>
        </w:rPr>
      </w:pPr>
      <w:r w:rsidRPr="00EA38DE">
        <w:rPr>
          <w:rFonts w:ascii="Times New Roman" w:hAnsi="Times New Roman" w:cs="Times New Roman"/>
          <w:b/>
          <w:bCs/>
          <w:sz w:val="24"/>
          <w:szCs w:val="24"/>
          <w:lang w:val="en-GB"/>
        </w:rPr>
        <w:t>Dr. A. O</w:t>
      </w:r>
      <w:r w:rsidRPr="00EA38DE">
        <w:rPr>
          <w:rFonts w:ascii="Times New Roman" w:hAnsi="Times New Roman" w:cs="Times New Roman"/>
          <w:b/>
          <w:sz w:val="24"/>
          <w:szCs w:val="24"/>
          <w:lang w:val="en-GB"/>
        </w:rPr>
        <w:t>. Izekor</w:t>
      </w:r>
      <w:r w:rsidRPr="00EA38DE">
        <w:rPr>
          <w:rFonts w:ascii="Times New Roman" w:hAnsi="Times New Roman" w:cs="Times New Roman"/>
          <w:b/>
          <w:sz w:val="24"/>
          <w:szCs w:val="24"/>
          <w:lang w:val="en-GB"/>
        </w:rPr>
        <w:tab/>
        <w:t xml:space="preserve"> </w:t>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r>
      <w:r w:rsidRPr="00EA38DE">
        <w:rPr>
          <w:rFonts w:ascii="Times New Roman" w:hAnsi="Times New Roman" w:cs="Times New Roman"/>
          <w:b/>
          <w:sz w:val="24"/>
          <w:szCs w:val="24"/>
          <w:lang w:val="en-GB"/>
        </w:rPr>
        <w:tab/>
        <w:t>Date</w:t>
      </w:r>
    </w:p>
    <w:p w14:paraId="202690CC" w14:textId="77777777" w:rsidR="00B421D1" w:rsidRPr="00EA38DE" w:rsidRDefault="00B421D1" w:rsidP="00B421D1">
      <w:pPr>
        <w:spacing w:after="0" w:line="240" w:lineRule="auto"/>
        <w:jc w:val="both"/>
        <w:rPr>
          <w:rFonts w:ascii="Times New Roman" w:hAnsi="Times New Roman" w:cs="Times New Roman"/>
          <w:b/>
          <w:sz w:val="24"/>
          <w:szCs w:val="24"/>
          <w:lang w:val="en-GB"/>
        </w:rPr>
      </w:pPr>
      <w:r w:rsidRPr="00EA38DE">
        <w:rPr>
          <w:rFonts w:ascii="Times New Roman" w:hAnsi="Times New Roman" w:cs="Times New Roman"/>
          <w:sz w:val="24"/>
          <w:szCs w:val="24"/>
          <w:lang w:val="en-GB"/>
        </w:rPr>
        <w:t>(</w:t>
      </w:r>
      <w:r w:rsidRPr="00EA38DE">
        <w:rPr>
          <w:rFonts w:ascii="Times New Roman" w:hAnsi="Times New Roman" w:cs="Times New Roman"/>
          <w:b/>
          <w:sz w:val="24"/>
          <w:szCs w:val="24"/>
          <w:lang w:val="en-GB"/>
        </w:rPr>
        <w:t>Head of Department)</w:t>
      </w:r>
    </w:p>
    <w:p w14:paraId="028D972A"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0CECCA74"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731F6D5A"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17B302C9"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497E8F58"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174DF0E6" w14:textId="77777777" w:rsidR="00B421D1" w:rsidRPr="00EA38DE" w:rsidRDefault="00B421D1" w:rsidP="00B421D1">
      <w:pPr>
        <w:spacing w:after="0" w:line="240" w:lineRule="auto"/>
        <w:jc w:val="both"/>
        <w:rPr>
          <w:rFonts w:ascii="Times New Roman" w:hAnsi="Times New Roman" w:cs="Times New Roman"/>
          <w:b/>
          <w:sz w:val="24"/>
          <w:szCs w:val="24"/>
          <w:lang w:val="en-GB"/>
        </w:rPr>
      </w:pPr>
    </w:p>
    <w:p w14:paraId="241F5770" w14:textId="77777777" w:rsidR="00B421D1" w:rsidRPr="00EA38DE" w:rsidRDefault="00B421D1" w:rsidP="00B421D1">
      <w:pPr>
        <w:spacing w:after="0" w:line="240" w:lineRule="auto"/>
        <w:jc w:val="both"/>
        <w:rPr>
          <w:rFonts w:ascii="Times New Roman" w:hAnsi="Times New Roman"/>
          <w:b/>
          <w:sz w:val="24"/>
          <w:szCs w:val="24"/>
        </w:rPr>
      </w:pPr>
      <w:r w:rsidRPr="00EA38DE">
        <w:rPr>
          <w:rFonts w:ascii="Times New Roman" w:hAnsi="Times New Roman"/>
          <w:b/>
          <w:sz w:val="24"/>
          <w:szCs w:val="24"/>
        </w:rPr>
        <w:t>____________________________</w:t>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t>_________________________</w:t>
      </w:r>
    </w:p>
    <w:p w14:paraId="616A19C9" w14:textId="77777777" w:rsidR="00B421D1" w:rsidRPr="00EA38DE" w:rsidRDefault="00B421D1" w:rsidP="00B421D1">
      <w:pPr>
        <w:spacing w:after="0" w:line="240" w:lineRule="auto"/>
        <w:jc w:val="both"/>
        <w:rPr>
          <w:rFonts w:ascii="Times New Roman" w:hAnsi="Times New Roman"/>
          <w:b/>
          <w:bCs/>
          <w:sz w:val="24"/>
          <w:szCs w:val="24"/>
        </w:rPr>
      </w:pPr>
      <w:r w:rsidRPr="00EA38DE">
        <w:rPr>
          <w:rFonts w:ascii="Times New Roman" w:hAnsi="Times New Roman"/>
          <w:b/>
          <w:sz w:val="24"/>
          <w:szCs w:val="24"/>
        </w:rPr>
        <w:t xml:space="preserve">Dr. F. O. Ogieva </w:t>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r>
      <w:r w:rsidRPr="00EA38DE">
        <w:rPr>
          <w:rFonts w:ascii="Times New Roman" w:hAnsi="Times New Roman"/>
          <w:b/>
          <w:sz w:val="24"/>
          <w:szCs w:val="24"/>
        </w:rPr>
        <w:tab/>
        <w:t xml:space="preserve">           </w:t>
      </w:r>
      <w:r w:rsidRPr="00EA38DE">
        <w:rPr>
          <w:rFonts w:ascii="Times New Roman" w:hAnsi="Times New Roman"/>
          <w:b/>
          <w:bCs/>
          <w:sz w:val="24"/>
          <w:szCs w:val="24"/>
        </w:rPr>
        <w:t>Date</w:t>
      </w:r>
    </w:p>
    <w:p w14:paraId="7A955D03" w14:textId="3E6C1367" w:rsidR="00B421D1" w:rsidRPr="00EA38DE" w:rsidRDefault="00B421D1" w:rsidP="00B421D1">
      <w:pPr>
        <w:spacing w:line="480" w:lineRule="auto"/>
        <w:jc w:val="both"/>
        <w:rPr>
          <w:rFonts w:ascii="Times New Roman" w:hAnsi="Times New Roman" w:cs="Times New Roman"/>
          <w:b/>
          <w:sz w:val="24"/>
          <w:szCs w:val="24"/>
        </w:rPr>
      </w:pPr>
      <w:r w:rsidRPr="00EA38DE">
        <w:rPr>
          <w:rFonts w:ascii="Times New Roman" w:hAnsi="Times New Roman"/>
          <w:b/>
          <w:sz w:val="24"/>
          <w:szCs w:val="24"/>
        </w:rPr>
        <w:t>(Internal Examiner)</w:t>
      </w:r>
    </w:p>
    <w:p w14:paraId="2AC621EA" w14:textId="03A56160" w:rsidR="00020B08" w:rsidRPr="00EA38DE" w:rsidRDefault="00020B08" w:rsidP="00020B08">
      <w:pPr>
        <w:spacing w:line="480" w:lineRule="auto"/>
        <w:jc w:val="center"/>
        <w:rPr>
          <w:rFonts w:ascii="Times New Roman" w:hAnsi="Times New Roman" w:cs="Times New Roman"/>
          <w:b/>
          <w:sz w:val="24"/>
          <w:szCs w:val="24"/>
        </w:rPr>
      </w:pPr>
      <w:r w:rsidRPr="00EA38DE">
        <w:rPr>
          <w:rFonts w:ascii="Times New Roman" w:hAnsi="Times New Roman" w:cs="Times New Roman"/>
          <w:b/>
          <w:sz w:val="24"/>
          <w:szCs w:val="24"/>
        </w:rPr>
        <w:lastRenderedPageBreak/>
        <w:t>DEDICATION</w:t>
      </w:r>
    </w:p>
    <w:p w14:paraId="7FE8FAFB" w14:textId="04DFDDFD" w:rsidR="00020B08" w:rsidRPr="00EA38DE" w:rsidRDefault="007B7169" w:rsidP="00020B08">
      <w:pPr>
        <w:pStyle w:val="NormalWeb"/>
        <w:spacing w:line="480" w:lineRule="auto"/>
        <w:jc w:val="both"/>
      </w:pPr>
      <w:r>
        <w:t xml:space="preserve">This work is dedicated to the loving memory of my late parents, </w:t>
      </w:r>
      <w:r w:rsidR="0053137E">
        <w:t xml:space="preserve">Chief Irejeh </w:t>
      </w:r>
      <w:r w:rsidR="00777D02">
        <w:t xml:space="preserve">Sakarah </w:t>
      </w:r>
      <w:r w:rsidR="0053137E">
        <w:t xml:space="preserve">Dickson, </w:t>
      </w:r>
      <w:r>
        <w:t xml:space="preserve">and Mrs. </w:t>
      </w:r>
      <w:r w:rsidR="0053137E">
        <w:t>Irejeh Isene Taraghan</w:t>
      </w:r>
      <w:r>
        <w:t>, whose sacrifices and guidance laid the foundation for my academic journey; to my wife, Mrs. Irejeh Tina, for her unwavering support and patience; and to my beloved daughter, Miss. Irejeh Ebikonboere Grace, whose love and inspiration made the successful completion of this work possible.</w:t>
      </w:r>
    </w:p>
    <w:p w14:paraId="27F168CB" w14:textId="77777777" w:rsidR="00020B08" w:rsidRPr="00EA38DE" w:rsidRDefault="00020B08" w:rsidP="00020B08">
      <w:pPr>
        <w:pStyle w:val="BodyText"/>
        <w:ind w:right="158"/>
        <w:jc w:val="center"/>
        <w:rPr>
          <w:b/>
        </w:rPr>
      </w:pPr>
    </w:p>
    <w:p w14:paraId="50D5D7F2" w14:textId="77777777" w:rsidR="00F6318C" w:rsidRPr="00EA38DE" w:rsidRDefault="00F6318C" w:rsidP="00020B08">
      <w:pPr>
        <w:pStyle w:val="NormalWeb"/>
        <w:spacing w:before="0" w:beforeAutospacing="0" w:after="0" w:afterAutospacing="0"/>
        <w:rPr>
          <w:rStyle w:val="Strong"/>
        </w:rPr>
      </w:pPr>
    </w:p>
    <w:p w14:paraId="09D8944B" w14:textId="77777777" w:rsidR="00F6318C" w:rsidRPr="00EA38DE" w:rsidRDefault="00F6318C" w:rsidP="00020B08">
      <w:pPr>
        <w:pStyle w:val="NormalWeb"/>
        <w:spacing w:before="0" w:beforeAutospacing="0" w:after="0" w:afterAutospacing="0"/>
        <w:rPr>
          <w:rStyle w:val="Strong"/>
        </w:rPr>
      </w:pPr>
    </w:p>
    <w:p w14:paraId="0DBF43E4" w14:textId="77777777" w:rsidR="00F6318C" w:rsidRPr="00EA38DE" w:rsidRDefault="00F6318C" w:rsidP="00020B08">
      <w:pPr>
        <w:pStyle w:val="NormalWeb"/>
        <w:spacing w:before="0" w:beforeAutospacing="0" w:after="0" w:afterAutospacing="0"/>
        <w:rPr>
          <w:rStyle w:val="Strong"/>
        </w:rPr>
      </w:pPr>
    </w:p>
    <w:p w14:paraId="6BE3EC72" w14:textId="77777777" w:rsidR="00F6318C" w:rsidRPr="00EA38DE" w:rsidRDefault="00F6318C" w:rsidP="00020B08">
      <w:pPr>
        <w:pStyle w:val="NormalWeb"/>
        <w:spacing w:before="0" w:beforeAutospacing="0" w:after="0" w:afterAutospacing="0"/>
        <w:rPr>
          <w:rStyle w:val="Strong"/>
        </w:rPr>
      </w:pPr>
    </w:p>
    <w:p w14:paraId="7A693744" w14:textId="77777777" w:rsidR="00F6318C" w:rsidRPr="00EA38DE" w:rsidRDefault="00F6318C" w:rsidP="00020B08">
      <w:pPr>
        <w:pStyle w:val="NormalWeb"/>
        <w:spacing w:before="0" w:beforeAutospacing="0" w:after="0" w:afterAutospacing="0"/>
        <w:rPr>
          <w:rStyle w:val="Strong"/>
        </w:rPr>
      </w:pPr>
    </w:p>
    <w:p w14:paraId="338C3C24" w14:textId="77777777" w:rsidR="00F6318C" w:rsidRPr="00EA38DE" w:rsidRDefault="00F6318C" w:rsidP="00020B08">
      <w:pPr>
        <w:pStyle w:val="NormalWeb"/>
        <w:spacing w:before="0" w:beforeAutospacing="0" w:after="0" w:afterAutospacing="0"/>
        <w:rPr>
          <w:rStyle w:val="Strong"/>
        </w:rPr>
      </w:pPr>
    </w:p>
    <w:p w14:paraId="68C269B1" w14:textId="77777777" w:rsidR="00F6318C" w:rsidRPr="00EA38DE" w:rsidRDefault="00F6318C" w:rsidP="00020B08">
      <w:pPr>
        <w:pStyle w:val="NormalWeb"/>
        <w:spacing w:before="0" w:beforeAutospacing="0" w:after="0" w:afterAutospacing="0"/>
        <w:rPr>
          <w:rStyle w:val="Strong"/>
        </w:rPr>
      </w:pPr>
    </w:p>
    <w:p w14:paraId="734E0617" w14:textId="25EBF929" w:rsidR="00020B08" w:rsidRPr="00EA38DE" w:rsidRDefault="00020B08" w:rsidP="00020B08">
      <w:pPr>
        <w:pStyle w:val="NormalWeb"/>
        <w:spacing w:before="0" w:beforeAutospacing="0" w:after="0" w:afterAutospacing="0"/>
        <w:rPr>
          <w:rStyle w:val="Strong"/>
        </w:rPr>
      </w:pPr>
      <w:r w:rsidRPr="00EA38DE">
        <w:rPr>
          <w:rStyle w:val="Strong"/>
        </w:rPr>
        <w:t xml:space="preserve">Mina Enaikpobomene IREJEH </w:t>
      </w:r>
      <w:r w:rsidRPr="00EA38DE">
        <w:rPr>
          <w:rStyle w:val="Strong"/>
        </w:rPr>
        <w:tab/>
      </w:r>
      <w:r w:rsidRPr="00EA38DE">
        <w:rPr>
          <w:rStyle w:val="Strong"/>
        </w:rPr>
        <w:tab/>
      </w:r>
      <w:r w:rsidRPr="00EA38DE">
        <w:rPr>
          <w:rStyle w:val="Strong"/>
        </w:rPr>
        <w:tab/>
      </w:r>
      <w:r w:rsidRPr="00EA38DE">
        <w:rPr>
          <w:rStyle w:val="Strong"/>
        </w:rPr>
        <w:tab/>
        <w:t>…………………………</w:t>
      </w:r>
    </w:p>
    <w:p w14:paraId="134C921A" w14:textId="77777777" w:rsidR="00020B08" w:rsidRPr="00EA38DE" w:rsidRDefault="00020B08" w:rsidP="00020B08">
      <w:pPr>
        <w:pStyle w:val="NormalWeb"/>
        <w:spacing w:before="0" w:beforeAutospacing="0"/>
        <w:rPr>
          <w:rStyle w:val="Strong"/>
        </w:rPr>
      </w:pPr>
      <w:r w:rsidRPr="00EA38DE">
        <w:rPr>
          <w:rStyle w:val="Strong"/>
        </w:rPr>
        <w:t xml:space="preserve">PG/MGS2015540                                                             </w:t>
      </w:r>
    </w:p>
    <w:p w14:paraId="7B8D98BA" w14:textId="77777777" w:rsidR="00020B08" w:rsidRPr="00EA38DE" w:rsidRDefault="00020B08" w:rsidP="00020B08">
      <w:pPr>
        <w:pStyle w:val="NormalWeb"/>
        <w:spacing w:line="480" w:lineRule="auto"/>
        <w:rPr>
          <w:rStyle w:val="Strong"/>
        </w:rPr>
      </w:pPr>
    </w:p>
    <w:p w14:paraId="02291B00" w14:textId="77777777" w:rsidR="00020B08" w:rsidRPr="00EA38DE" w:rsidRDefault="00020B08" w:rsidP="00020B08">
      <w:pPr>
        <w:pStyle w:val="NormalWeb"/>
        <w:spacing w:line="480" w:lineRule="auto"/>
        <w:rPr>
          <w:rStyle w:val="Strong"/>
        </w:rPr>
      </w:pPr>
    </w:p>
    <w:p w14:paraId="7DFD7330" w14:textId="77777777" w:rsidR="00020B08" w:rsidRPr="00EA38DE" w:rsidRDefault="00020B08" w:rsidP="00020B08">
      <w:pPr>
        <w:pStyle w:val="NormalWeb"/>
        <w:spacing w:line="480" w:lineRule="auto"/>
        <w:rPr>
          <w:rStyle w:val="Strong"/>
        </w:rPr>
      </w:pPr>
    </w:p>
    <w:p w14:paraId="7F38EE60" w14:textId="77777777" w:rsidR="00020B08" w:rsidRPr="00EA38DE" w:rsidRDefault="00020B08" w:rsidP="00020B08">
      <w:pPr>
        <w:pStyle w:val="NormalWeb"/>
        <w:spacing w:line="480" w:lineRule="auto"/>
        <w:rPr>
          <w:rStyle w:val="Strong"/>
        </w:rPr>
      </w:pPr>
    </w:p>
    <w:p w14:paraId="461DC60C" w14:textId="77777777" w:rsidR="00020B08" w:rsidRPr="00EA38DE" w:rsidRDefault="00020B08" w:rsidP="00020B08">
      <w:pPr>
        <w:pStyle w:val="NormalWeb"/>
        <w:spacing w:line="480" w:lineRule="auto"/>
        <w:rPr>
          <w:rStyle w:val="Strong"/>
        </w:rPr>
      </w:pPr>
    </w:p>
    <w:p w14:paraId="7F4386DC" w14:textId="77777777" w:rsidR="00020B08" w:rsidRPr="00EA38DE" w:rsidRDefault="00020B08" w:rsidP="00020B08">
      <w:pPr>
        <w:rPr>
          <w:rStyle w:val="Strong"/>
        </w:rPr>
      </w:pPr>
      <w:r w:rsidRPr="00EA38DE">
        <w:rPr>
          <w:rStyle w:val="Strong"/>
        </w:rPr>
        <w:br w:type="page"/>
      </w:r>
    </w:p>
    <w:p w14:paraId="5C999138" w14:textId="77777777" w:rsidR="00020B08" w:rsidRPr="00EA38DE" w:rsidRDefault="00020B08" w:rsidP="00020B08">
      <w:pPr>
        <w:pStyle w:val="NormalWeb"/>
        <w:spacing w:line="480" w:lineRule="auto"/>
        <w:jc w:val="center"/>
      </w:pPr>
      <w:r w:rsidRPr="00EA38DE">
        <w:rPr>
          <w:rStyle w:val="Strong"/>
        </w:rPr>
        <w:lastRenderedPageBreak/>
        <w:t>ACKNOWLEDGEMENTS</w:t>
      </w:r>
    </w:p>
    <w:p w14:paraId="560B6CB6" w14:textId="3364A53D" w:rsidR="006D1C1E" w:rsidRPr="00EA38DE" w:rsidRDefault="00040CB2" w:rsidP="00AD5DE4">
      <w:pPr>
        <w:pStyle w:val="NormalWeb"/>
        <w:spacing w:line="480" w:lineRule="auto"/>
        <w:jc w:val="both"/>
      </w:pPr>
      <w:r w:rsidRPr="00EA38DE">
        <w:t xml:space="preserve">I am profoundly grateful to God Almighty, whose infinite mercy, grace, and unfailing love sustained me throughout this academic journey. I sincerely appreciate my chief supervisor, </w:t>
      </w:r>
      <w:r w:rsidRPr="00EA38DE">
        <w:rPr>
          <w:rStyle w:val="Strong"/>
          <w:b w:val="0"/>
          <w:bCs w:val="0"/>
        </w:rPr>
        <w:t>Professor S. O. Igbinosa</w:t>
      </w:r>
      <w:r w:rsidRPr="00EA38DE">
        <w:t xml:space="preserve">, for his invaluable guidance, patience, and constructive feedback, which shaped the direction and quality of this research. I am equally grateful to my co-supervisor, </w:t>
      </w:r>
      <w:r w:rsidRPr="00EA38DE">
        <w:rPr>
          <w:rStyle w:val="Strong"/>
          <w:b w:val="0"/>
          <w:bCs w:val="0"/>
        </w:rPr>
        <w:t>Professor E. J. Idolor</w:t>
      </w:r>
      <w:r w:rsidRPr="00EA38DE">
        <w:t>, whose unwavering support, keen attention to detail, and constructive criticism significantly enriched this work and motivated me throughout the research process.</w:t>
      </w:r>
    </w:p>
    <w:p w14:paraId="0768981F" w14:textId="0F565D4F" w:rsidR="006D1C1E" w:rsidRPr="00EA38DE" w:rsidRDefault="006D1C1E" w:rsidP="006D1C1E">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My sincere appreciation goes to </w:t>
      </w:r>
      <w:r w:rsidRPr="00EA38DE">
        <w:rPr>
          <w:rStyle w:val="Strong"/>
          <w:rFonts w:ascii="Times New Roman" w:hAnsi="Times New Roman" w:cs="Times New Roman"/>
          <w:b w:val="0"/>
          <w:bCs w:val="0"/>
          <w:sz w:val="24"/>
          <w:szCs w:val="24"/>
        </w:rPr>
        <w:t>Dr. Aigbovo Omoruyi</w:t>
      </w:r>
      <w:r w:rsidRPr="00EA38DE">
        <w:rPr>
          <w:rFonts w:ascii="Times New Roman" w:hAnsi="Times New Roman" w:cs="Times New Roman"/>
          <w:sz w:val="24"/>
          <w:szCs w:val="24"/>
        </w:rPr>
        <w:t xml:space="preserve"> for his encouragement and counsel, and to </w:t>
      </w:r>
      <w:r w:rsidRPr="00EA38DE">
        <w:rPr>
          <w:rStyle w:val="Strong"/>
          <w:rFonts w:ascii="Times New Roman" w:hAnsi="Times New Roman" w:cs="Times New Roman"/>
          <w:b w:val="0"/>
          <w:bCs w:val="0"/>
          <w:sz w:val="24"/>
          <w:szCs w:val="24"/>
        </w:rPr>
        <w:t>Dr. Joel Obayagbona</w:t>
      </w:r>
      <w:r w:rsidRPr="00EA38DE">
        <w:rPr>
          <w:rFonts w:ascii="Times New Roman" w:hAnsi="Times New Roman" w:cs="Times New Roman"/>
          <w:sz w:val="24"/>
          <w:szCs w:val="24"/>
        </w:rPr>
        <w:t xml:space="preserve"> for his critical insights and guidance that contributed to the successful completion of this dissertation.</w:t>
      </w:r>
    </w:p>
    <w:p w14:paraId="36898500" w14:textId="77777777" w:rsidR="00040CB2" w:rsidRPr="00EA38DE" w:rsidRDefault="00040CB2" w:rsidP="00040CB2">
      <w:pPr>
        <w:pStyle w:val="NormalWeb"/>
        <w:spacing w:line="480" w:lineRule="auto"/>
        <w:jc w:val="both"/>
      </w:pPr>
      <w:r w:rsidRPr="00EA38DE">
        <w:t>I acknowledge with gratitude all the lecturers who taught me during the course of my study for their dedication and invaluable contributions to my academic development. I also appreciate the former and current Heads of Department for their leadership and encouragement, the non-academic staff for their administrative support, and the Vice-Chancellor for his visionary leadership and commitment to academic excellence and research advancement within the university.</w:t>
      </w:r>
    </w:p>
    <w:p w14:paraId="54C017BB" w14:textId="555EF133" w:rsidR="00040CB2" w:rsidRPr="00EA38DE" w:rsidRDefault="00040CB2" w:rsidP="00040CB2">
      <w:pPr>
        <w:pStyle w:val="NormalWeb"/>
        <w:spacing w:line="480" w:lineRule="auto"/>
        <w:jc w:val="both"/>
      </w:pPr>
      <w:r w:rsidRPr="00EA38DE">
        <w:t xml:space="preserve">I gratefully acknowledge the financial support of the </w:t>
      </w:r>
      <w:r w:rsidRPr="00EA38DE">
        <w:rPr>
          <w:rStyle w:val="Strong"/>
          <w:b w:val="0"/>
          <w:bCs w:val="0"/>
        </w:rPr>
        <w:t>Tertiary Education Trust Fund (TETFund)</w:t>
      </w:r>
      <w:r w:rsidRPr="00EA38DE">
        <w:rPr>
          <w:b/>
          <w:bCs/>
        </w:rPr>
        <w:t xml:space="preserve">, </w:t>
      </w:r>
      <w:r w:rsidRPr="00EA38DE">
        <w:t xml:space="preserve">provided through the Nigeria Maritime University, Okerenkoko, Delta State. </w:t>
      </w:r>
    </w:p>
    <w:p w14:paraId="685B4CC1" w14:textId="0EC76D71" w:rsidR="00040CB2" w:rsidRPr="00EA38DE" w:rsidRDefault="00040CB2" w:rsidP="00040CB2">
      <w:pPr>
        <w:pStyle w:val="NormalWeb"/>
        <w:spacing w:line="480" w:lineRule="auto"/>
        <w:jc w:val="both"/>
      </w:pPr>
      <w:r w:rsidRPr="00EA38DE">
        <w:t>Finally, I extend my sincere gratitude to my</w:t>
      </w:r>
      <w:r w:rsidR="00B524E3" w:rsidRPr="00EA38DE">
        <w:t xml:space="preserve"> </w:t>
      </w:r>
      <w:r w:rsidRPr="00EA38DE">
        <w:t>family members, friends, and colleagues for their prayers, encouragement, and support in various forms. May God richly bless you all. Amen.</w:t>
      </w:r>
    </w:p>
    <w:p w14:paraId="525E44DB" w14:textId="5AA0F8AA" w:rsidR="00020B08" w:rsidRPr="00EA38DE" w:rsidRDefault="00020B08" w:rsidP="008D3577">
      <w:pPr>
        <w:ind w:left="2880" w:firstLine="720"/>
        <w:rPr>
          <w:rFonts w:ascii="Times New Roman" w:hAnsi="Times New Roman" w:cs="Times New Roman"/>
          <w:b/>
          <w:bCs/>
          <w:sz w:val="24"/>
          <w:szCs w:val="24"/>
        </w:rPr>
      </w:pPr>
      <w:r w:rsidRPr="00EA38DE">
        <w:rPr>
          <w:rFonts w:ascii="Times New Roman" w:hAnsi="Times New Roman" w:cs="Times New Roman"/>
          <w:b/>
          <w:sz w:val="24"/>
          <w:szCs w:val="24"/>
        </w:rPr>
        <w:lastRenderedPageBreak/>
        <w:t>TABLE OF CONTENTS</w:t>
      </w:r>
    </w:p>
    <w:p w14:paraId="058477C1" w14:textId="77777777" w:rsidR="00020B08" w:rsidRPr="00EA38DE" w:rsidRDefault="00020B08" w:rsidP="00020B08">
      <w:pPr>
        <w:spacing w:after="0" w:line="480" w:lineRule="auto"/>
        <w:rPr>
          <w:rFonts w:ascii="Times New Roman" w:hAnsi="Times New Roman" w:cs="Times New Roman"/>
          <w:b/>
          <w:bCs/>
          <w:sz w:val="24"/>
          <w:szCs w:val="24"/>
        </w:rPr>
      </w:pPr>
      <w:r w:rsidRPr="00EA38DE">
        <w:rPr>
          <w:rFonts w:ascii="Times New Roman" w:hAnsi="Times New Roman" w:cs="Times New Roman"/>
          <w:b/>
          <w:bCs/>
          <w:sz w:val="24"/>
          <w:szCs w:val="24"/>
        </w:rPr>
        <w:t>CONTENTS</w:t>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r>
      <w:r w:rsidRPr="00EA38DE">
        <w:rPr>
          <w:rFonts w:ascii="Times New Roman" w:hAnsi="Times New Roman" w:cs="Times New Roman"/>
          <w:b/>
          <w:bCs/>
          <w:sz w:val="24"/>
          <w:szCs w:val="24"/>
        </w:rPr>
        <w:tab/>
        <w:t xml:space="preserve">     PAGE</w:t>
      </w:r>
    </w:p>
    <w:p w14:paraId="530587E6"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Title page</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i</w:t>
      </w:r>
    </w:p>
    <w:p w14:paraId="163B5C66"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Declaration</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ii</w:t>
      </w:r>
    </w:p>
    <w:p w14:paraId="7E54605C"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Certification</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iii</w:t>
      </w:r>
    </w:p>
    <w:p w14:paraId="0601A92E"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 xml:space="preserve">Certification of thesis/Dissertation on Plagiarism </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iv</w:t>
      </w:r>
    </w:p>
    <w:p w14:paraId="08C3F1A7"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hAnsi="Times New Roman"/>
          <w:sz w:val="24"/>
          <w:szCs w:val="24"/>
        </w:rPr>
        <w:t xml:space="preserve">Attestation </w:t>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r>
      <w:r w:rsidRPr="007100EC">
        <w:rPr>
          <w:rFonts w:ascii="Times New Roman" w:hAnsi="Times New Roman"/>
          <w:sz w:val="24"/>
          <w:szCs w:val="24"/>
        </w:rPr>
        <w:tab/>
        <w:t>v</w:t>
      </w:r>
    </w:p>
    <w:p w14:paraId="601A4006"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Dedication</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 xml:space="preserve">vi </w:t>
      </w:r>
    </w:p>
    <w:p w14:paraId="6A171466"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Acknowledgements</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vii</w:t>
      </w:r>
    </w:p>
    <w:p w14:paraId="12766E51" w14:textId="5354711B"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 xml:space="preserve">Table of Contents </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Pr>
          <w:rFonts w:ascii="Times New Roman" w:eastAsia="Times New Roman" w:hAnsi="Times New Roman"/>
          <w:sz w:val="24"/>
        </w:rPr>
        <w:t>vii</w:t>
      </w:r>
      <w:r w:rsidRPr="007100EC">
        <w:rPr>
          <w:rFonts w:ascii="Times New Roman" w:eastAsia="Times New Roman" w:hAnsi="Times New Roman"/>
          <w:sz w:val="24"/>
        </w:rPr>
        <w:t>i</w:t>
      </w:r>
    </w:p>
    <w:p w14:paraId="6472C40F"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List of Tables</w:t>
      </w:r>
      <w:r w:rsidRPr="007100EC">
        <w:rPr>
          <w:rFonts w:ascii="Times New Roman" w:eastAsia="Times New Roman" w:hAnsi="Times New Roman"/>
          <w:sz w:val="24"/>
        </w:rPr>
        <w:tab/>
        <w:t xml:space="preserve"> </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xiii</w:t>
      </w:r>
    </w:p>
    <w:p w14:paraId="21D85ADA" w14:textId="77777777" w:rsidR="005C5609" w:rsidRPr="007100EC" w:rsidRDefault="005C5609" w:rsidP="005C5609">
      <w:pPr>
        <w:spacing w:after="0" w:line="480" w:lineRule="auto"/>
        <w:jc w:val="both"/>
        <w:rPr>
          <w:rFonts w:ascii="Times New Roman" w:eastAsia="Times New Roman" w:hAnsi="Times New Roman"/>
          <w:sz w:val="24"/>
        </w:rPr>
      </w:pPr>
      <w:r w:rsidRPr="007100EC">
        <w:rPr>
          <w:rFonts w:ascii="Times New Roman" w:eastAsia="Times New Roman" w:hAnsi="Times New Roman"/>
          <w:sz w:val="24"/>
        </w:rPr>
        <w:t>List of Figures</w:t>
      </w:r>
      <w:r w:rsidRPr="007100EC">
        <w:rPr>
          <w:rFonts w:ascii="Times New Roman" w:eastAsia="Times New Roman" w:hAnsi="Times New Roman"/>
          <w:sz w:val="24"/>
        </w:rPr>
        <w:tab/>
        <w:t xml:space="preserve"> </w:t>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r>
      <w:r w:rsidRPr="007100EC">
        <w:rPr>
          <w:rFonts w:ascii="Times New Roman" w:eastAsia="Times New Roman" w:hAnsi="Times New Roman"/>
          <w:sz w:val="24"/>
        </w:rPr>
        <w:tab/>
        <w:t>xiv</w:t>
      </w:r>
    </w:p>
    <w:p w14:paraId="04222A27" w14:textId="77777777" w:rsidR="005C5609" w:rsidRPr="007100EC" w:rsidRDefault="005C5609" w:rsidP="005C5609">
      <w:pPr>
        <w:spacing w:after="0" w:line="480" w:lineRule="auto"/>
        <w:rPr>
          <w:rFonts w:ascii="Times New Roman" w:hAnsi="Times New Roman" w:cs="Times New Roman"/>
          <w:bCs/>
          <w:sz w:val="24"/>
          <w:szCs w:val="24"/>
        </w:rPr>
      </w:pPr>
      <w:r w:rsidRPr="007100EC">
        <w:rPr>
          <w:rFonts w:ascii="Times New Roman" w:eastAsia="Times New Roman" w:hAnsi="Times New Roman"/>
          <w:sz w:val="24"/>
          <w:szCs w:val="24"/>
        </w:rPr>
        <w:t>Abstract</w:t>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r>
      <w:r w:rsidRPr="007100EC">
        <w:rPr>
          <w:rFonts w:ascii="Times New Roman" w:eastAsia="Times New Roman" w:hAnsi="Times New Roman"/>
          <w:sz w:val="24"/>
          <w:szCs w:val="24"/>
        </w:rPr>
        <w:tab/>
        <w:t>xv</w:t>
      </w:r>
    </w:p>
    <w:p w14:paraId="6D9FD7DF" w14:textId="77777777" w:rsidR="00020B08" w:rsidRPr="00244442" w:rsidRDefault="00020B08" w:rsidP="00244442">
      <w:pPr>
        <w:spacing w:after="0" w:line="480" w:lineRule="auto"/>
        <w:ind w:left="360" w:hanging="360"/>
        <w:jc w:val="both"/>
        <w:rPr>
          <w:rFonts w:ascii="Times New Roman" w:hAnsi="Times New Roman" w:cs="Times New Roman"/>
          <w:b/>
          <w:bCs/>
          <w:sz w:val="24"/>
          <w:szCs w:val="24"/>
        </w:rPr>
      </w:pPr>
      <w:r w:rsidRPr="00244442">
        <w:rPr>
          <w:rFonts w:ascii="Times New Roman" w:hAnsi="Times New Roman" w:cs="Times New Roman"/>
          <w:b/>
          <w:bCs/>
          <w:sz w:val="24"/>
          <w:szCs w:val="24"/>
        </w:rPr>
        <w:t>CHAPTER ONE: INTRODUCTION</w:t>
      </w:r>
    </w:p>
    <w:p w14:paraId="2829713C" w14:textId="77777777" w:rsidR="00020B08" w:rsidRPr="00244442" w:rsidRDefault="00020B08"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1.1</w:t>
      </w:r>
      <w:r w:rsidRPr="00244442">
        <w:rPr>
          <w:rFonts w:ascii="Times New Roman" w:hAnsi="Times New Roman" w:cs="Times New Roman"/>
          <w:sz w:val="24"/>
          <w:szCs w:val="24"/>
        </w:rPr>
        <w:tab/>
        <w:t>Background to the Study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w:t>
      </w:r>
    </w:p>
    <w:p w14:paraId="58E9E1F0" w14:textId="77777777" w:rsidR="00020B08" w:rsidRPr="00244442" w:rsidRDefault="00020B08"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1.2</w:t>
      </w:r>
      <w:r w:rsidRPr="00244442">
        <w:rPr>
          <w:rFonts w:ascii="Times New Roman" w:hAnsi="Times New Roman" w:cs="Times New Roman"/>
          <w:sz w:val="24"/>
          <w:szCs w:val="24"/>
        </w:rPr>
        <w:tab/>
        <w:t>Statement of the Research Problem</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4</w:t>
      </w:r>
    </w:p>
    <w:p w14:paraId="2426E65D"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1.3</w:t>
      </w:r>
      <w:r w:rsidRPr="00244442">
        <w:rPr>
          <w:rFonts w:ascii="Times New Roman" w:hAnsi="Times New Roman" w:cs="Times New Roman"/>
          <w:sz w:val="24"/>
          <w:szCs w:val="24"/>
        </w:rPr>
        <w:tab/>
        <w:t>Research Questions</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6</w:t>
      </w:r>
    </w:p>
    <w:p w14:paraId="036055C1"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1.4</w:t>
      </w:r>
      <w:r w:rsidRPr="00244442">
        <w:rPr>
          <w:rFonts w:ascii="Times New Roman" w:hAnsi="Times New Roman" w:cs="Times New Roman"/>
          <w:bCs/>
          <w:sz w:val="24"/>
          <w:szCs w:val="24"/>
        </w:rPr>
        <w:tab/>
        <w:t>Objectives of the Study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7</w:t>
      </w:r>
    </w:p>
    <w:p w14:paraId="21C68A08"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1.5</w:t>
      </w:r>
      <w:r w:rsidRPr="00244442">
        <w:rPr>
          <w:rFonts w:ascii="Times New Roman" w:hAnsi="Times New Roman" w:cs="Times New Roman"/>
          <w:sz w:val="24"/>
          <w:szCs w:val="24"/>
        </w:rPr>
        <w:tab/>
        <w:t>Hypotheses of the Study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7</w:t>
      </w:r>
    </w:p>
    <w:p w14:paraId="58AA223B"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1.6</w:t>
      </w:r>
      <w:r w:rsidRPr="00244442">
        <w:rPr>
          <w:rFonts w:ascii="Times New Roman" w:hAnsi="Times New Roman" w:cs="Times New Roman"/>
          <w:sz w:val="24"/>
          <w:szCs w:val="24"/>
        </w:rPr>
        <w:tab/>
        <w:t>Scope of the Study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8</w:t>
      </w:r>
    </w:p>
    <w:p w14:paraId="11F01CA9"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1.7</w:t>
      </w:r>
      <w:r w:rsidRPr="00244442">
        <w:rPr>
          <w:rFonts w:ascii="Times New Roman" w:hAnsi="Times New Roman" w:cs="Times New Roman"/>
          <w:sz w:val="24"/>
          <w:szCs w:val="24"/>
        </w:rPr>
        <w:tab/>
        <w:t>Significance of the Study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9</w:t>
      </w:r>
    </w:p>
    <w:p w14:paraId="43883019" w14:textId="77777777" w:rsidR="00244442" w:rsidRPr="00244442" w:rsidRDefault="00244442" w:rsidP="00244442">
      <w:pPr>
        <w:spacing w:after="0" w:line="480" w:lineRule="auto"/>
        <w:jc w:val="both"/>
        <w:rPr>
          <w:rFonts w:ascii="Times New Roman" w:eastAsia="Calibri" w:hAnsi="Times New Roman" w:cs="Times New Roman"/>
          <w:sz w:val="24"/>
          <w:szCs w:val="24"/>
        </w:rPr>
      </w:pPr>
      <w:r w:rsidRPr="00244442">
        <w:rPr>
          <w:rFonts w:ascii="Times New Roman" w:eastAsia="Calibri" w:hAnsi="Times New Roman" w:cs="Times New Roman"/>
          <w:sz w:val="24"/>
          <w:szCs w:val="24"/>
        </w:rPr>
        <w:t>1.8</w:t>
      </w:r>
      <w:r w:rsidRPr="00244442">
        <w:rPr>
          <w:rFonts w:ascii="Times New Roman" w:eastAsia="Calibri" w:hAnsi="Times New Roman" w:cs="Times New Roman"/>
          <w:sz w:val="24"/>
          <w:szCs w:val="24"/>
        </w:rPr>
        <w:tab/>
        <w:t>Limitations of the Study</w:t>
      </w:r>
      <w:r w:rsidRPr="00244442">
        <w:rPr>
          <w:rFonts w:ascii="Times New Roman" w:eastAsia="Calibri" w:hAnsi="Times New Roman" w:cs="Times New Roman"/>
          <w:sz w:val="24"/>
          <w:szCs w:val="24"/>
        </w:rPr>
        <w:tab/>
      </w:r>
      <w:r w:rsidRPr="00244442">
        <w:rPr>
          <w:rFonts w:ascii="Times New Roman" w:eastAsia="Calibri" w:hAnsi="Times New Roman" w:cs="Times New Roman"/>
          <w:sz w:val="24"/>
          <w:szCs w:val="24"/>
        </w:rPr>
        <w:tab/>
      </w:r>
      <w:r w:rsidRPr="00244442">
        <w:rPr>
          <w:rFonts w:ascii="Times New Roman" w:eastAsia="Calibri" w:hAnsi="Times New Roman" w:cs="Times New Roman"/>
          <w:sz w:val="24"/>
          <w:szCs w:val="24"/>
        </w:rPr>
        <w:tab/>
      </w:r>
      <w:r w:rsidRPr="00244442">
        <w:rPr>
          <w:rFonts w:ascii="Times New Roman" w:eastAsia="Calibri" w:hAnsi="Times New Roman" w:cs="Times New Roman"/>
          <w:sz w:val="24"/>
          <w:szCs w:val="24"/>
        </w:rPr>
        <w:tab/>
      </w:r>
      <w:r w:rsidRPr="00244442">
        <w:rPr>
          <w:rFonts w:ascii="Times New Roman" w:eastAsia="Calibri" w:hAnsi="Times New Roman" w:cs="Times New Roman"/>
          <w:sz w:val="24"/>
          <w:szCs w:val="24"/>
        </w:rPr>
        <w:tab/>
      </w:r>
      <w:r w:rsidRPr="00244442">
        <w:rPr>
          <w:rFonts w:ascii="Times New Roman" w:eastAsia="Calibri" w:hAnsi="Times New Roman" w:cs="Times New Roman"/>
          <w:sz w:val="24"/>
          <w:szCs w:val="24"/>
        </w:rPr>
        <w:tab/>
      </w:r>
      <w:r w:rsidRPr="00244442">
        <w:rPr>
          <w:rFonts w:ascii="Times New Roman" w:eastAsia="Calibri" w:hAnsi="Times New Roman" w:cs="Times New Roman"/>
          <w:sz w:val="24"/>
          <w:szCs w:val="24"/>
        </w:rPr>
        <w:tab/>
      </w:r>
      <w:r w:rsidRPr="00244442">
        <w:rPr>
          <w:rFonts w:ascii="Times New Roman" w:eastAsia="Calibri" w:hAnsi="Times New Roman" w:cs="Times New Roman"/>
          <w:sz w:val="24"/>
          <w:szCs w:val="24"/>
        </w:rPr>
        <w:tab/>
        <w:t>10</w:t>
      </w:r>
    </w:p>
    <w:p w14:paraId="5AAA0B78" w14:textId="77777777" w:rsidR="00244442" w:rsidRPr="00244442" w:rsidRDefault="00244442" w:rsidP="00244442">
      <w:pPr>
        <w:spacing w:after="0" w:line="480" w:lineRule="auto"/>
        <w:jc w:val="both"/>
        <w:rPr>
          <w:rFonts w:ascii="Times New Roman" w:hAnsi="Times New Roman" w:cs="Times New Roman"/>
          <w:b/>
          <w:sz w:val="24"/>
          <w:szCs w:val="24"/>
        </w:rPr>
      </w:pPr>
      <w:r w:rsidRPr="00244442">
        <w:rPr>
          <w:rFonts w:ascii="Times New Roman" w:hAnsi="Times New Roman" w:cs="Times New Roman"/>
          <w:b/>
          <w:sz w:val="24"/>
          <w:szCs w:val="24"/>
        </w:rPr>
        <w:t>CHAPTER TWO: LITERATURE REVIEW</w:t>
      </w:r>
    </w:p>
    <w:p w14:paraId="4886D302"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2.0</w:t>
      </w:r>
      <w:r w:rsidRPr="00244442">
        <w:rPr>
          <w:rFonts w:ascii="Times New Roman" w:hAnsi="Times New Roman" w:cs="Times New Roman"/>
          <w:sz w:val="24"/>
          <w:szCs w:val="24"/>
        </w:rPr>
        <w:tab/>
        <w:t>Introduction</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w:t>
      </w:r>
    </w:p>
    <w:p w14:paraId="7759DA73"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lastRenderedPageBreak/>
        <w:t>2.1</w:t>
      </w:r>
      <w:r w:rsidRPr="00244442">
        <w:rPr>
          <w:rFonts w:ascii="Times New Roman" w:hAnsi="Times New Roman" w:cs="Times New Roman"/>
          <w:sz w:val="24"/>
          <w:szCs w:val="24"/>
        </w:rPr>
        <w:tab/>
        <w:t>Conceptual Review</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w:t>
      </w:r>
    </w:p>
    <w:p w14:paraId="4D1E6F1A"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2.1.1</w:t>
      </w:r>
      <w:r w:rsidRPr="00244442">
        <w:rPr>
          <w:rFonts w:ascii="Times New Roman" w:hAnsi="Times New Roman" w:cs="Times New Roman"/>
          <w:sz w:val="24"/>
          <w:szCs w:val="24"/>
        </w:rPr>
        <w:tab/>
        <w:t>Financial Performance of Shipping Industry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w:t>
      </w:r>
    </w:p>
    <w:p w14:paraId="23992611"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2.1.2</w:t>
      </w:r>
      <w:r w:rsidRPr="00244442">
        <w:rPr>
          <w:rFonts w:ascii="Times New Roman" w:hAnsi="Times New Roman" w:cs="Times New Roman"/>
          <w:sz w:val="24"/>
          <w:szCs w:val="24"/>
        </w:rPr>
        <w:tab/>
        <w:t>Indicators of Financial Performance of Shipping Industry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16</w:t>
      </w:r>
    </w:p>
    <w:p w14:paraId="45562A0D" w14:textId="77777777" w:rsidR="00244442" w:rsidRPr="00244442" w:rsidRDefault="00244442" w:rsidP="00244442">
      <w:pPr>
        <w:spacing w:after="0" w:line="480" w:lineRule="auto"/>
        <w:jc w:val="both"/>
        <w:rPr>
          <w:rStyle w:val="Strong"/>
          <w:rFonts w:ascii="Times New Roman" w:hAnsi="Times New Roman" w:cs="Times New Roman"/>
          <w:b w:val="0"/>
          <w:sz w:val="24"/>
          <w:szCs w:val="24"/>
        </w:rPr>
      </w:pPr>
      <w:r w:rsidRPr="00244442">
        <w:rPr>
          <w:rFonts w:ascii="Times New Roman" w:hAnsi="Times New Roman" w:cs="Times New Roman"/>
          <w:bCs/>
          <w:sz w:val="24"/>
          <w:szCs w:val="24"/>
        </w:rPr>
        <w:t>2.1.2.1</w:t>
      </w:r>
      <w:r w:rsidRPr="00244442">
        <w:rPr>
          <w:rFonts w:ascii="Times New Roman" w:hAnsi="Times New Roman" w:cs="Times New Roman"/>
          <w:bCs/>
          <w:sz w:val="24"/>
          <w:szCs w:val="24"/>
        </w:rPr>
        <w:tab/>
      </w:r>
      <w:r w:rsidRPr="00244442">
        <w:rPr>
          <w:rStyle w:val="Strong"/>
          <w:rFonts w:ascii="Times New Roman" w:hAnsi="Times New Roman" w:cs="Times New Roman"/>
          <w:b w:val="0"/>
          <w:sz w:val="24"/>
          <w:szCs w:val="24"/>
        </w:rPr>
        <w:t>Container Throughput Revenue</w:t>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t>16</w:t>
      </w:r>
    </w:p>
    <w:p w14:paraId="15980054"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2.1.2.2</w:t>
      </w:r>
      <w:r w:rsidRPr="00244442">
        <w:rPr>
          <w:rFonts w:ascii="Times New Roman" w:hAnsi="Times New Roman" w:cs="Times New Roman"/>
          <w:sz w:val="24"/>
          <w:szCs w:val="24"/>
        </w:rPr>
        <w:tab/>
        <w:t>Port Revenue</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18</w:t>
      </w:r>
    </w:p>
    <w:p w14:paraId="0351548F" w14:textId="77777777" w:rsidR="00244442" w:rsidRPr="00244442" w:rsidRDefault="00244442" w:rsidP="00244442">
      <w:pPr>
        <w:spacing w:after="0" w:line="480" w:lineRule="auto"/>
        <w:jc w:val="both"/>
        <w:rPr>
          <w:rStyle w:val="Strong"/>
          <w:rFonts w:ascii="Times New Roman" w:hAnsi="Times New Roman" w:cs="Times New Roman"/>
          <w:b w:val="0"/>
          <w:bCs w:val="0"/>
          <w:sz w:val="24"/>
          <w:szCs w:val="24"/>
        </w:rPr>
      </w:pPr>
      <w:r w:rsidRPr="00244442">
        <w:rPr>
          <w:rFonts w:ascii="Times New Roman" w:hAnsi="Times New Roman" w:cs="Times New Roman"/>
          <w:sz w:val="24"/>
          <w:szCs w:val="24"/>
        </w:rPr>
        <w:t>2.1.2.3</w:t>
      </w:r>
      <w:r w:rsidRPr="00244442">
        <w:rPr>
          <w:rFonts w:ascii="Times New Roman" w:hAnsi="Times New Roman" w:cs="Times New Roman"/>
          <w:sz w:val="24"/>
          <w:szCs w:val="24"/>
        </w:rPr>
        <w:tab/>
      </w:r>
      <w:r w:rsidRPr="00244442">
        <w:rPr>
          <w:rStyle w:val="Strong"/>
          <w:rFonts w:ascii="Times New Roman" w:hAnsi="Times New Roman" w:cs="Times New Roman"/>
          <w:b w:val="0"/>
          <w:sz w:val="24"/>
          <w:szCs w:val="24"/>
        </w:rPr>
        <w:t>Shipping Costs</w:t>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t>21</w:t>
      </w:r>
    </w:p>
    <w:p w14:paraId="6225B4B5"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2.1.3</w:t>
      </w:r>
      <w:r w:rsidRPr="00244442">
        <w:rPr>
          <w:rFonts w:ascii="Times New Roman" w:hAnsi="Times New Roman" w:cs="Times New Roman"/>
          <w:bCs/>
          <w:sz w:val="24"/>
          <w:szCs w:val="24"/>
        </w:rPr>
        <w:tab/>
        <w:t>Exchange Rate Volatility and Shipping Industry Financial Performance</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t>23</w:t>
      </w:r>
    </w:p>
    <w:p w14:paraId="5B927DE3"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2.1.4</w:t>
      </w:r>
      <w:r w:rsidRPr="00244442">
        <w:rPr>
          <w:rFonts w:ascii="Times New Roman" w:hAnsi="Times New Roman" w:cs="Times New Roman"/>
          <w:sz w:val="24"/>
          <w:szCs w:val="24"/>
        </w:rPr>
        <w:tab/>
        <w:t>Concept of Blue Economy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25</w:t>
      </w:r>
    </w:p>
    <w:p w14:paraId="1DF46128"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2.1.5</w:t>
      </w:r>
      <w:r w:rsidRPr="00244442">
        <w:rPr>
          <w:rFonts w:ascii="Times New Roman" w:hAnsi="Times New Roman" w:cs="Times New Roman"/>
          <w:bCs/>
          <w:sz w:val="24"/>
          <w:szCs w:val="24"/>
        </w:rPr>
        <w:tab/>
        <w:t>Measure of Blue Economy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27</w:t>
      </w:r>
    </w:p>
    <w:p w14:paraId="43400064"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2.1.5.1</w:t>
      </w:r>
      <w:r w:rsidRPr="00244442">
        <w:rPr>
          <w:rFonts w:ascii="Times New Roman" w:hAnsi="Times New Roman" w:cs="Times New Roman"/>
          <w:sz w:val="24"/>
          <w:szCs w:val="24"/>
        </w:rPr>
        <w:tab/>
        <w:t>Fisheries</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27</w:t>
      </w:r>
    </w:p>
    <w:p w14:paraId="095BD366"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2.1.5.2</w:t>
      </w:r>
      <w:r w:rsidRPr="00244442">
        <w:rPr>
          <w:rFonts w:ascii="Times New Roman" w:hAnsi="Times New Roman" w:cs="Times New Roman"/>
          <w:sz w:val="24"/>
          <w:szCs w:val="24"/>
        </w:rPr>
        <w:tab/>
        <w:t>Aquaculture</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29</w:t>
      </w:r>
    </w:p>
    <w:p w14:paraId="22C9A615"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2.1.5.3</w:t>
      </w:r>
      <w:r w:rsidRPr="00244442">
        <w:rPr>
          <w:rFonts w:ascii="Times New Roman" w:hAnsi="Times New Roman" w:cs="Times New Roman"/>
          <w:sz w:val="24"/>
          <w:szCs w:val="24"/>
        </w:rPr>
        <w:tab/>
        <w:t>Desalination</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31</w:t>
      </w:r>
    </w:p>
    <w:p w14:paraId="53B36AF0" w14:textId="77777777" w:rsidR="00244442" w:rsidRPr="00244442" w:rsidRDefault="00244442" w:rsidP="00244442">
      <w:pPr>
        <w:spacing w:after="0" w:line="480" w:lineRule="auto"/>
        <w:ind w:left="720" w:hanging="720"/>
        <w:rPr>
          <w:rFonts w:ascii="Times New Roman" w:hAnsi="Times New Roman" w:cs="Times New Roman"/>
          <w:bCs/>
          <w:sz w:val="24"/>
          <w:szCs w:val="24"/>
        </w:rPr>
      </w:pPr>
      <w:r w:rsidRPr="00244442">
        <w:rPr>
          <w:rFonts w:ascii="Times New Roman" w:hAnsi="Times New Roman" w:cs="Times New Roman"/>
          <w:bCs/>
          <w:sz w:val="24"/>
          <w:szCs w:val="24"/>
        </w:rPr>
        <w:t>2.1.6</w:t>
      </w:r>
      <w:r w:rsidRPr="00244442">
        <w:rPr>
          <w:rFonts w:ascii="Times New Roman" w:hAnsi="Times New Roman" w:cs="Times New Roman"/>
          <w:bCs/>
          <w:sz w:val="24"/>
          <w:szCs w:val="24"/>
        </w:rPr>
        <w:tab/>
        <w:t xml:space="preserve">Exchange Rate Volatility, Blue Economy, and Shipping Industry Financial </w:t>
      </w:r>
    </w:p>
    <w:p w14:paraId="251A5427" w14:textId="77777777" w:rsidR="00244442" w:rsidRPr="00244442" w:rsidRDefault="00244442" w:rsidP="00244442">
      <w:pPr>
        <w:spacing w:after="0" w:line="480" w:lineRule="auto"/>
        <w:ind w:left="720"/>
        <w:rPr>
          <w:rFonts w:ascii="Times New Roman" w:eastAsia="Times New Roman" w:hAnsi="Times New Roman" w:cs="Times New Roman"/>
          <w:bCs/>
          <w:sz w:val="24"/>
          <w:szCs w:val="24"/>
        </w:rPr>
      </w:pPr>
      <w:r w:rsidRPr="00244442">
        <w:rPr>
          <w:rFonts w:ascii="Times New Roman" w:hAnsi="Times New Roman" w:cs="Times New Roman"/>
          <w:bCs/>
          <w:sz w:val="24"/>
          <w:szCs w:val="24"/>
        </w:rPr>
        <w:t>Performance</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34</w:t>
      </w:r>
    </w:p>
    <w:p w14:paraId="7E1B2345"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2.1.</w:t>
      </w:r>
      <w:r w:rsidRPr="00244442">
        <w:rPr>
          <w:rFonts w:ascii="Times New Roman" w:eastAsiaTheme="majorEastAsia" w:hAnsi="Times New Roman" w:cs="Times New Roman"/>
          <w:bCs/>
          <w:sz w:val="24"/>
          <w:szCs w:val="24"/>
        </w:rPr>
        <w:t>6.1</w:t>
      </w:r>
      <w:r w:rsidRPr="00244442">
        <w:rPr>
          <w:rFonts w:ascii="Times New Roman" w:eastAsiaTheme="majorEastAsia" w:hAnsi="Times New Roman" w:cs="Times New Roman"/>
          <w:bCs/>
          <w:sz w:val="24"/>
          <w:szCs w:val="24"/>
        </w:rPr>
        <w:tab/>
      </w:r>
      <w:r w:rsidRPr="00244442">
        <w:rPr>
          <w:rFonts w:ascii="Times New Roman" w:hAnsi="Times New Roman" w:cs="Times New Roman"/>
          <w:bCs/>
          <w:sz w:val="24"/>
          <w:szCs w:val="24"/>
        </w:rPr>
        <w:t>Exchange Rate Volatility and Container Throughput</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34</w:t>
      </w:r>
    </w:p>
    <w:p w14:paraId="72251CBA" w14:textId="5293CC53"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2.1.6.2</w:t>
      </w:r>
      <w:r w:rsidRPr="00244442">
        <w:rPr>
          <w:rFonts w:ascii="Times New Roman" w:hAnsi="Times New Roman" w:cs="Times New Roman"/>
          <w:bCs/>
          <w:sz w:val="24"/>
          <w:szCs w:val="24"/>
        </w:rPr>
        <w:tab/>
        <w:t>Exchange Rate Volatility and Port Revenue</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244442">
        <w:rPr>
          <w:rFonts w:ascii="Times New Roman" w:hAnsi="Times New Roman" w:cs="Times New Roman"/>
          <w:bCs/>
          <w:sz w:val="24"/>
          <w:szCs w:val="24"/>
        </w:rPr>
        <w:t>34</w:t>
      </w:r>
    </w:p>
    <w:p w14:paraId="14CC05C8" w14:textId="7846BFB5"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2.1.6.3</w:t>
      </w:r>
      <w:r w:rsidRPr="00244442">
        <w:rPr>
          <w:rFonts w:ascii="Times New Roman" w:hAnsi="Times New Roman" w:cs="Times New Roman"/>
          <w:bCs/>
          <w:sz w:val="24"/>
          <w:szCs w:val="24"/>
        </w:rPr>
        <w:tab/>
        <w:t>Exchange Rate Volatility and Shipping Cost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244442">
        <w:rPr>
          <w:rFonts w:ascii="Times New Roman" w:hAnsi="Times New Roman" w:cs="Times New Roman"/>
          <w:bCs/>
          <w:sz w:val="24"/>
          <w:szCs w:val="24"/>
        </w:rPr>
        <w:t>35</w:t>
      </w:r>
    </w:p>
    <w:p w14:paraId="72068705" w14:textId="16BF9DA5"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2.1.6.4</w:t>
      </w:r>
      <w:r w:rsidRPr="00244442">
        <w:rPr>
          <w:rFonts w:ascii="Times New Roman" w:eastAsia="Times New Roman" w:hAnsi="Times New Roman" w:cs="Times New Roman"/>
          <w:bCs/>
          <w:sz w:val="24"/>
          <w:szCs w:val="24"/>
        </w:rPr>
        <w:tab/>
        <w:t>Fisheries and Container Throughput</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35</w:t>
      </w:r>
    </w:p>
    <w:p w14:paraId="7F76C1F3" w14:textId="080701BE"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2.1.</w:t>
      </w:r>
      <w:r w:rsidRPr="00244442">
        <w:rPr>
          <w:rFonts w:ascii="Times New Roman" w:eastAsiaTheme="majorEastAsia" w:hAnsi="Times New Roman" w:cs="Times New Roman"/>
          <w:bCs/>
          <w:sz w:val="24"/>
          <w:szCs w:val="24"/>
        </w:rPr>
        <w:t>6.5</w:t>
      </w:r>
      <w:r w:rsidRPr="00244442">
        <w:rPr>
          <w:rFonts w:ascii="Times New Roman" w:hAnsi="Times New Roman" w:cs="Times New Roman"/>
          <w:bCs/>
          <w:sz w:val="24"/>
          <w:szCs w:val="24"/>
        </w:rPr>
        <w:t xml:space="preserve"> Fisheries and Port Revenue</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244442">
        <w:rPr>
          <w:rFonts w:ascii="Times New Roman" w:hAnsi="Times New Roman" w:cs="Times New Roman"/>
          <w:bCs/>
          <w:sz w:val="24"/>
          <w:szCs w:val="24"/>
        </w:rPr>
        <w:t>36</w:t>
      </w:r>
    </w:p>
    <w:p w14:paraId="09FB804A" w14:textId="37C14FC2"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2.1.</w:t>
      </w:r>
      <w:r w:rsidRPr="00244442">
        <w:rPr>
          <w:rFonts w:ascii="Times New Roman" w:eastAsiaTheme="majorEastAsia" w:hAnsi="Times New Roman" w:cs="Times New Roman"/>
          <w:bCs/>
          <w:sz w:val="24"/>
          <w:szCs w:val="24"/>
        </w:rPr>
        <w:t>6.6</w:t>
      </w:r>
      <w:r w:rsidRPr="00244442">
        <w:rPr>
          <w:rFonts w:ascii="Times New Roman" w:hAnsi="Times New Roman" w:cs="Times New Roman"/>
          <w:bCs/>
          <w:sz w:val="24"/>
          <w:szCs w:val="24"/>
        </w:rPr>
        <w:t xml:space="preserve"> Fisheries and Shipping Cost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244442">
        <w:rPr>
          <w:rFonts w:ascii="Times New Roman" w:hAnsi="Times New Roman" w:cs="Times New Roman"/>
          <w:bCs/>
          <w:sz w:val="24"/>
          <w:szCs w:val="24"/>
        </w:rPr>
        <w:t>36</w:t>
      </w:r>
    </w:p>
    <w:p w14:paraId="107557D9" w14:textId="6A43B8F6"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2.1.6.7 Aquaculture and Container Throughput</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37</w:t>
      </w:r>
    </w:p>
    <w:p w14:paraId="00B7E5D2" w14:textId="441A52BA"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2.1.6.8 Aquaculture and Port Revenue</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37</w:t>
      </w:r>
    </w:p>
    <w:p w14:paraId="29F84F6E" w14:textId="66CC6E4B"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2.1.6.9 Aquaculture and Shipping Cost</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38</w:t>
      </w:r>
    </w:p>
    <w:p w14:paraId="360BF3E6" w14:textId="20C5E5B1"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lastRenderedPageBreak/>
        <w:t>2.1.7</w:t>
      </w:r>
      <w:r w:rsidRPr="00244442">
        <w:rPr>
          <w:rFonts w:ascii="Times New Roman" w:eastAsia="Times New Roman" w:hAnsi="Times New Roman" w:cs="Times New Roman"/>
          <w:bCs/>
          <w:sz w:val="24"/>
          <w:szCs w:val="24"/>
        </w:rPr>
        <w:tab/>
        <w:t>Desalination and Container Throughput</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38</w:t>
      </w:r>
    </w:p>
    <w:p w14:paraId="039881BB"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2.1.7.1 Desalination and Port Revenue</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39</w:t>
      </w:r>
    </w:p>
    <w:p w14:paraId="0CB5A386"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2.1.7.2 Desalination and Shipping Cost</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39</w:t>
      </w:r>
    </w:p>
    <w:p w14:paraId="2F4F1530"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2.1.8 The Nigeria Blue Economy Initiative</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40</w:t>
      </w:r>
    </w:p>
    <w:p w14:paraId="07EC8D2F"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2.1.8.1</w:t>
      </w:r>
      <w:r w:rsidRPr="00244442">
        <w:rPr>
          <w:rFonts w:ascii="Times New Roman" w:eastAsia="Times New Roman" w:hAnsi="Times New Roman" w:cs="Times New Roman"/>
          <w:bCs/>
          <w:sz w:val="24"/>
          <w:szCs w:val="24"/>
        </w:rPr>
        <w:tab/>
        <w:t>Harnessing Opportunities in the Blue Economy</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42</w:t>
      </w:r>
    </w:p>
    <w:p w14:paraId="18F10723"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2.1.8.2</w:t>
      </w:r>
      <w:r w:rsidRPr="00244442">
        <w:rPr>
          <w:rFonts w:ascii="Times New Roman" w:eastAsia="Times New Roman" w:hAnsi="Times New Roman" w:cs="Times New Roman"/>
          <w:bCs/>
          <w:sz w:val="24"/>
          <w:szCs w:val="24"/>
        </w:rPr>
        <w:tab/>
        <w:t>The Blue Economy and Maritime Development</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45</w:t>
      </w:r>
    </w:p>
    <w:p w14:paraId="71AB92FE"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2.1.9</w:t>
      </w:r>
      <w:r w:rsidRPr="00244442">
        <w:rPr>
          <w:rFonts w:ascii="Times New Roman" w:hAnsi="Times New Roman" w:cs="Times New Roman"/>
          <w:sz w:val="24"/>
          <w:szCs w:val="24"/>
        </w:rPr>
        <w:tab/>
        <w:t>An Overview of the Nigerian Shipping Industry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48</w:t>
      </w:r>
    </w:p>
    <w:p w14:paraId="5E330CD6"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2.2</w:t>
      </w:r>
      <w:r w:rsidRPr="00244442">
        <w:rPr>
          <w:rFonts w:ascii="Times New Roman" w:hAnsi="Times New Roman" w:cs="Times New Roman"/>
          <w:bCs/>
          <w:sz w:val="24"/>
          <w:szCs w:val="24"/>
        </w:rPr>
        <w:tab/>
        <w:t>Measure of Exchange Rate Volatility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59</w:t>
      </w:r>
    </w:p>
    <w:p w14:paraId="6780639A"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2.2.1</w:t>
      </w:r>
      <w:r w:rsidRPr="00244442">
        <w:rPr>
          <w:rFonts w:ascii="Times New Roman" w:eastAsia="Times New Roman" w:hAnsi="Times New Roman" w:cs="Times New Roman"/>
          <w:bCs/>
          <w:sz w:val="24"/>
          <w:szCs w:val="24"/>
        </w:rPr>
        <w:tab/>
        <w:t xml:space="preserve">The Interplay Between Exchange Rate Volatility, Blue Economy, and the </w:t>
      </w:r>
    </w:p>
    <w:p w14:paraId="437A006F" w14:textId="77777777" w:rsidR="00244442" w:rsidRPr="00244442" w:rsidRDefault="00244442" w:rsidP="00244442">
      <w:pPr>
        <w:spacing w:after="0" w:line="480" w:lineRule="auto"/>
        <w:ind w:firstLine="720"/>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Shipping Industry Financial Performance</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60</w:t>
      </w:r>
    </w:p>
    <w:p w14:paraId="3A6F74F9"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2.2.2</w:t>
      </w:r>
      <w:r w:rsidRPr="00244442">
        <w:rPr>
          <w:rFonts w:ascii="Times New Roman" w:hAnsi="Times New Roman" w:cs="Times New Roman"/>
          <w:sz w:val="24"/>
          <w:szCs w:val="24"/>
        </w:rPr>
        <w:tab/>
        <w:t>Concept of Exchange Rate</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63</w:t>
      </w:r>
    </w:p>
    <w:p w14:paraId="60E73558"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2.2.3</w:t>
      </w:r>
      <w:r w:rsidRPr="00244442">
        <w:rPr>
          <w:rFonts w:ascii="Times New Roman" w:hAnsi="Times New Roman" w:cs="Times New Roman"/>
          <w:sz w:val="24"/>
          <w:szCs w:val="24"/>
        </w:rPr>
        <w:tab/>
        <w:t>Exchange Rate Volatility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64</w:t>
      </w:r>
    </w:p>
    <w:p w14:paraId="20F65659"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2.3</w:t>
      </w:r>
      <w:r w:rsidRPr="00244442">
        <w:rPr>
          <w:rFonts w:ascii="Times New Roman" w:hAnsi="Times New Roman" w:cs="Times New Roman"/>
          <w:sz w:val="24"/>
          <w:szCs w:val="24"/>
        </w:rPr>
        <w:tab/>
        <w:t>Maritime Trade and Exchange rate Volatility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66</w:t>
      </w:r>
    </w:p>
    <w:p w14:paraId="255B64F5"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2.3.1</w:t>
      </w:r>
      <w:r w:rsidRPr="00244442">
        <w:rPr>
          <w:rFonts w:ascii="Times New Roman" w:eastAsia="Times New Roman" w:hAnsi="Times New Roman" w:cs="Times New Roman"/>
          <w:bCs/>
          <w:sz w:val="24"/>
          <w:szCs w:val="24"/>
        </w:rPr>
        <w:tab/>
        <w:t>Literature Review on Control Variables</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67</w:t>
      </w:r>
    </w:p>
    <w:p w14:paraId="3E3CCF90" w14:textId="77777777" w:rsidR="00244442" w:rsidRPr="00244442" w:rsidRDefault="00244442" w:rsidP="00244442">
      <w:pPr>
        <w:pStyle w:val="NormalWeb"/>
        <w:spacing w:before="0" w:beforeAutospacing="0" w:after="0" w:afterAutospacing="0" w:line="480" w:lineRule="auto"/>
        <w:jc w:val="both"/>
        <w:rPr>
          <w:bCs/>
        </w:rPr>
      </w:pPr>
      <w:r w:rsidRPr="00244442">
        <w:rPr>
          <w:bCs/>
        </w:rPr>
        <w:t>2.3.1.1</w:t>
      </w:r>
      <w:r w:rsidRPr="00244442">
        <w:rPr>
          <w:bCs/>
        </w:rPr>
        <w:tab/>
        <w:t>Inflation Rate</w:t>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t>67</w:t>
      </w:r>
    </w:p>
    <w:p w14:paraId="3DF3A8DF" w14:textId="77777777" w:rsidR="00244442" w:rsidRPr="00244442" w:rsidRDefault="00244442" w:rsidP="00244442">
      <w:pPr>
        <w:pStyle w:val="NormalWeb"/>
        <w:spacing w:before="0" w:beforeAutospacing="0" w:after="0" w:afterAutospacing="0" w:line="480" w:lineRule="auto"/>
        <w:jc w:val="both"/>
        <w:rPr>
          <w:bCs/>
        </w:rPr>
      </w:pPr>
      <w:r w:rsidRPr="00244442">
        <w:rPr>
          <w:bCs/>
        </w:rPr>
        <w:t>2.3.1.2</w:t>
      </w:r>
      <w:r w:rsidRPr="00244442">
        <w:rPr>
          <w:bCs/>
        </w:rPr>
        <w:tab/>
        <w:t>Labour Force</w:t>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t>68</w:t>
      </w:r>
    </w:p>
    <w:p w14:paraId="47A23985" w14:textId="77777777" w:rsidR="00244442" w:rsidRPr="00244442" w:rsidRDefault="00244442" w:rsidP="00244442">
      <w:pPr>
        <w:pStyle w:val="NormalWeb"/>
        <w:spacing w:before="0" w:beforeAutospacing="0" w:after="0" w:afterAutospacing="0" w:line="480" w:lineRule="auto"/>
        <w:jc w:val="both"/>
        <w:rPr>
          <w:bCs/>
        </w:rPr>
      </w:pPr>
      <w:r w:rsidRPr="00244442">
        <w:rPr>
          <w:bCs/>
        </w:rPr>
        <w:t>2.3.1.3</w:t>
      </w:r>
      <w:r w:rsidRPr="00244442">
        <w:rPr>
          <w:bCs/>
        </w:rPr>
        <w:tab/>
        <w:t>Trade Freedom</w:t>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r>
      <w:r w:rsidRPr="00244442">
        <w:rPr>
          <w:bCs/>
        </w:rPr>
        <w:tab/>
        <w:t>69</w:t>
      </w:r>
    </w:p>
    <w:p w14:paraId="35857A3C"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2.3.2</w:t>
      </w:r>
      <w:r w:rsidRPr="00244442">
        <w:rPr>
          <w:rFonts w:ascii="Times New Roman" w:hAnsi="Times New Roman" w:cs="Times New Roman"/>
          <w:sz w:val="24"/>
          <w:szCs w:val="24"/>
        </w:rPr>
        <w:tab/>
        <w:t>Conceptual Model</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70</w:t>
      </w:r>
    </w:p>
    <w:p w14:paraId="5CAF1E3F"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2.4</w:t>
      </w:r>
      <w:r w:rsidRPr="00244442">
        <w:rPr>
          <w:rFonts w:ascii="Times New Roman" w:hAnsi="Times New Roman" w:cs="Times New Roman"/>
          <w:sz w:val="24"/>
          <w:szCs w:val="24"/>
        </w:rPr>
        <w:tab/>
        <w:t>Theoretical Review</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73</w:t>
      </w:r>
    </w:p>
    <w:p w14:paraId="4528378B"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2.4.1</w:t>
      </w:r>
      <w:r w:rsidRPr="00244442">
        <w:rPr>
          <w:rFonts w:ascii="Times New Roman" w:eastAsia="Times New Roman" w:hAnsi="Times New Roman" w:cs="Times New Roman"/>
          <w:bCs/>
          <w:sz w:val="24"/>
          <w:szCs w:val="24"/>
        </w:rPr>
        <w:tab/>
        <w:t>Performance Theory</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73</w:t>
      </w:r>
    </w:p>
    <w:p w14:paraId="32E7B57A"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2.4.2</w:t>
      </w:r>
      <w:r w:rsidRPr="00244442">
        <w:rPr>
          <w:rFonts w:ascii="Times New Roman" w:eastAsia="Times New Roman" w:hAnsi="Times New Roman" w:cs="Times New Roman"/>
          <w:bCs/>
          <w:sz w:val="24"/>
          <w:szCs w:val="24"/>
        </w:rPr>
        <w:tab/>
        <w:t xml:space="preserve">The Sustainable Ocean Governance Theory                      </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76</w:t>
      </w:r>
    </w:p>
    <w:p w14:paraId="7E29C4F6" w14:textId="77777777" w:rsidR="00244442" w:rsidRPr="00244442" w:rsidRDefault="00244442" w:rsidP="00244442">
      <w:pPr>
        <w:spacing w:after="0" w:line="480" w:lineRule="auto"/>
        <w:jc w:val="both"/>
        <w:rPr>
          <w:rStyle w:val="Strong"/>
          <w:rFonts w:ascii="Times New Roman" w:hAnsi="Times New Roman" w:cs="Times New Roman"/>
          <w:b w:val="0"/>
          <w:sz w:val="24"/>
          <w:szCs w:val="24"/>
        </w:rPr>
      </w:pPr>
      <w:r w:rsidRPr="00244442">
        <w:rPr>
          <w:rFonts w:ascii="Times New Roman" w:hAnsi="Times New Roman" w:cs="Times New Roman"/>
          <w:sz w:val="24"/>
          <w:szCs w:val="24"/>
        </w:rPr>
        <w:t>2.4.3</w:t>
      </w:r>
      <w:r w:rsidRPr="00244442">
        <w:rPr>
          <w:rFonts w:ascii="Times New Roman" w:hAnsi="Times New Roman" w:cs="Times New Roman"/>
          <w:sz w:val="24"/>
          <w:szCs w:val="24"/>
        </w:rPr>
        <w:tab/>
      </w:r>
      <w:r w:rsidRPr="00244442">
        <w:rPr>
          <w:rStyle w:val="Strong"/>
          <w:rFonts w:ascii="Times New Roman" w:hAnsi="Times New Roman" w:cs="Times New Roman"/>
          <w:b w:val="0"/>
          <w:sz w:val="24"/>
          <w:szCs w:val="24"/>
        </w:rPr>
        <w:t xml:space="preserve">Purchasing Power Parity (PPP) Theory       </w:t>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t>80</w:t>
      </w:r>
    </w:p>
    <w:p w14:paraId="237601B0"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2.4.4</w:t>
      </w:r>
      <w:r w:rsidRPr="00244442">
        <w:rPr>
          <w:rFonts w:ascii="Times New Roman" w:hAnsi="Times New Roman" w:cs="Times New Roman"/>
          <w:sz w:val="24"/>
          <w:szCs w:val="24"/>
        </w:rPr>
        <w:tab/>
        <w:t>Traditional Flow Theory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84</w:t>
      </w:r>
    </w:p>
    <w:p w14:paraId="012B7B35"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lastRenderedPageBreak/>
        <w:t>2.4.5</w:t>
      </w:r>
      <w:r w:rsidRPr="00244442">
        <w:rPr>
          <w:rFonts w:ascii="Times New Roman" w:hAnsi="Times New Roman" w:cs="Times New Roman"/>
          <w:sz w:val="24"/>
          <w:szCs w:val="24"/>
        </w:rPr>
        <w:tab/>
        <w:t>Balance of Payments (BoP) Theory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87</w:t>
      </w:r>
    </w:p>
    <w:p w14:paraId="7C22518E"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hAnsi="Times New Roman" w:cs="Times New Roman"/>
          <w:sz w:val="24"/>
          <w:szCs w:val="24"/>
        </w:rPr>
        <w:t>2.4.6</w:t>
      </w:r>
      <w:r w:rsidRPr="00244442">
        <w:rPr>
          <w:rFonts w:ascii="Times New Roman" w:hAnsi="Times New Roman" w:cs="Times New Roman"/>
          <w:sz w:val="24"/>
          <w:szCs w:val="24"/>
        </w:rPr>
        <w:tab/>
        <w:t xml:space="preserve">The </w:t>
      </w:r>
      <w:r w:rsidRPr="00244442">
        <w:rPr>
          <w:rFonts w:ascii="Times New Roman" w:eastAsia="Times New Roman" w:hAnsi="Times New Roman" w:cs="Times New Roman"/>
          <w:bCs/>
          <w:sz w:val="24"/>
          <w:szCs w:val="24"/>
        </w:rPr>
        <w:t>Transaction Exposure Theory</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89</w:t>
      </w:r>
    </w:p>
    <w:p w14:paraId="4B9FA25B" w14:textId="77777777" w:rsidR="00244442" w:rsidRPr="00244442" w:rsidRDefault="00244442" w:rsidP="00244442">
      <w:pPr>
        <w:spacing w:after="0" w:line="480" w:lineRule="auto"/>
        <w:jc w:val="both"/>
        <w:rPr>
          <w:rStyle w:val="Strong"/>
          <w:rFonts w:ascii="Times New Roman" w:hAnsi="Times New Roman" w:cs="Times New Roman"/>
          <w:b w:val="0"/>
          <w:bCs w:val="0"/>
          <w:sz w:val="24"/>
          <w:szCs w:val="24"/>
        </w:rPr>
      </w:pPr>
      <w:r w:rsidRPr="00244442">
        <w:rPr>
          <w:rStyle w:val="Strong"/>
          <w:rFonts w:ascii="Times New Roman" w:hAnsi="Times New Roman" w:cs="Times New Roman"/>
          <w:b w:val="0"/>
          <w:sz w:val="24"/>
          <w:szCs w:val="24"/>
        </w:rPr>
        <w:t>2.4.7</w:t>
      </w:r>
      <w:r w:rsidRPr="00244442">
        <w:rPr>
          <w:rStyle w:val="Strong"/>
          <w:rFonts w:ascii="Times New Roman" w:hAnsi="Times New Roman" w:cs="Times New Roman"/>
          <w:b w:val="0"/>
          <w:sz w:val="24"/>
          <w:szCs w:val="24"/>
        </w:rPr>
        <w:tab/>
        <w:t>Theoretical Framework</w:t>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t>92</w:t>
      </w:r>
    </w:p>
    <w:p w14:paraId="4624667C" w14:textId="77777777" w:rsidR="00244442" w:rsidRPr="00244442" w:rsidRDefault="00244442" w:rsidP="00244442">
      <w:pPr>
        <w:spacing w:after="0" w:line="480" w:lineRule="auto"/>
        <w:jc w:val="both"/>
        <w:rPr>
          <w:rStyle w:val="Strong"/>
          <w:rFonts w:ascii="Times New Roman" w:hAnsi="Times New Roman" w:cs="Times New Roman"/>
          <w:b w:val="0"/>
          <w:sz w:val="24"/>
          <w:szCs w:val="24"/>
        </w:rPr>
      </w:pPr>
      <w:r w:rsidRPr="00244442">
        <w:rPr>
          <w:rStyle w:val="Strong"/>
          <w:rFonts w:ascii="Times New Roman" w:hAnsi="Times New Roman" w:cs="Times New Roman"/>
          <w:b w:val="0"/>
          <w:sz w:val="24"/>
          <w:szCs w:val="24"/>
        </w:rPr>
        <w:t>2.5</w:t>
      </w:r>
      <w:r w:rsidRPr="00244442">
        <w:rPr>
          <w:rStyle w:val="Strong"/>
          <w:rFonts w:ascii="Times New Roman" w:hAnsi="Times New Roman" w:cs="Times New Roman"/>
          <w:b w:val="0"/>
          <w:sz w:val="24"/>
          <w:szCs w:val="24"/>
        </w:rPr>
        <w:tab/>
        <w:t>Empirical Review</w:t>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t>95</w:t>
      </w:r>
    </w:p>
    <w:p w14:paraId="7D7C6C53"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2.5.1</w:t>
      </w:r>
      <w:r w:rsidRPr="00244442">
        <w:rPr>
          <w:rFonts w:ascii="Times New Roman" w:hAnsi="Times New Roman" w:cs="Times New Roman"/>
          <w:bCs/>
          <w:sz w:val="24"/>
          <w:szCs w:val="24"/>
        </w:rPr>
        <w:tab/>
        <w:t>Exchange Rate Volatility and Shipping Industry Financial Performance in Nigeria</w:t>
      </w:r>
      <w:r w:rsidRPr="00244442">
        <w:rPr>
          <w:rFonts w:ascii="Times New Roman" w:hAnsi="Times New Roman" w:cs="Times New Roman"/>
          <w:bCs/>
          <w:sz w:val="24"/>
          <w:szCs w:val="24"/>
        </w:rPr>
        <w:tab/>
        <w:t>95</w:t>
      </w:r>
    </w:p>
    <w:p w14:paraId="29549EB8"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2.5.2</w:t>
      </w:r>
      <w:r w:rsidRPr="00244442">
        <w:rPr>
          <w:rFonts w:ascii="Times New Roman" w:hAnsi="Times New Roman" w:cs="Times New Roman"/>
          <w:bCs/>
          <w:sz w:val="24"/>
          <w:szCs w:val="24"/>
        </w:rPr>
        <w:tab/>
        <w:t>Fisheries and Shipping Industry Financial Performance in Nigeria</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105</w:t>
      </w:r>
    </w:p>
    <w:p w14:paraId="2E59C858"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2.5.3</w:t>
      </w:r>
      <w:r w:rsidRPr="00244442">
        <w:rPr>
          <w:rFonts w:ascii="Times New Roman" w:hAnsi="Times New Roman" w:cs="Times New Roman"/>
          <w:bCs/>
          <w:sz w:val="24"/>
          <w:szCs w:val="24"/>
        </w:rPr>
        <w:tab/>
        <w:t>Aquaculture and Shipping Industry Financial Performance in Nigeria</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113</w:t>
      </w:r>
    </w:p>
    <w:p w14:paraId="4567A718" w14:textId="77777777" w:rsidR="00244442" w:rsidRPr="00244442" w:rsidRDefault="00244442" w:rsidP="00244442">
      <w:pPr>
        <w:spacing w:after="0" w:line="480" w:lineRule="auto"/>
        <w:jc w:val="both"/>
        <w:rPr>
          <w:rStyle w:val="Strong"/>
          <w:rFonts w:ascii="Times New Roman" w:hAnsi="Times New Roman" w:cs="Times New Roman"/>
          <w:b w:val="0"/>
          <w:sz w:val="24"/>
          <w:szCs w:val="24"/>
        </w:rPr>
      </w:pPr>
      <w:r w:rsidRPr="00244442">
        <w:rPr>
          <w:rStyle w:val="Strong"/>
          <w:rFonts w:ascii="Times New Roman" w:hAnsi="Times New Roman" w:cs="Times New Roman"/>
          <w:b w:val="0"/>
          <w:sz w:val="24"/>
          <w:szCs w:val="24"/>
        </w:rPr>
        <w:t>2.5.4</w:t>
      </w:r>
      <w:r w:rsidRPr="00244442">
        <w:rPr>
          <w:rStyle w:val="Strong"/>
          <w:rFonts w:ascii="Times New Roman" w:hAnsi="Times New Roman" w:cs="Times New Roman"/>
          <w:b w:val="0"/>
          <w:sz w:val="24"/>
          <w:szCs w:val="24"/>
        </w:rPr>
        <w:tab/>
        <w:t>Desalination and Shipping Industry Financial Performance in Nigeria</w:t>
      </w:r>
      <w:r w:rsidRPr="00244442">
        <w:rPr>
          <w:rStyle w:val="Strong"/>
          <w:rFonts w:ascii="Times New Roman" w:hAnsi="Times New Roman" w:cs="Times New Roman"/>
          <w:b w:val="0"/>
          <w:sz w:val="24"/>
          <w:szCs w:val="24"/>
        </w:rPr>
        <w:tab/>
      </w:r>
      <w:r w:rsidRPr="00244442">
        <w:rPr>
          <w:rStyle w:val="Strong"/>
          <w:rFonts w:ascii="Times New Roman" w:hAnsi="Times New Roman" w:cs="Times New Roman"/>
          <w:b w:val="0"/>
          <w:sz w:val="24"/>
          <w:szCs w:val="24"/>
        </w:rPr>
        <w:tab/>
        <w:t>117</w:t>
      </w:r>
    </w:p>
    <w:p w14:paraId="3482165E" w14:textId="77777777" w:rsidR="00244442" w:rsidRPr="00244442" w:rsidRDefault="00244442" w:rsidP="00244442">
      <w:pPr>
        <w:spacing w:after="0" w:line="480" w:lineRule="auto"/>
        <w:jc w:val="both"/>
        <w:rPr>
          <w:rFonts w:ascii="Times New Roman" w:eastAsia="Times New Roman" w:hAnsi="Times New Roman" w:cs="Times New Roman"/>
          <w:bCs/>
          <w:sz w:val="24"/>
          <w:szCs w:val="24"/>
        </w:rPr>
      </w:pPr>
      <w:r w:rsidRPr="00244442">
        <w:rPr>
          <w:rFonts w:ascii="Times New Roman" w:eastAsia="Times New Roman" w:hAnsi="Times New Roman" w:cs="Times New Roman"/>
          <w:bCs/>
          <w:sz w:val="24"/>
          <w:szCs w:val="24"/>
        </w:rPr>
        <w:t>2.6</w:t>
      </w:r>
      <w:r w:rsidRPr="00244442">
        <w:rPr>
          <w:rFonts w:ascii="Times New Roman" w:eastAsia="Times New Roman" w:hAnsi="Times New Roman" w:cs="Times New Roman"/>
          <w:bCs/>
          <w:sz w:val="24"/>
          <w:szCs w:val="24"/>
        </w:rPr>
        <w:tab/>
        <w:t>Gaps in Literature</w:t>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r>
      <w:r w:rsidRPr="00244442">
        <w:rPr>
          <w:rFonts w:ascii="Times New Roman" w:eastAsia="Times New Roman" w:hAnsi="Times New Roman" w:cs="Times New Roman"/>
          <w:bCs/>
          <w:sz w:val="24"/>
          <w:szCs w:val="24"/>
        </w:rPr>
        <w:tab/>
        <w:t>140</w:t>
      </w:r>
    </w:p>
    <w:p w14:paraId="7DA0D508" w14:textId="77777777" w:rsidR="00244442" w:rsidRPr="00244442" w:rsidRDefault="00244442" w:rsidP="00244442">
      <w:pPr>
        <w:spacing w:after="0" w:line="480" w:lineRule="auto"/>
        <w:jc w:val="both"/>
        <w:rPr>
          <w:rFonts w:ascii="Times New Roman" w:hAnsi="Times New Roman" w:cs="Times New Roman"/>
          <w:b/>
          <w:sz w:val="24"/>
          <w:szCs w:val="24"/>
        </w:rPr>
      </w:pPr>
      <w:r w:rsidRPr="00244442">
        <w:rPr>
          <w:rFonts w:ascii="Times New Roman" w:hAnsi="Times New Roman" w:cs="Times New Roman"/>
          <w:b/>
          <w:sz w:val="24"/>
          <w:szCs w:val="24"/>
        </w:rPr>
        <w:t>CHAPTER THREE:  METHODOLOGY</w:t>
      </w:r>
    </w:p>
    <w:p w14:paraId="1E199FA6"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3.1</w:t>
      </w:r>
      <w:r w:rsidRPr="00244442">
        <w:rPr>
          <w:rFonts w:ascii="Times New Roman" w:hAnsi="Times New Roman" w:cs="Times New Roman"/>
          <w:sz w:val="24"/>
          <w:szCs w:val="24"/>
        </w:rPr>
        <w:tab/>
        <w:t>Introduction</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142</w:t>
      </w:r>
    </w:p>
    <w:p w14:paraId="580E7400"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3.2</w:t>
      </w:r>
      <w:r w:rsidRPr="00244442">
        <w:rPr>
          <w:rFonts w:ascii="Times New Roman" w:hAnsi="Times New Roman" w:cs="Times New Roman"/>
          <w:sz w:val="24"/>
          <w:szCs w:val="24"/>
        </w:rPr>
        <w:tab/>
        <w:t>Research Design</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142</w:t>
      </w:r>
    </w:p>
    <w:p w14:paraId="3D8515E4"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3.3</w:t>
      </w:r>
      <w:r w:rsidRPr="00244442">
        <w:rPr>
          <w:rFonts w:ascii="Times New Roman" w:hAnsi="Times New Roman" w:cs="Times New Roman"/>
          <w:sz w:val="24"/>
          <w:szCs w:val="24"/>
        </w:rPr>
        <w:tab/>
        <w:t>Population and Sample Size of the Study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142</w:t>
      </w:r>
    </w:p>
    <w:p w14:paraId="35A5A944"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3.4</w:t>
      </w:r>
      <w:r w:rsidRPr="00244442">
        <w:rPr>
          <w:rFonts w:ascii="Times New Roman" w:hAnsi="Times New Roman" w:cs="Times New Roman"/>
          <w:sz w:val="24"/>
          <w:szCs w:val="24"/>
        </w:rPr>
        <w:tab/>
        <w:t>Sources of Data</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143</w:t>
      </w:r>
    </w:p>
    <w:p w14:paraId="2F5B5C96"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3.5</w:t>
      </w:r>
      <w:r w:rsidRPr="00244442">
        <w:rPr>
          <w:rFonts w:ascii="Times New Roman" w:hAnsi="Times New Roman" w:cs="Times New Roman"/>
          <w:sz w:val="24"/>
          <w:szCs w:val="24"/>
        </w:rPr>
        <w:tab/>
        <w:t>Theoretical Framework</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144</w:t>
      </w:r>
    </w:p>
    <w:p w14:paraId="5EFBB9E3" w14:textId="77777777" w:rsidR="00244442" w:rsidRPr="00244442" w:rsidRDefault="00244442" w:rsidP="00244442">
      <w:pPr>
        <w:spacing w:after="0" w:line="480" w:lineRule="auto"/>
        <w:jc w:val="both"/>
        <w:rPr>
          <w:rFonts w:ascii="Times New Roman" w:eastAsia="Times New Roman" w:hAnsi="Times New Roman" w:cs="Times New Roman"/>
          <w:spacing w:val="-6"/>
          <w:sz w:val="24"/>
          <w:szCs w:val="24"/>
        </w:rPr>
      </w:pPr>
      <w:r w:rsidRPr="00244442">
        <w:rPr>
          <w:rFonts w:ascii="Times New Roman" w:eastAsia="Times New Roman" w:hAnsi="Times New Roman" w:cs="Times New Roman"/>
          <w:spacing w:val="-6"/>
          <w:sz w:val="24"/>
          <w:szCs w:val="24"/>
        </w:rPr>
        <w:t>3.6</w:t>
      </w:r>
      <w:r w:rsidRPr="00244442">
        <w:rPr>
          <w:rFonts w:ascii="Times New Roman" w:eastAsia="Times New Roman" w:hAnsi="Times New Roman" w:cs="Times New Roman"/>
          <w:spacing w:val="-6"/>
          <w:sz w:val="24"/>
          <w:szCs w:val="24"/>
        </w:rPr>
        <w:tab/>
        <w:t>Model Specification</w:t>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r>
      <w:r w:rsidRPr="00244442">
        <w:rPr>
          <w:rFonts w:ascii="Times New Roman" w:eastAsia="Times New Roman" w:hAnsi="Times New Roman" w:cs="Times New Roman"/>
          <w:spacing w:val="-6"/>
          <w:sz w:val="24"/>
          <w:szCs w:val="24"/>
        </w:rPr>
        <w:tab/>
        <w:t>145</w:t>
      </w:r>
    </w:p>
    <w:p w14:paraId="7A1719AB" w14:textId="77777777" w:rsidR="00244442" w:rsidRPr="00244442" w:rsidRDefault="00244442" w:rsidP="00244442">
      <w:pPr>
        <w:spacing w:after="0" w:line="480" w:lineRule="auto"/>
        <w:jc w:val="both"/>
        <w:rPr>
          <w:rStyle w:val="Strong"/>
          <w:rFonts w:ascii="Times New Roman" w:hAnsi="Times New Roman" w:cs="Times New Roman"/>
          <w:b w:val="0"/>
          <w:sz w:val="24"/>
          <w:szCs w:val="24"/>
        </w:rPr>
      </w:pPr>
      <w:r w:rsidRPr="00244442">
        <w:rPr>
          <w:rStyle w:val="Strong"/>
          <w:rFonts w:ascii="Times New Roman" w:eastAsiaTheme="majorEastAsia" w:hAnsi="Times New Roman" w:cs="Times New Roman"/>
          <w:b w:val="0"/>
          <w:bCs w:val="0"/>
          <w:sz w:val="24"/>
          <w:szCs w:val="24"/>
        </w:rPr>
        <w:t>3.6.1</w:t>
      </w:r>
      <w:r w:rsidRPr="00244442">
        <w:rPr>
          <w:rStyle w:val="Strong"/>
          <w:rFonts w:ascii="Times New Roman" w:eastAsiaTheme="majorEastAsia" w:hAnsi="Times New Roman" w:cs="Times New Roman"/>
          <w:b w:val="0"/>
          <w:bCs w:val="0"/>
          <w:sz w:val="24"/>
          <w:szCs w:val="24"/>
        </w:rPr>
        <w:tab/>
        <w:t>Justification for the Modification</w:t>
      </w:r>
      <w:r w:rsidRPr="00244442">
        <w:rPr>
          <w:rStyle w:val="Strong"/>
          <w:rFonts w:ascii="Times New Roman" w:hAnsi="Times New Roman" w:cs="Times New Roman"/>
          <w:sz w:val="24"/>
          <w:szCs w:val="24"/>
        </w:rPr>
        <w:tab/>
      </w:r>
      <w:r w:rsidRPr="00244442">
        <w:rPr>
          <w:rStyle w:val="Strong"/>
          <w:rFonts w:ascii="Times New Roman" w:hAnsi="Times New Roman" w:cs="Times New Roman"/>
          <w:sz w:val="24"/>
          <w:szCs w:val="24"/>
        </w:rPr>
        <w:tab/>
      </w:r>
      <w:r w:rsidRPr="00244442">
        <w:rPr>
          <w:rStyle w:val="Strong"/>
          <w:rFonts w:ascii="Times New Roman" w:hAnsi="Times New Roman" w:cs="Times New Roman"/>
          <w:sz w:val="24"/>
          <w:szCs w:val="24"/>
        </w:rPr>
        <w:tab/>
      </w:r>
      <w:r w:rsidRPr="00244442">
        <w:rPr>
          <w:rStyle w:val="Strong"/>
          <w:rFonts w:ascii="Times New Roman" w:hAnsi="Times New Roman" w:cs="Times New Roman"/>
          <w:sz w:val="24"/>
          <w:szCs w:val="24"/>
        </w:rPr>
        <w:tab/>
      </w:r>
      <w:r w:rsidRPr="00244442">
        <w:rPr>
          <w:rStyle w:val="Strong"/>
          <w:rFonts w:ascii="Times New Roman" w:hAnsi="Times New Roman" w:cs="Times New Roman"/>
          <w:sz w:val="24"/>
          <w:szCs w:val="24"/>
        </w:rPr>
        <w:tab/>
      </w:r>
      <w:r w:rsidRPr="00244442">
        <w:rPr>
          <w:rStyle w:val="Strong"/>
          <w:rFonts w:ascii="Times New Roman" w:hAnsi="Times New Roman" w:cs="Times New Roman"/>
          <w:sz w:val="24"/>
          <w:szCs w:val="24"/>
        </w:rPr>
        <w:tab/>
      </w:r>
      <w:r w:rsidRPr="00244442">
        <w:rPr>
          <w:rStyle w:val="Strong"/>
          <w:rFonts w:ascii="Times New Roman" w:hAnsi="Times New Roman" w:cs="Times New Roman"/>
          <w:sz w:val="24"/>
          <w:szCs w:val="24"/>
        </w:rPr>
        <w:tab/>
      </w:r>
      <w:r w:rsidRPr="00244442">
        <w:rPr>
          <w:rStyle w:val="Strong"/>
          <w:rFonts w:ascii="Times New Roman" w:hAnsi="Times New Roman" w:cs="Times New Roman"/>
          <w:b w:val="0"/>
          <w:sz w:val="24"/>
          <w:szCs w:val="24"/>
        </w:rPr>
        <w:t>146</w:t>
      </w:r>
    </w:p>
    <w:p w14:paraId="6340BE03"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3.7</w:t>
      </w:r>
      <w:r w:rsidRPr="00244442">
        <w:rPr>
          <w:rFonts w:ascii="Times New Roman" w:hAnsi="Times New Roman" w:cs="Times New Roman"/>
          <w:sz w:val="24"/>
          <w:szCs w:val="24"/>
        </w:rPr>
        <w:tab/>
        <w:t>Estimation Technique for Exchange Rate Volatility</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147</w:t>
      </w:r>
    </w:p>
    <w:p w14:paraId="45C673E6"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3.8</w:t>
      </w:r>
      <w:r w:rsidRPr="00244442">
        <w:rPr>
          <w:rFonts w:ascii="Times New Roman" w:hAnsi="Times New Roman" w:cs="Times New Roman"/>
          <w:bCs/>
          <w:sz w:val="24"/>
          <w:szCs w:val="24"/>
        </w:rPr>
        <w:tab/>
        <w:t>Measurement of Variables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156</w:t>
      </w:r>
    </w:p>
    <w:p w14:paraId="69590D3A"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3.9</w:t>
      </w:r>
      <w:r w:rsidRPr="00244442">
        <w:rPr>
          <w:rFonts w:ascii="Times New Roman" w:hAnsi="Times New Roman" w:cs="Times New Roman"/>
          <w:sz w:val="24"/>
          <w:szCs w:val="24"/>
        </w:rPr>
        <w:tab/>
        <w:t>Method of Data Analysis</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157</w:t>
      </w:r>
    </w:p>
    <w:p w14:paraId="185D5FA3" w14:textId="77777777" w:rsidR="00244442" w:rsidRPr="00244442" w:rsidRDefault="00244442" w:rsidP="00244442">
      <w:pPr>
        <w:spacing w:after="0" w:line="480" w:lineRule="auto"/>
        <w:jc w:val="both"/>
        <w:rPr>
          <w:rFonts w:ascii="Times New Roman" w:hAnsi="Times New Roman" w:cs="Times New Roman"/>
          <w:b/>
          <w:sz w:val="24"/>
          <w:szCs w:val="24"/>
        </w:rPr>
      </w:pPr>
      <w:r w:rsidRPr="00244442">
        <w:rPr>
          <w:rFonts w:ascii="Times New Roman" w:hAnsi="Times New Roman" w:cs="Times New Roman"/>
          <w:b/>
          <w:sz w:val="24"/>
          <w:szCs w:val="24"/>
        </w:rPr>
        <w:t xml:space="preserve">CHAPTER FOUR: EMPIRICAL ANALYSIS </w:t>
      </w:r>
    </w:p>
    <w:p w14:paraId="512AA377"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4.1</w:t>
      </w:r>
      <w:r w:rsidRPr="00244442">
        <w:rPr>
          <w:rFonts w:ascii="Times New Roman" w:hAnsi="Times New Roman" w:cs="Times New Roman"/>
          <w:bCs/>
          <w:sz w:val="24"/>
          <w:szCs w:val="24"/>
        </w:rPr>
        <w:tab/>
        <w:t>Introduction</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160</w:t>
      </w:r>
    </w:p>
    <w:p w14:paraId="6BCDEF5C"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4.2</w:t>
      </w:r>
      <w:r w:rsidRPr="00244442">
        <w:rPr>
          <w:rFonts w:ascii="Times New Roman" w:hAnsi="Times New Roman" w:cs="Times New Roman"/>
          <w:bCs/>
          <w:sz w:val="24"/>
          <w:szCs w:val="24"/>
        </w:rPr>
        <w:tab/>
        <w:t>Descriptive Statistics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160</w:t>
      </w:r>
    </w:p>
    <w:p w14:paraId="5664822C" w14:textId="77777777" w:rsidR="00244442" w:rsidRPr="00244442" w:rsidRDefault="00244442" w:rsidP="00244442">
      <w:pPr>
        <w:spacing w:after="0" w:line="480" w:lineRule="auto"/>
        <w:jc w:val="both"/>
        <w:rPr>
          <w:rFonts w:ascii="Times New Roman" w:hAnsi="Times New Roman" w:cs="Times New Roman"/>
          <w:iCs/>
          <w:sz w:val="24"/>
          <w:szCs w:val="24"/>
        </w:rPr>
      </w:pPr>
      <w:r w:rsidRPr="00244442">
        <w:rPr>
          <w:rFonts w:ascii="Times New Roman" w:hAnsi="Times New Roman" w:cs="Times New Roman"/>
          <w:iCs/>
          <w:sz w:val="24"/>
          <w:szCs w:val="24"/>
        </w:rPr>
        <w:lastRenderedPageBreak/>
        <w:t>4.3</w:t>
      </w:r>
      <w:r w:rsidRPr="00244442">
        <w:rPr>
          <w:rFonts w:ascii="Times New Roman" w:hAnsi="Times New Roman" w:cs="Times New Roman"/>
          <w:iCs/>
          <w:sz w:val="24"/>
          <w:szCs w:val="24"/>
        </w:rPr>
        <w:tab/>
        <w:t>Unit Root and Cointegration Analysis</w:t>
      </w:r>
      <w:r w:rsidRPr="00244442">
        <w:rPr>
          <w:rFonts w:ascii="Times New Roman" w:hAnsi="Times New Roman" w:cs="Times New Roman"/>
          <w:iCs/>
          <w:sz w:val="24"/>
          <w:szCs w:val="24"/>
        </w:rPr>
        <w:tab/>
      </w:r>
      <w:r w:rsidRPr="00244442">
        <w:rPr>
          <w:rFonts w:ascii="Times New Roman" w:hAnsi="Times New Roman" w:cs="Times New Roman"/>
          <w:iCs/>
          <w:sz w:val="24"/>
          <w:szCs w:val="24"/>
        </w:rPr>
        <w:tab/>
      </w:r>
      <w:r w:rsidRPr="00244442">
        <w:rPr>
          <w:rFonts w:ascii="Times New Roman" w:hAnsi="Times New Roman" w:cs="Times New Roman"/>
          <w:iCs/>
          <w:sz w:val="24"/>
          <w:szCs w:val="24"/>
        </w:rPr>
        <w:tab/>
      </w:r>
      <w:r w:rsidRPr="00244442">
        <w:rPr>
          <w:rFonts w:ascii="Times New Roman" w:hAnsi="Times New Roman" w:cs="Times New Roman"/>
          <w:iCs/>
          <w:sz w:val="24"/>
          <w:szCs w:val="24"/>
        </w:rPr>
        <w:tab/>
      </w:r>
      <w:r w:rsidRPr="00244442">
        <w:rPr>
          <w:rFonts w:ascii="Times New Roman" w:hAnsi="Times New Roman" w:cs="Times New Roman"/>
          <w:iCs/>
          <w:sz w:val="24"/>
          <w:szCs w:val="24"/>
        </w:rPr>
        <w:tab/>
      </w:r>
      <w:r w:rsidRPr="00244442">
        <w:rPr>
          <w:rFonts w:ascii="Times New Roman" w:hAnsi="Times New Roman" w:cs="Times New Roman"/>
          <w:iCs/>
          <w:sz w:val="24"/>
          <w:szCs w:val="24"/>
        </w:rPr>
        <w:tab/>
        <w:t>169</w:t>
      </w:r>
    </w:p>
    <w:p w14:paraId="68E2C599"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4.4</w:t>
      </w:r>
      <w:r w:rsidRPr="00244442">
        <w:rPr>
          <w:rFonts w:ascii="Times New Roman" w:hAnsi="Times New Roman" w:cs="Times New Roman"/>
          <w:bCs/>
          <w:sz w:val="24"/>
          <w:szCs w:val="24"/>
        </w:rPr>
        <w:tab/>
        <w:t>Regression Analysis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171</w:t>
      </w:r>
    </w:p>
    <w:p w14:paraId="5EC362D6"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4.4.1</w:t>
      </w:r>
      <w:r w:rsidRPr="00244442">
        <w:rPr>
          <w:rFonts w:ascii="Times New Roman" w:hAnsi="Times New Roman" w:cs="Times New Roman"/>
          <w:bCs/>
          <w:sz w:val="24"/>
          <w:szCs w:val="24"/>
        </w:rPr>
        <w:tab/>
        <w:t>GARCH Estimation of Exchange Rate Volatility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171</w:t>
      </w:r>
    </w:p>
    <w:p w14:paraId="08B386EF"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4.5</w:t>
      </w:r>
      <w:r w:rsidRPr="00244442">
        <w:rPr>
          <w:rFonts w:ascii="Times New Roman" w:hAnsi="Times New Roman" w:cs="Times New Roman"/>
          <w:bCs/>
          <w:sz w:val="24"/>
          <w:szCs w:val="24"/>
        </w:rPr>
        <w:tab/>
        <w:t>Analysis of the ARDL Results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173</w:t>
      </w:r>
    </w:p>
    <w:p w14:paraId="6A4C3478"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4.5.1</w:t>
      </w:r>
      <w:r w:rsidRPr="00244442">
        <w:rPr>
          <w:rFonts w:ascii="Times New Roman" w:hAnsi="Times New Roman" w:cs="Times New Roman"/>
          <w:bCs/>
          <w:sz w:val="24"/>
          <w:szCs w:val="24"/>
        </w:rPr>
        <w:tab/>
        <w:t>Lag Length Selection</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173</w:t>
      </w:r>
    </w:p>
    <w:p w14:paraId="0885E1E6"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4.5.2</w:t>
      </w:r>
      <w:r w:rsidRPr="00244442">
        <w:rPr>
          <w:rFonts w:ascii="Times New Roman" w:hAnsi="Times New Roman" w:cs="Times New Roman"/>
          <w:bCs/>
          <w:sz w:val="24"/>
          <w:szCs w:val="24"/>
        </w:rPr>
        <w:tab/>
        <w:t>Regression Analysis (ARDL Results)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174</w:t>
      </w:r>
    </w:p>
    <w:p w14:paraId="1337E32A" w14:textId="77777777" w:rsidR="00244442" w:rsidRPr="00244442" w:rsidRDefault="00244442" w:rsidP="00244442">
      <w:pPr>
        <w:spacing w:after="0" w:line="480" w:lineRule="auto"/>
        <w:jc w:val="both"/>
        <w:rPr>
          <w:rFonts w:ascii="Times New Roman" w:eastAsiaTheme="majorEastAsia" w:hAnsi="Times New Roman" w:cs="Times New Roman"/>
          <w:sz w:val="24"/>
          <w:szCs w:val="24"/>
        </w:rPr>
      </w:pPr>
      <w:r w:rsidRPr="00244442">
        <w:rPr>
          <w:rFonts w:ascii="Times New Roman" w:eastAsiaTheme="majorEastAsia" w:hAnsi="Times New Roman" w:cs="Times New Roman"/>
          <w:sz w:val="24"/>
          <w:szCs w:val="24"/>
        </w:rPr>
        <w:t>4.5.3</w:t>
      </w:r>
      <w:r w:rsidRPr="00244442">
        <w:rPr>
          <w:rFonts w:ascii="Times New Roman" w:eastAsiaTheme="majorEastAsia" w:hAnsi="Times New Roman" w:cs="Times New Roman"/>
          <w:sz w:val="24"/>
          <w:szCs w:val="24"/>
        </w:rPr>
        <w:tab/>
        <w:t>Post-Estimation Robustness Tests</w:t>
      </w:r>
      <w:r w:rsidRPr="00244442">
        <w:rPr>
          <w:rFonts w:ascii="Times New Roman" w:eastAsiaTheme="majorEastAsia" w:hAnsi="Times New Roman" w:cs="Times New Roman"/>
          <w:sz w:val="24"/>
          <w:szCs w:val="24"/>
        </w:rPr>
        <w:tab/>
      </w:r>
      <w:r w:rsidRPr="00244442">
        <w:rPr>
          <w:rFonts w:ascii="Times New Roman" w:eastAsiaTheme="majorEastAsia" w:hAnsi="Times New Roman" w:cs="Times New Roman"/>
          <w:sz w:val="24"/>
          <w:szCs w:val="24"/>
        </w:rPr>
        <w:tab/>
      </w:r>
      <w:r w:rsidRPr="00244442">
        <w:rPr>
          <w:rFonts w:ascii="Times New Roman" w:eastAsiaTheme="majorEastAsia" w:hAnsi="Times New Roman" w:cs="Times New Roman"/>
          <w:sz w:val="24"/>
          <w:szCs w:val="24"/>
        </w:rPr>
        <w:tab/>
      </w:r>
      <w:r w:rsidRPr="00244442">
        <w:rPr>
          <w:rFonts w:ascii="Times New Roman" w:eastAsiaTheme="majorEastAsia" w:hAnsi="Times New Roman" w:cs="Times New Roman"/>
          <w:sz w:val="24"/>
          <w:szCs w:val="24"/>
        </w:rPr>
        <w:tab/>
      </w:r>
      <w:r w:rsidRPr="00244442">
        <w:rPr>
          <w:rFonts w:ascii="Times New Roman" w:eastAsiaTheme="majorEastAsia" w:hAnsi="Times New Roman" w:cs="Times New Roman"/>
          <w:sz w:val="24"/>
          <w:szCs w:val="24"/>
        </w:rPr>
        <w:tab/>
      </w:r>
      <w:r w:rsidRPr="00244442">
        <w:rPr>
          <w:rFonts w:ascii="Times New Roman" w:eastAsiaTheme="majorEastAsia" w:hAnsi="Times New Roman" w:cs="Times New Roman"/>
          <w:sz w:val="24"/>
          <w:szCs w:val="24"/>
        </w:rPr>
        <w:tab/>
      </w:r>
      <w:r w:rsidRPr="00244442">
        <w:rPr>
          <w:rFonts w:ascii="Times New Roman" w:eastAsiaTheme="majorEastAsia" w:hAnsi="Times New Roman" w:cs="Times New Roman"/>
          <w:sz w:val="24"/>
          <w:szCs w:val="24"/>
        </w:rPr>
        <w:tab/>
        <w:t>184</w:t>
      </w:r>
    </w:p>
    <w:p w14:paraId="621274FC" w14:textId="77777777" w:rsidR="00244442" w:rsidRPr="00244442" w:rsidRDefault="00244442" w:rsidP="00244442">
      <w:pPr>
        <w:spacing w:after="0" w:line="480" w:lineRule="auto"/>
        <w:jc w:val="both"/>
        <w:rPr>
          <w:rFonts w:ascii="Times New Roman" w:eastAsiaTheme="majorEastAsia" w:hAnsi="Times New Roman" w:cs="Times New Roman"/>
          <w:sz w:val="24"/>
          <w:szCs w:val="24"/>
        </w:rPr>
      </w:pPr>
      <w:r w:rsidRPr="00244442">
        <w:rPr>
          <w:rFonts w:ascii="Times New Roman" w:hAnsi="Times New Roman" w:cs="Times New Roman"/>
          <w:bCs/>
          <w:sz w:val="24"/>
          <w:szCs w:val="24"/>
        </w:rPr>
        <w:t>4.5.4</w:t>
      </w:r>
      <w:r w:rsidRPr="00244442">
        <w:rPr>
          <w:rFonts w:ascii="Times New Roman" w:hAnsi="Times New Roman" w:cs="Times New Roman"/>
          <w:bCs/>
          <w:sz w:val="24"/>
          <w:szCs w:val="24"/>
        </w:rPr>
        <w:tab/>
        <w:t>Test of Hypotheses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187</w:t>
      </w:r>
    </w:p>
    <w:p w14:paraId="791EC042"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4.6</w:t>
      </w:r>
      <w:r w:rsidRPr="00244442">
        <w:rPr>
          <w:rFonts w:ascii="Times New Roman" w:hAnsi="Times New Roman" w:cs="Times New Roman"/>
          <w:bCs/>
          <w:sz w:val="24"/>
          <w:szCs w:val="24"/>
        </w:rPr>
        <w:tab/>
        <w:t>Discussion of Findings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189</w:t>
      </w:r>
    </w:p>
    <w:p w14:paraId="2BC2A694" w14:textId="77777777" w:rsidR="00244442" w:rsidRPr="00244442" w:rsidRDefault="00244442" w:rsidP="00244442">
      <w:pPr>
        <w:spacing w:after="0" w:line="480" w:lineRule="auto"/>
        <w:jc w:val="both"/>
        <w:rPr>
          <w:rFonts w:ascii="Times New Roman" w:hAnsi="Times New Roman" w:cs="Times New Roman"/>
          <w:b/>
          <w:bCs/>
          <w:sz w:val="24"/>
          <w:szCs w:val="24"/>
        </w:rPr>
      </w:pPr>
      <w:r w:rsidRPr="00244442">
        <w:rPr>
          <w:rFonts w:ascii="Times New Roman" w:hAnsi="Times New Roman" w:cs="Times New Roman"/>
          <w:b/>
          <w:bCs/>
          <w:sz w:val="24"/>
          <w:szCs w:val="24"/>
        </w:rPr>
        <w:t xml:space="preserve">CHAPTER FIVE: SUMMARY OF FINDINGS, CONCLUSION AND </w:t>
      </w:r>
    </w:p>
    <w:p w14:paraId="657D4651" w14:textId="77777777" w:rsidR="00244442" w:rsidRPr="00244442" w:rsidRDefault="00244442" w:rsidP="00244442">
      <w:pPr>
        <w:spacing w:after="0" w:line="480" w:lineRule="auto"/>
        <w:ind w:left="1980" w:hanging="1980"/>
        <w:jc w:val="both"/>
        <w:rPr>
          <w:rFonts w:ascii="Times New Roman" w:hAnsi="Times New Roman" w:cs="Times New Roman"/>
          <w:b/>
          <w:bCs/>
          <w:sz w:val="24"/>
          <w:szCs w:val="24"/>
        </w:rPr>
      </w:pPr>
      <w:r w:rsidRPr="00244442">
        <w:rPr>
          <w:rFonts w:ascii="Times New Roman" w:hAnsi="Times New Roman" w:cs="Times New Roman"/>
          <w:b/>
          <w:bCs/>
          <w:sz w:val="24"/>
          <w:szCs w:val="24"/>
        </w:rPr>
        <w:tab/>
        <w:t>RECOMMENDATIONS</w:t>
      </w:r>
    </w:p>
    <w:p w14:paraId="11FF875E"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5.1</w:t>
      </w:r>
      <w:r w:rsidRPr="00244442">
        <w:rPr>
          <w:rFonts w:ascii="Times New Roman" w:hAnsi="Times New Roman" w:cs="Times New Roman"/>
          <w:bCs/>
          <w:sz w:val="24"/>
          <w:szCs w:val="24"/>
        </w:rPr>
        <w:tab/>
        <w:t>Summary of Findings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193</w:t>
      </w:r>
    </w:p>
    <w:p w14:paraId="12F8D0E1"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5.2</w:t>
      </w:r>
      <w:r w:rsidRPr="00244442">
        <w:rPr>
          <w:rFonts w:ascii="Times New Roman" w:hAnsi="Times New Roman" w:cs="Times New Roman"/>
          <w:bCs/>
          <w:sz w:val="24"/>
          <w:szCs w:val="24"/>
        </w:rPr>
        <w:tab/>
        <w:t>Conclusion</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195</w:t>
      </w:r>
    </w:p>
    <w:p w14:paraId="6E721643"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5.3</w:t>
      </w:r>
      <w:r w:rsidRPr="00244442">
        <w:rPr>
          <w:rFonts w:ascii="Times New Roman" w:hAnsi="Times New Roman" w:cs="Times New Roman"/>
          <w:sz w:val="24"/>
          <w:szCs w:val="24"/>
        </w:rPr>
        <w:tab/>
        <w:t>Recommendations</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196</w:t>
      </w:r>
    </w:p>
    <w:p w14:paraId="29CCEFF8"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5.4</w:t>
      </w:r>
      <w:r w:rsidRPr="00244442">
        <w:rPr>
          <w:rFonts w:ascii="Times New Roman" w:hAnsi="Times New Roman" w:cs="Times New Roman"/>
          <w:bCs/>
          <w:sz w:val="24"/>
          <w:szCs w:val="24"/>
        </w:rPr>
        <w:tab/>
        <w:t>Contribution to Knowledge</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199</w:t>
      </w:r>
    </w:p>
    <w:p w14:paraId="361EB8AA"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5.5</w:t>
      </w:r>
      <w:r w:rsidRPr="00244442">
        <w:rPr>
          <w:rFonts w:ascii="Times New Roman" w:hAnsi="Times New Roman" w:cs="Times New Roman"/>
          <w:bCs/>
          <w:sz w:val="24"/>
          <w:szCs w:val="24"/>
        </w:rPr>
        <w:tab/>
        <w:t>Areas for Further Study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200</w:t>
      </w:r>
    </w:p>
    <w:p w14:paraId="539F14BE"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REFERENCES</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202</w:t>
      </w:r>
    </w:p>
    <w:p w14:paraId="18EBA5B3" w14:textId="77777777" w:rsidR="00244442" w:rsidRPr="00244442" w:rsidRDefault="00244442" w:rsidP="00244442">
      <w:pPr>
        <w:spacing w:after="0" w:line="480" w:lineRule="auto"/>
        <w:jc w:val="both"/>
        <w:rPr>
          <w:rFonts w:ascii="Times New Roman" w:hAnsi="Times New Roman" w:cs="Times New Roman"/>
          <w:b/>
          <w:bCs/>
          <w:sz w:val="24"/>
          <w:szCs w:val="24"/>
        </w:rPr>
      </w:pPr>
      <w:r w:rsidRPr="00244442">
        <w:rPr>
          <w:rFonts w:ascii="Times New Roman" w:hAnsi="Times New Roman" w:cs="Times New Roman"/>
          <w:bCs/>
          <w:sz w:val="24"/>
          <w:szCs w:val="24"/>
        </w:rPr>
        <w:t>APPENDICES</w:t>
      </w:r>
      <w:r w:rsidRPr="00244442">
        <w:rPr>
          <w:rFonts w:ascii="Times New Roman" w:hAnsi="Times New Roman" w:cs="Times New Roman"/>
          <w:b/>
          <w:bCs/>
          <w:sz w:val="24"/>
          <w:szCs w:val="24"/>
        </w:rPr>
        <w:t xml:space="preserve"> </w:t>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
          <w:bCs/>
          <w:sz w:val="24"/>
          <w:szCs w:val="24"/>
        </w:rPr>
        <w:tab/>
      </w:r>
      <w:r w:rsidRPr="00244442">
        <w:rPr>
          <w:rFonts w:ascii="Times New Roman" w:hAnsi="Times New Roman" w:cs="Times New Roman"/>
          <w:bCs/>
          <w:sz w:val="24"/>
          <w:szCs w:val="24"/>
        </w:rPr>
        <w:t>220</w:t>
      </w:r>
    </w:p>
    <w:p w14:paraId="2340945A"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Appendix I: Data</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220</w:t>
      </w:r>
    </w:p>
    <w:p w14:paraId="7F880FBE"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 xml:space="preserve">Appendix II: </w:t>
      </w:r>
      <w:r w:rsidRPr="00244442">
        <w:rPr>
          <w:rFonts w:ascii="Times New Roman" w:eastAsia="Times New Roman" w:hAnsi="Times New Roman" w:cs="Times New Roman"/>
          <w:bCs/>
          <w:spacing w:val="-6"/>
          <w:sz w:val="24"/>
          <w:szCs w:val="24"/>
        </w:rPr>
        <w:t>Econometric E-Views version 13 Result Printout</w:t>
      </w:r>
      <w:r w:rsidRPr="00244442">
        <w:rPr>
          <w:rFonts w:ascii="Times New Roman" w:eastAsia="Times New Roman" w:hAnsi="Times New Roman" w:cs="Times New Roman"/>
          <w:bCs/>
          <w:spacing w:val="-6"/>
          <w:sz w:val="24"/>
          <w:szCs w:val="24"/>
        </w:rPr>
        <w:tab/>
      </w:r>
      <w:r w:rsidRPr="00244442">
        <w:rPr>
          <w:rFonts w:ascii="Times New Roman" w:eastAsia="Times New Roman" w:hAnsi="Times New Roman" w:cs="Times New Roman"/>
          <w:bCs/>
          <w:spacing w:val="-6"/>
          <w:sz w:val="24"/>
          <w:szCs w:val="24"/>
        </w:rPr>
        <w:tab/>
      </w:r>
      <w:r w:rsidRPr="00244442">
        <w:rPr>
          <w:rFonts w:ascii="Times New Roman" w:eastAsia="Times New Roman" w:hAnsi="Times New Roman" w:cs="Times New Roman"/>
          <w:bCs/>
          <w:spacing w:val="-6"/>
          <w:sz w:val="24"/>
          <w:szCs w:val="24"/>
        </w:rPr>
        <w:tab/>
      </w:r>
      <w:r w:rsidRPr="00244442">
        <w:rPr>
          <w:rFonts w:ascii="Times New Roman" w:eastAsia="Times New Roman" w:hAnsi="Times New Roman" w:cs="Times New Roman"/>
          <w:bCs/>
          <w:spacing w:val="-6"/>
          <w:sz w:val="24"/>
          <w:szCs w:val="24"/>
        </w:rPr>
        <w:tab/>
      </w:r>
      <w:r w:rsidRPr="00244442">
        <w:rPr>
          <w:rFonts w:ascii="Times New Roman" w:eastAsia="Times New Roman" w:hAnsi="Times New Roman" w:cs="Times New Roman"/>
          <w:bCs/>
          <w:spacing w:val="-6"/>
          <w:sz w:val="24"/>
          <w:szCs w:val="24"/>
        </w:rPr>
        <w:tab/>
      </w:r>
      <w:r w:rsidRPr="00244442">
        <w:rPr>
          <w:rFonts w:ascii="Times New Roman" w:hAnsi="Times New Roman" w:cs="Times New Roman"/>
          <w:bCs/>
          <w:sz w:val="24"/>
          <w:szCs w:val="24"/>
        </w:rPr>
        <w:t>221</w:t>
      </w:r>
    </w:p>
    <w:p w14:paraId="21D0DE11" w14:textId="77777777" w:rsidR="00244442" w:rsidRPr="00244442" w:rsidRDefault="00244442" w:rsidP="00244442">
      <w:pPr>
        <w:spacing w:after="0" w:line="480" w:lineRule="auto"/>
        <w:rPr>
          <w:rFonts w:ascii="Times New Roman" w:hAnsi="Times New Roman" w:cs="Times New Roman"/>
          <w:b/>
          <w:sz w:val="24"/>
          <w:szCs w:val="24"/>
        </w:rPr>
      </w:pPr>
      <w:r w:rsidRPr="00244442">
        <w:rPr>
          <w:rFonts w:ascii="Times New Roman" w:hAnsi="Times New Roman" w:cs="Times New Roman"/>
          <w:b/>
          <w:sz w:val="24"/>
          <w:szCs w:val="24"/>
        </w:rPr>
        <w:br w:type="page"/>
      </w:r>
    </w:p>
    <w:p w14:paraId="64E3F755" w14:textId="77777777" w:rsidR="00244442" w:rsidRPr="00244442" w:rsidRDefault="00244442" w:rsidP="00244442">
      <w:pPr>
        <w:spacing w:after="0" w:line="480" w:lineRule="auto"/>
        <w:jc w:val="center"/>
        <w:rPr>
          <w:rFonts w:ascii="Times New Roman" w:hAnsi="Times New Roman" w:cs="Times New Roman"/>
          <w:b/>
          <w:sz w:val="24"/>
          <w:szCs w:val="24"/>
        </w:rPr>
      </w:pPr>
      <w:r w:rsidRPr="00244442">
        <w:rPr>
          <w:rFonts w:ascii="Times New Roman" w:hAnsi="Times New Roman" w:cs="Times New Roman"/>
          <w:b/>
          <w:sz w:val="24"/>
          <w:szCs w:val="24"/>
        </w:rPr>
        <w:lastRenderedPageBreak/>
        <w:t>LIST OF TABLES</w:t>
      </w:r>
    </w:p>
    <w:p w14:paraId="18946AD2"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sz w:val="24"/>
          <w:szCs w:val="24"/>
        </w:rPr>
        <w:t>2.1: Summary of Empirical Literature</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123</w:t>
      </w:r>
    </w:p>
    <w:p w14:paraId="10D2C632"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3.1: Variables, Measurement and Source of Data</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 xml:space="preserve">             </w:t>
      </w:r>
      <w:r w:rsidRPr="00244442">
        <w:rPr>
          <w:rFonts w:ascii="Times New Roman" w:hAnsi="Times New Roman" w:cs="Times New Roman"/>
          <w:bCs/>
          <w:sz w:val="24"/>
          <w:szCs w:val="24"/>
        </w:rPr>
        <w:tab/>
        <w:t>156</w:t>
      </w:r>
    </w:p>
    <w:p w14:paraId="010A1FB8"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4.1: Descriptive Statistics</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 xml:space="preserve">            </w:t>
      </w:r>
      <w:r w:rsidRPr="00244442">
        <w:rPr>
          <w:rFonts w:ascii="Times New Roman" w:hAnsi="Times New Roman" w:cs="Times New Roman"/>
          <w:bCs/>
          <w:sz w:val="24"/>
          <w:szCs w:val="24"/>
        </w:rPr>
        <w:tab/>
        <w:t>161</w:t>
      </w:r>
    </w:p>
    <w:p w14:paraId="7C6F881E"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4.2: Correlation Matrix</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164</w:t>
      </w:r>
    </w:p>
    <w:p w14:paraId="5DC5E288"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4.3: Unit Root Test for Variables</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 xml:space="preserve">            169</w:t>
      </w:r>
    </w:p>
    <w:p w14:paraId="0B90558C"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4.4: Bounds Cointegration Test</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 xml:space="preserve">            170</w:t>
      </w:r>
    </w:p>
    <w:p w14:paraId="3B2EA30B"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4.5: EGARCH Results for Exchange Rate Volatility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172</w:t>
      </w:r>
    </w:p>
    <w:p w14:paraId="0731A5E8" w14:textId="77777777" w:rsidR="00244442" w:rsidRPr="00244442" w:rsidRDefault="00244442" w:rsidP="00244442">
      <w:pPr>
        <w:spacing w:after="0" w:line="480" w:lineRule="auto"/>
        <w:jc w:val="both"/>
        <w:rPr>
          <w:rFonts w:ascii="Times New Roman" w:hAnsi="Times New Roman" w:cs="Times New Roman"/>
          <w:sz w:val="24"/>
          <w:szCs w:val="24"/>
        </w:rPr>
      </w:pPr>
      <w:r w:rsidRPr="00244442">
        <w:rPr>
          <w:rFonts w:ascii="Times New Roman" w:hAnsi="Times New Roman" w:cs="Times New Roman"/>
          <w:sz w:val="24"/>
          <w:szCs w:val="24"/>
        </w:rPr>
        <w:t>4.6: Lag Length Selection Criteria</w:t>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r>
      <w:r w:rsidRPr="00244442">
        <w:rPr>
          <w:rFonts w:ascii="Times New Roman" w:hAnsi="Times New Roman" w:cs="Times New Roman"/>
          <w:sz w:val="24"/>
          <w:szCs w:val="24"/>
        </w:rPr>
        <w:tab/>
        <w:t xml:space="preserve">             </w:t>
      </w:r>
      <w:r w:rsidRPr="00244442">
        <w:rPr>
          <w:rFonts w:ascii="Times New Roman" w:hAnsi="Times New Roman" w:cs="Times New Roman"/>
          <w:sz w:val="24"/>
          <w:szCs w:val="24"/>
        </w:rPr>
        <w:tab/>
        <w:t>173</w:t>
      </w:r>
    </w:p>
    <w:p w14:paraId="16B65EA5"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4.7: Results for Exchange Rate Volatility and Shipping Industry Financial Performance    174</w:t>
      </w:r>
    </w:p>
    <w:p w14:paraId="6D599D9B"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4.8: Results for Fisheries Production and Shipping Industry Financial Performance</w:t>
      </w:r>
      <w:r w:rsidRPr="00244442">
        <w:rPr>
          <w:rFonts w:ascii="Times New Roman" w:hAnsi="Times New Roman" w:cs="Times New Roman"/>
          <w:bCs/>
          <w:sz w:val="24"/>
          <w:szCs w:val="24"/>
        </w:rPr>
        <w:tab/>
        <w:t>177</w:t>
      </w:r>
    </w:p>
    <w:p w14:paraId="22002FF5"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4.9: Results for Aquaculture Production and Shipping Industry Financial Performance</w:t>
      </w:r>
      <w:r w:rsidRPr="00244442">
        <w:rPr>
          <w:rFonts w:ascii="Times New Roman" w:hAnsi="Times New Roman" w:cs="Times New Roman"/>
          <w:bCs/>
          <w:sz w:val="24"/>
          <w:szCs w:val="24"/>
        </w:rPr>
        <w:tab/>
        <w:t>180</w:t>
      </w:r>
    </w:p>
    <w:p w14:paraId="7C3C8C2A"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 xml:space="preserve">4.10: Results for Desalination and Shipping Industry Financial Performance          </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182</w:t>
      </w:r>
    </w:p>
    <w:p w14:paraId="39DA1002"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4.11: Results for Multicollinearity Test</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 xml:space="preserve">            187</w:t>
      </w:r>
    </w:p>
    <w:p w14:paraId="7DA4F42A" w14:textId="77777777" w:rsidR="00244442" w:rsidRPr="00244442" w:rsidRDefault="00244442" w:rsidP="00244442">
      <w:pPr>
        <w:spacing w:after="0" w:line="480" w:lineRule="auto"/>
        <w:rPr>
          <w:rFonts w:ascii="Times New Roman" w:hAnsi="Times New Roman" w:cs="Times New Roman"/>
          <w:b/>
          <w:bCs/>
          <w:sz w:val="24"/>
          <w:szCs w:val="24"/>
        </w:rPr>
      </w:pPr>
      <w:r w:rsidRPr="00244442">
        <w:rPr>
          <w:rFonts w:ascii="Times New Roman" w:hAnsi="Times New Roman" w:cs="Times New Roman"/>
          <w:b/>
          <w:bCs/>
          <w:sz w:val="24"/>
          <w:szCs w:val="24"/>
        </w:rPr>
        <w:br w:type="page"/>
      </w:r>
    </w:p>
    <w:p w14:paraId="3C37EE7D" w14:textId="77777777" w:rsidR="00244442" w:rsidRPr="00244442" w:rsidRDefault="00244442" w:rsidP="00244442">
      <w:pPr>
        <w:spacing w:after="0" w:line="480" w:lineRule="auto"/>
        <w:jc w:val="center"/>
        <w:rPr>
          <w:rFonts w:ascii="Times New Roman" w:hAnsi="Times New Roman" w:cs="Times New Roman"/>
          <w:b/>
          <w:bCs/>
          <w:sz w:val="24"/>
          <w:szCs w:val="24"/>
        </w:rPr>
      </w:pPr>
      <w:r w:rsidRPr="00244442">
        <w:rPr>
          <w:rFonts w:ascii="Times New Roman" w:hAnsi="Times New Roman" w:cs="Times New Roman"/>
          <w:b/>
          <w:bCs/>
          <w:sz w:val="24"/>
          <w:szCs w:val="24"/>
        </w:rPr>
        <w:lastRenderedPageBreak/>
        <w:t>LIST OF FIGURES</w:t>
      </w:r>
    </w:p>
    <w:p w14:paraId="48C4F55F"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 xml:space="preserve">2.1: Relationship Between Exchange Rate volatilities, Blue Economy, and Financial </w:t>
      </w:r>
    </w:p>
    <w:p w14:paraId="47060DAF" w14:textId="77777777" w:rsidR="00244442" w:rsidRPr="00244442" w:rsidRDefault="00244442" w:rsidP="00244442">
      <w:pPr>
        <w:spacing w:after="0" w:line="480" w:lineRule="auto"/>
        <w:ind w:left="450"/>
        <w:jc w:val="both"/>
        <w:rPr>
          <w:rFonts w:ascii="Times New Roman" w:hAnsi="Times New Roman" w:cs="Times New Roman"/>
          <w:bCs/>
          <w:sz w:val="24"/>
          <w:szCs w:val="24"/>
        </w:rPr>
      </w:pPr>
      <w:r w:rsidRPr="00244442">
        <w:rPr>
          <w:rFonts w:ascii="Times New Roman" w:hAnsi="Times New Roman" w:cs="Times New Roman"/>
          <w:bCs/>
          <w:sz w:val="24"/>
          <w:szCs w:val="24"/>
        </w:rPr>
        <w:t>Performance of Shipping Industry in Nigeria</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71</w:t>
      </w:r>
    </w:p>
    <w:p w14:paraId="4E47DA0D" w14:textId="77777777" w:rsidR="00244442" w:rsidRPr="00244442" w:rsidRDefault="00244442" w:rsidP="00244442">
      <w:pPr>
        <w:spacing w:after="0" w:line="480" w:lineRule="auto"/>
        <w:jc w:val="both"/>
        <w:rPr>
          <w:rFonts w:ascii="Times New Roman" w:hAnsi="Times New Roman" w:cs="Times New Roman"/>
          <w:bCs/>
          <w:iCs/>
          <w:sz w:val="24"/>
          <w:szCs w:val="24"/>
        </w:rPr>
      </w:pPr>
      <w:r w:rsidRPr="00244442">
        <w:rPr>
          <w:rFonts w:ascii="Times New Roman" w:hAnsi="Times New Roman" w:cs="Times New Roman"/>
          <w:bCs/>
          <w:iCs/>
          <w:sz w:val="24"/>
          <w:szCs w:val="24"/>
        </w:rPr>
        <w:t>4.1: Port revenue and shipping cost</w:t>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t xml:space="preserve">            166</w:t>
      </w:r>
    </w:p>
    <w:p w14:paraId="3584F8A5" w14:textId="77777777" w:rsidR="00244442" w:rsidRPr="00244442" w:rsidRDefault="00244442" w:rsidP="00244442">
      <w:pPr>
        <w:spacing w:after="0" w:line="480" w:lineRule="auto"/>
        <w:jc w:val="both"/>
        <w:rPr>
          <w:rFonts w:ascii="Times New Roman" w:hAnsi="Times New Roman" w:cs="Times New Roman"/>
          <w:bCs/>
          <w:iCs/>
          <w:sz w:val="24"/>
          <w:szCs w:val="24"/>
        </w:rPr>
      </w:pPr>
      <w:r w:rsidRPr="00244442">
        <w:rPr>
          <w:rFonts w:ascii="Times New Roman" w:hAnsi="Times New Roman" w:cs="Times New Roman"/>
          <w:bCs/>
          <w:iCs/>
          <w:sz w:val="24"/>
          <w:szCs w:val="24"/>
        </w:rPr>
        <w:t>4.2: Cargo thruput and port revenue</w:t>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t>166</w:t>
      </w:r>
    </w:p>
    <w:p w14:paraId="49439633" w14:textId="77777777" w:rsidR="00244442" w:rsidRPr="00244442" w:rsidRDefault="00244442" w:rsidP="00244442">
      <w:pPr>
        <w:spacing w:after="0" w:line="480" w:lineRule="auto"/>
        <w:jc w:val="both"/>
        <w:rPr>
          <w:rFonts w:ascii="Times New Roman" w:hAnsi="Times New Roman" w:cs="Times New Roman"/>
          <w:bCs/>
          <w:iCs/>
          <w:sz w:val="24"/>
          <w:szCs w:val="24"/>
        </w:rPr>
      </w:pPr>
      <w:r w:rsidRPr="00244442">
        <w:rPr>
          <w:rFonts w:ascii="Times New Roman" w:hAnsi="Times New Roman" w:cs="Times New Roman"/>
          <w:bCs/>
          <w:iCs/>
          <w:sz w:val="24"/>
          <w:szCs w:val="24"/>
        </w:rPr>
        <w:t>4.3: Cargo throughput and shipping cost</w:t>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t>167</w:t>
      </w:r>
    </w:p>
    <w:p w14:paraId="40E60E93" w14:textId="77777777" w:rsidR="00244442" w:rsidRPr="00244442" w:rsidRDefault="00244442" w:rsidP="00244442">
      <w:pPr>
        <w:spacing w:after="0" w:line="480" w:lineRule="auto"/>
        <w:jc w:val="both"/>
        <w:rPr>
          <w:rFonts w:ascii="Times New Roman" w:hAnsi="Times New Roman" w:cs="Times New Roman"/>
          <w:bCs/>
          <w:iCs/>
          <w:sz w:val="24"/>
          <w:szCs w:val="24"/>
        </w:rPr>
      </w:pPr>
      <w:r w:rsidRPr="00244442">
        <w:rPr>
          <w:rFonts w:ascii="Times New Roman" w:hAnsi="Times New Roman" w:cs="Times New Roman"/>
          <w:bCs/>
          <w:iCs/>
          <w:sz w:val="24"/>
          <w:szCs w:val="24"/>
        </w:rPr>
        <w:t>4.4: Aquaculture and fishing</w:t>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t>168</w:t>
      </w:r>
    </w:p>
    <w:p w14:paraId="54C9F465" w14:textId="77777777" w:rsidR="00244442" w:rsidRPr="00244442" w:rsidRDefault="00244442" w:rsidP="00244442">
      <w:pPr>
        <w:spacing w:after="0" w:line="480" w:lineRule="auto"/>
        <w:jc w:val="both"/>
        <w:rPr>
          <w:rFonts w:ascii="Times New Roman" w:hAnsi="Times New Roman" w:cs="Times New Roman"/>
          <w:bCs/>
          <w:iCs/>
          <w:sz w:val="24"/>
          <w:szCs w:val="24"/>
        </w:rPr>
      </w:pPr>
      <w:r w:rsidRPr="00244442">
        <w:rPr>
          <w:rFonts w:ascii="Times New Roman" w:hAnsi="Times New Roman" w:cs="Times New Roman"/>
          <w:bCs/>
          <w:iCs/>
          <w:sz w:val="24"/>
          <w:szCs w:val="24"/>
        </w:rPr>
        <w:t>4.5: Desalination and fishing</w:t>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t>168</w:t>
      </w:r>
    </w:p>
    <w:p w14:paraId="62B19C1C" w14:textId="77777777" w:rsidR="00244442" w:rsidRPr="00244442" w:rsidRDefault="00244442" w:rsidP="00244442">
      <w:pPr>
        <w:spacing w:after="0" w:line="480" w:lineRule="auto"/>
        <w:jc w:val="both"/>
        <w:rPr>
          <w:rFonts w:ascii="Times New Roman" w:hAnsi="Times New Roman" w:cs="Times New Roman"/>
          <w:bCs/>
          <w:iCs/>
          <w:sz w:val="24"/>
          <w:szCs w:val="24"/>
        </w:rPr>
      </w:pPr>
      <w:r w:rsidRPr="00244442">
        <w:rPr>
          <w:rFonts w:ascii="Times New Roman" w:hAnsi="Times New Roman" w:cs="Times New Roman"/>
          <w:bCs/>
          <w:iCs/>
          <w:sz w:val="24"/>
          <w:szCs w:val="24"/>
        </w:rPr>
        <w:t>4.6: Desalination and aquaculture</w:t>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r>
      <w:r w:rsidRPr="00244442">
        <w:rPr>
          <w:rFonts w:ascii="Times New Roman" w:hAnsi="Times New Roman" w:cs="Times New Roman"/>
          <w:bCs/>
          <w:iCs/>
          <w:sz w:val="24"/>
          <w:szCs w:val="24"/>
        </w:rPr>
        <w:tab/>
        <w:t xml:space="preserve">             </w:t>
      </w:r>
      <w:r w:rsidRPr="00244442">
        <w:rPr>
          <w:rFonts w:ascii="Times New Roman" w:hAnsi="Times New Roman" w:cs="Times New Roman"/>
          <w:bCs/>
          <w:iCs/>
          <w:sz w:val="24"/>
          <w:szCs w:val="24"/>
        </w:rPr>
        <w:tab/>
        <w:t>168</w:t>
      </w:r>
    </w:p>
    <w:p w14:paraId="52BEBAB5"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4.7: CUSUM Test for Stability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185</w:t>
      </w:r>
    </w:p>
    <w:p w14:paraId="32161BAD" w14:textId="77777777" w:rsidR="00244442" w:rsidRPr="00244442" w:rsidRDefault="00244442" w:rsidP="00244442">
      <w:pPr>
        <w:spacing w:after="0" w:line="480" w:lineRule="auto"/>
        <w:jc w:val="both"/>
        <w:rPr>
          <w:rFonts w:ascii="Times New Roman" w:hAnsi="Times New Roman" w:cs="Times New Roman"/>
          <w:bCs/>
          <w:sz w:val="24"/>
          <w:szCs w:val="24"/>
        </w:rPr>
      </w:pPr>
      <w:r w:rsidRPr="00244442">
        <w:rPr>
          <w:rFonts w:ascii="Times New Roman" w:hAnsi="Times New Roman" w:cs="Times New Roman"/>
          <w:bCs/>
          <w:sz w:val="24"/>
          <w:szCs w:val="24"/>
        </w:rPr>
        <w:t>4.8: Normality Test for Stability</w:t>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r>
      <w:r w:rsidRPr="00244442">
        <w:rPr>
          <w:rFonts w:ascii="Times New Roman" w:hAnsi="Times New Roman" w:cs="Times New Roman"/>
          <w:bCs/>
          <w:sz w:val="24"/>
          <w:szCs w:val="24"/>
        </w:rPr>
        <w:tab/>
        <w:t>186</w:t>
      </w:r>
    </w:p>
    <w:p w14:paraId="77865C62" w14:textId="4B73E824" w:rsidR="007E1171" w:rsidRPr="00EA38DE" w:rsidRDefault="007E1171" w:rsidP="00244442">
      <w:pPr>
        <w:spacing w:after="0" w:line="480" w:lineRule="auto"/>
        <w:jc w:val="both"/>
        <w:rPr>
          <w:rFonts w:ascii="Times New Roman" w:hAnsi="Times New Roman" w:cs="Times New Roman"/>
          <w:bCs/>
          <w:sz w:val="24"/>
          <w:szCs w:val="24"/>
        </w:rPr>
      </w:pPr>
    </w:p>
    <w:p w14:paraId="3F15A2B4" w14:textId="77777777" w:rsidR="00020B08" w:rsidRPr="00EA38DE" w:rsidRDefault="00020B08" w:rsidP="00020B08">
      <w:pPr>
        <w:rPr>
          <w:rFonts w:ascii="Times New Roman" w:hAnsi="Times New Roman" w:cs="Times New Roman"/>
          <w:bCs/>
          <w:sz w:val="24"/>
          <w:szCs w:val="24"/>
        </w:rPr>
      </w:pPr>
      <w:r w:rsidRPr="00EA38DE">
        <w:rPr>
          <w:rFonts w:ascii="Times New Roman" w:hAnsi="Times New Roman" w:cs="Times New Roman"/>
          <w:bCs/>
          <w:sz w:val="24"/>
          <w:szCs w:val="24"/>
        </w:rPr>
        <w:br w:type="page"/>
      </w:r>
    </w:p>
    <w:p w14:paraId="3C0FAA4F" w14:textId="77777777" w:rsidR="00020B08" w:rsidRPr="00EA38DE" w:rsidRDefault="00020B08" w:rsidP="00020B08">
      <w:pPr>
        <w:autoSpaceDE w:val="0"/>
        <w:autoSpaceDN w:val="0"/>
        <w:adjustRightInd w:val="0"/>
        <w:spacing w:line="480" w:lineRule="auto"/>
        <w:jc w:val="center"/>
        <w:rPr>
          <w:rFonts w:ascii="Times New Roman" w:eastAsia="Calibri" w:hAnsi="Times New Roman" w:cs="Times New Roman"/>
          <w:b/>
          <w:bCs/>
          <w:sz w:val="24"/>
          <w:szCs w:val="24"/>
        </w:rPr>
      </w:pPr>
      <w:r w:rsidRPr="00EA38DE">
        <w:rPr>
          <w:rFonts w:ascii="Times New Roman" w:eastAsia="Calibri" w:hAnsi="Times New Roman" w:cs="Times New Roman"/>
          <w:b/>
          <w:bCs/>
          <w:sz w:val="24"/>
          <w:szCs w:val="24"/>
        </w:rPr>
        <w:lastRenderedPageBreak/>
        <w:t>ABSTRACT</w:t>
      </w:r>
    </w:p>
    <w:p w14:paraId="502FB283" w14:textId="34FFE5C4" w:rsidR="00020B08" w:rsidRPr="00EA38DE" w:rsidRDefault="00020B08" w:rsidP="00427D69">
      <w:pPr>
        <w:pStyle w:val="NormalWeb"/>
        <w:spacing w:before="0" w:beforeAutospacing="0" w:after="160" w:afterAutospacing="0" w:line="480" w:lineRule="auto"/>
        <w:jc w:val="both"/>
        <w:sectPr w:rsidR="00020B08" w:rsidRPr="00EA38DE" w:rsidSect="00020B08">
          <w:footerReference w:type="default" r:id="rId7"/>
          <w:pgSz w:w="12240" w:h="15840"/>
          <w:pgMar w:top="1440" w:right="1440" w:bottom="1440" w:left="1440" w:header="720" w:footer="720" w:gutter="0"/>
          <w:pgNumType w:fmt="lowerRoman"/>
          <w:cols w:space="720"/>
          <w:docGrid w:linePitch="360"/>
        </w:sectPr>
      </w:pPr>
      <w:r w:rsidRPr="00EA38DE">
        <w:t>This study examine</w:t>
      </w:r>
      <w:r w:rsidR="008B3216" w:rsidRPr="00EA38DE">
        <w:t>d</w:t>
      </w:r>
      <w:r w:rsidRPr="00EA38DE">
        <w:t xml:space="preserve"> the effect of exchange rate volatility, and the blue economy on the financial performance of Nigeria’s shipping industry from 199</w:t>
      </w:r>
      <w:r w:rsidR="00FF2DCC" w:rsidRPr="00EA38DE">
        <w:t>0</w:t>
      </w:r>
      <w:r w:rsidRPr="00EA38DE">
        <w:t xml:space="preserve"> to 2024.</w:t>
      </w:r>
      <w:r w:rsidR="00F0123D" w:rsidRPr="00EA38DE">
        <w:t xml:space="preserve"> </w:t>
      </w:r>
      <w:r w:rsidRPr="00EA38DE">
        <w:t>A longitudinal research design was adopted, allowing for the analysis of cause-and-effect relationships across time. Secondary data were sourced from the World Bank Development Indicators, and the Central Bank of Nigeria Statistical Bulletin, while exchange rate volatility was derived using the GARCH (1,1) model. The study employ</w:t>
      </w:r>
      <w:r w:rsidR="00545762" w:rsidRPr="00EA38DE">
        <w:t>ed</w:t>
      </w:r>
      <w:r w:rsidRPr="00EA38DE">
        <w:t xml:space="preserve"> an econometric framework grounded in the Traditional Flow Theory and the Balance of Payments (BoP) Theory to investigate how volatility in exchange rates and blue economy activities affect shipping sector</w:t>
      </w:r>
      <w:r w:rsidR="006955F5" w:rsidRPr="00EA38DE">
        <w:t xml:space="preserve"> financial</w:t>
      </w:r>
      <w:r w:rsidRPr="00EA38DE">
        <w:t xml:space="preserve"> performance. Financial performance was measured using container throughput revenue, shipping costs, and port revenue, while blue economy proxies include fisheries, aquaculture, and desalination, controlled by macroeconomic variables such as inflation, </w:t>
      </w:r>
      <w:r w:rsidR="0003783A" w:rsidRPr="00EA38DE">
        <w:t>labour force</w:t>
      </w:r>
      <w:r w:rsidRPr="00EA38DE">
        <w:t xml:space="preserve">, and </w:t>
      </w:r>
      <w:r w:rsidR="0003783A" w:rsidRPr="00EA38DE">
        <w:t>trade freedom.</w:t>
      </w:r>
      <w:r w:rsidRPr="00EA38DE">
        <w:t xml:space="preserve"> The analysis adopt</w:t>
      </w:r>
      <w:r w:rsidR="00545E4C" w:rsidRPr="00EA38DE">
        <w:t>ed</w:t>
      </w:r>
      <w:r w:rsidRPr="00EA38DE">
        <w:t xml:space="preserve"> the autoregressive distributed lags (ARDL) framework to capture both short-run and long-run relationships among the variables.</w:t>
      </w:r>
      <w:r w:rsidR="00F0123D" w:rsidRPr="00EA38DE">
        <w:t xml:space="preserve"> </w:t>
      </w:r>
      <w:r w:rsidRPr="00EA38DE">
        <w:t>Empirical findings show</w:t>
      </w:r>
      <w:r w:rsidR="00545E4C" w:rsidRPr="00EA38DE">
        <w:t>ed</w:t>
      </w:r>
      <w:r w:rsidRPr="00EA38DE">
        <w:t xml:space="preserve"> that exchange rate volatility reduce</w:t>
      </w:r>
      <w:r w:rsidR="00545E4C" w:rsidRPr="00EA38DE">
        <w:t>d</w:t>
      </w:r>
      <w:r w:rsidRPr="00EA38DE">
        <w:t xml:space="preserve"> container throughput </w:t>
      </w:r>
      <w:r w:rsidR="009400C3" w:rsidRPr="00EA38DE">
        <w:t xml:space="preserve">revenue </w:t>
      </w:r>
      <w:r w:rsidRPr="00EA38DE">
        <w:t>and port revenues while increasing shipping costs. Fisheries ha</w:t>
      </w:r>
      <w:r w:rsidR="00480A8D" w:rsidRPr="00EA38DE">
        <w:t>d</w:t>
      </w:r>
      <w:r w:rsidRPr="00EA38DE">
        <w:t xml:space="preserve"> a short-term positive impact, while</w:t>
      </w:r>
      <w:r w:rsidR="00841876" w:rsidRPr="00EA38DE">
        <w:t>,</w:t>
      </w:r>
      <w:r w:rsidRPr="00EA38DE">
        <w:t xml:space="preserve"> aquaculture significantly boost</w:t>
      </w:r>
      <w:r w:rsidR="00545E4C" w:rsidRPr="00EA38DE">
        <w:t>ed</w:t>
      </w:r>
      <w:r w:rsidRPr="00EA38DE">
        <w:t xml:space="preserve"> long-run performance by lowering costs and raising revenues. Desalination has limited influence, showing short-term benefits but long-term drawbacks.</w:t>
      </w:r>
      <w:r w:rsidR="00F0123D" w:rsidRPr="00EA38DE">
        <w:t xml:space="preserve"> </w:t>
      </w:r>
      <w:r w:rsidRPr="00EA38DE">
        <w:t>The study recommend</w:t>
      </w:r>
      <w:r w:rsidR="00545E4C" w:rsidRPr="00EA38DE">
        <w:t>ed</w:t>
      </w:r>
      <w:r w:rsidRPr="00EA38DE">
        <w:t xml:space="preserve"> that the Central Bank of Nigeria (CBN)</w:t>
      </w:r>
      <w:r w:rsidR="006A6538" w:rsidRPr="00EA38DE">
        <w:t xml:space="preserve"> and other statutory Ministries Departments and Agencies (MDA’s) connected with blue economy</w:t>
      </w:r>
      <w:r w:rsidR="002B113F" w:rsidRPr="00EA38DE">
        <w:t>,</w:t>
      </w:r>
      <w:r w:rsidR="006A6538" w:rsidRPr="00EA38DE">
        <w:t xml:space="preserve"> and</w:t>
      </w:r>
      <w:r w:rsidR="002B113F" w:rsidRPr="00EA38DE">
        <w:t>,</w:t>
      </w:r>
      <w:r w:rsidR="006A6538" w:rsidRPr="00EA38DE">
        <w:t xml:space="preserve"> the shipping and maritime sector of the economy;</w:t>
      </w:r>
      <w:r w:rsidRPr="00EA38DE">
        <w:t xml:space="preserve"> </w:t>
      </w:r>
      <w:r w:rsidR="006A6538" w:rsidRPr="00EA38DE">
        <w:t>formulat</w:t>
      </w:r>
      <w:r w:rsidR="002B113F" w:rsidRPr="00EA38DE">
        <w:t>e</w:t>
      </w:r>
      <w:r w:rsidR="006A6538" w:rsidRPr="00EA38DE">
        <w:t xml:space="preserve"> policies and embark on activities that will help </w:t>
      </w:r>
      <w:r w:rsidRPr="00EA38DE">
        <w:t xml:space="preserve">stabilize the naira, promote </w:t>
      </w:r>
      <w:r w:rsidR="006A6538" w:rsidRPr="00EA38DE">
        <w:t xml:space="preserve">risk </w:t>
      </w:r>
      <w:r w:rsidRPr="00EA38DE">
        <w:t xml:space="preserve">hedging instruments, and encourage investments in fisheries terminals, aquaculture integration, and desalination facilities. </w:t>
      </w:r>
    </w:p>
    <w:p w14:paraId="1E47C2AB" w14:textId="77777777" w:rsidR="00427D69" w:rsidRDefault="00427D69" w:rsidP="00427D69">
      <w:pPr>
        <w:spacing w:after="0" w:line="480" w:lineRule="auto"/>
        <w:rPr>
          <w:rFonts w:ascii="Times New Roman" w:hAnsi="Times New Roman" w:cs="Times New Roman"/>
          <w:b/>
          <w:bCs/>
          <w:sz w:val="24"/>
          <w:szCs w:val="24"/>
        </w:rPr>
      </w:pPr>
    </w:p>
    <w:p w14:paraId="3E8A3FFA" w14:textId="67889EB4" w:rsidR="003460F4" w:rsidRPr="00EA38DE" w:rsidRDefault="00427D69" w:rsidP="00427D69">
      <w:pPr>
        <w:spacing w:after="0" w:line="480" w:lineRule="auto"/>
        <w:ind w:left="2880" w:firstLine="720"/>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3460F4" w:rsidRPr="00EA38DE">
        <w:rPr>
          <w:rFonts w:ascii="Times New Roman" w:hAnsi="Times New Roman" w:cs="Times New Roman"/>
          <w:b/>
          <w:bCs/>
          <w:sz w:val="24"/>
          <w:szCs w:val="24"/>
        </w:rPr>
        <w:t>CHAPTER ONE</w:t>
      </w:r>
    </w:p>
    <w:p w14:paraId="58C538AE" w14:textId="77777777" w:rsidR="003460F4" w:rsidRPr="00EA38DE" w:rsidRDefault="003460F4" w:rsidP="00EA38DE">
      <w:pPr>
        <w:spacing w:after="0" w:line="480" w:lineRule="auto"/>
        <w:ind w:left="360" w:hanging="360"/>
        <w:jc w:val="center"/>
        <w:rPr>
          <w:rFonts w:ascii="Times New Roman" w:hAnsi="Times New Roman" w:cs="Times New Roman"/>
          <w:b/>
          <w:bCs/>
          <w:sz w:val="24"/>
          <w:szCs w:val="24"/>
        </w:rPr>
      </w:pPr>
      <w:r w:rsidRPr="00EA38DE">
        <w:rPr>
          <w:rFonts w:ascii="Times New Roman" w:hAnsi="Times New Roman" w:cs="Times New Roman"/>
          <w:b/>
          <w:bCs/>
          <w:sz w:val="24"/>
          <w:szCs w:val="24"/>
        </w:rPr>
        <w:t>INTRODUCTION</w:t>
      </w:r>
    </w:p>
    <w:p w14:paraId="798AAFD5" w14:textId="77777777" w:rsidR="00EA38DE" w:rsidRPr="00EA38DE" w:rsidRDefault="00CB10A8" w:rsidP="00EA38DE">
      <w:pPr>
        <w:pStyle w:val="ListParagraph"/>
        <w:numPr>
          <w:ilvl w:val="1"/>
          <w:numId w:val="5"/>
        </w:numPr>
        <w:spacing w:line="480" w:lineRule="auto"/>
        <w:jc w:val="both"/>
        <w:rPr>
          <w:rFonts w:ascii="Times New Roman" w:eastAsia="Times New Roman" w:hAnsi="Times New Roman" w:cs="Times New Roman"/>
          <w:b/>
          <w:bCs/>
          <w:sz w:val="24"/>
          <w:szCs w:val="24"/>
        </w:rPr>
      </w:pPr>
      <w:bookmarkStart w:id="0" w:name="_Hlk196265198"/>
      <w:r w:rsidRPr="00EA38DE">
        <w:rPr>
          <w:rFonts w:ascii="Times New Roman" w:eastAsia="Times New Roman" w:hAnsi="Times New Roman" w:cs="Times New Roman"/>
          <w:b/>
          <w:bCs/>
          <w:sz w:val="24"/>
          <w:szCs w:val="24"/>
        </w:rPr>
        <w:t>Background to the Study</w:t>
      </w:r>
    </w:p>
    <w:p w14:paraId="33F28ED8" w14:textId="07B65940" w:rsidR="00E04BDD" w:rsidRPr="00EA38DE" w:rsidRDefault="00E04BDD" w:rsidP="00EA38DE">
      <w:pPr>
        <w:spacing w:line="480" w:lineRule="auto"/>
        <w:jc w:val="both"/>
        <w:rPr>
          <w:rFonts w:ascii="Times New Roman" w:eastAsia="Times New Roman" w:hAnsi="Times New Roman" w:cs="Times New Roman"/>
          <w:b/>
          <w:bCs/>
          <w:sz w:val="24"/>
          <w:szCs w:val="24"/>
        </w:rPr>
      </w:pPr>
      <w:r w:rsidRPr="00EA38DE">
        <w:rPr>
          <w:rFonts w:ascii="Times New Roman" w:hAnsi="Times New Roman" w:cs="Times New Roman"/>
          <w:sz w:val="24"/>
          <w:szCs w:val="24"/>
        </w:rPr>
        <w:t>Exchange rate volatility is a central feature of international trade and global financial markets, with far-reaching implications for businesses, particularly those highly dependent on imports and exports</w:t>
      </w:r>
      <w:r w:rsidR="00235574" w:rsidRPr="00EA38DE">
        <w:rPr>
          <w:rFonts w:ascii="Times New Roman" w:hAnsi="Times New Roman" w:cs="Times New Roman"/>
          <w:sz w:val="24"/>
          <w:szCs w:val="24"/>
        </w:rPr>
        <w:t xml:space="preserve"> that occur in the shipping and maritime sector</w:t>
      </w:r>
      <w:r w:rsidRPr="00EA38DE">
        <w:rPr>
          <w:rFonts w:ascii="Times New Roman" w:hAnsi="Times New Roman" w:cs="Times New Roman"/>
          <w:sz w:val="24"/>
          <w:szCs w:val="24"/>
        </w:rPr>
        <w:t xml:space="preserve">. In a developing country like Nigeria, the shipping industry plays a pivotal role in enabling international trade and driving economic growth. As a key pillar of the blue economy, Nigeria’s maritime sector significantly contributes to gross domestic product (GDP), foreign exchange earnings, employment creation, and regional economic integration, especially given its strategic positioning along the Gulf of Guinea. The Nigerian shipping industry faces considerable operational costs, including vessel chartering, maintenance, insurance, and port handling fees, most of which are denominated in foreign currencies. Meanwhile, earnings are predominantly naira-based. This currency mismatch exposes shipping firms to exchange rate risks, undermining profitability, delaying capital projects, and deterring both local and foreign investments (Ajayi &amp; Olayiwola, 2021). </w:t>
      </w:r>
    </w:p>
    <w:p w14:paraId="3046C79D" w14:textId="56D81DB8" w:rsidR="00E04BDD" w:rsidRPr="00EA38DE" w:rsidRDefault="00E04BDD" w:rsidP="007657A2">
      <w:pPr>
        <w:pStyle w:val="NormalWeb"/>
        <w:spacing w:line="480" w:lineRule="auto"/>
        <w:jc w:val="both"/>
      </w:pPr>
      <w:r w:rsidRPr="00EA38DE">
        <w:t>These risks are further exacerbated by other macroeconomic variables such as inflation, which raises the cost of inputs and erodes purchasing power; labour force dynamics, which determine the availability and cost of skilled maritime manpower; and trade freedom, which influences the ease of engaging in cross-border shipping and port operations. Consequently, the sector’s financial performance has become increasingly vulnerable to macroeconomic shocks.</w:t>
      </w:r>
      <w:r w:rsidR="007657A2" w:rsidRPr="00EA38DE">
        <w:t xml:space="preserve"> </w:t>
      </w:r>
      <w:r w:rsidRPr="00EA38DE">
        <w:t xml:space="preserve">With approximately 90% of global trade transported by sea, the shipping industry is indispensable to global commerce. Nigeria’s ports, particularly Apapa, Tin Can, Onne, and Port Harcourt, serve as gateways for trade, logistics, and regional supply chains. However, these ports’ operational efficiency and financial </w:t>
      </w:r>
      <w:r w:rsidRPr="00EA38DE">
        <w:lastRenderedPageBreak/>
        <w:t>viability, measured through port revenue, shipping costs, and ocean throughput, are heavily influenced not only by currency volatility but also by inflationary pressures, restrictive trade policies, and labour market inefficiencies. Exchange rate instability affects freight rates, insurance premiums, cargo handling charges, and trade volumes, thereby impacting both cost structures and revenue generation (Adewuyi &amp; Okodua, 2019).</w:t>
      </w:r>
      <w:r w:rsidR="007657A2" w:rsidRPr="00EA38DE">
        <w:t xml:space="preserve"> </w:t>
      </w:r>
      <w:r w:rsidRPr="00EA38DE">
        <w:t>Globally, the maritime industry is expanding, driven by increasing globalization and cross-border trade. According to UNCTAD</w:t>
      </w:r>
      <w:r w:rsidR="00CF47A5" w:rsidRPr="00EA38DE">
        <w:t>,</w:t>
      </w:r>
      <w:r w:rsidRPr="00EA38DE">
        <w:t xml:space="preserve"> (2025), global shipping is projected to grow at an annual average rate of 2.1% through 2024 and 2029, underscoring the sector’s long-term importance in sustaining international commerce. Cision PR Newswire (2025), reported that the global shipping container market valued at US$9.5 billion in 2021 is expected to reach US$15.3 billion by 2027, reflecting robust investment trends in maritime logistics. These developments emphasize both the growth potential and strategic importance of the shipping sector. As Njoku et al. (2020) aptly stated, “He who rules the sea, rules the world,” reflecting the industry’s geopolitical and economic influence.</w:t>
      </w:r>
    </w:p>
    <w:p w14:paraId="2664970C" w14:textId="2CAAC1C5" w:rsidR="00E04BDD" w:rsidRPr="00EA38DE" w:rsidRDefault="00E04BDD" w:rsidP="007657A2">
      <w:pPr>
        <w:pStyle w:val="NormalWeb"/>
        <w:spacing w:line="480" w:lineRule="auto"/>
        <w:jc w:val="both"/>
      </w:pPr>
      <w:r w:rsidRPr="00EA38DE">
        <w:t xml:space="preserve">Nigeria’s growing interest in the blue economy, defined as the sustainable use of ocean resources for economic growth, environmental protection, and improved livelihoods, has added another layer of strategic importance to its maritime sector. Key components of this economy include fisheries, aquaculture, maritime transport, offshore oil and gas, desalination, and coastal tourism. With over 850 kilometers of Atlantic coastline, Nigeria is well-positioned to harness these resources. However, macroeconomic instability especially exchange rate volatility, high inflation, and limited trade freedom has significantly undermined these efforts (UNCTAD, 2018a). A stable exchange rate regime, moderate inflation, liberalized trade environment, and efficient utilization of the labour force are essential for ensuring predictability in business operations and for attracting sustained investment. For stakeholders in maritime transport and blue economy sectors, such </w:t>
      </w:r>
      <w:r w:rsidRPr="00EA38DE">
        <w:lastRenderedPageBreak/>
        <w:t>stability is critical to planning and financing infrastructural projects, port modernization, aquaculture expansion, and sustainable fisheries development. In the Nigerian context, persistent exchange rate volatility coupled with rising inflation and labour market inefficiencies has delayed investment in critical areas such as port automation, desalination plants, and cold-chain logistics for fish exports (Onuoha, 2021). Although</w:t>
      </w:r>
      <w:r w:rsidR="00EE3C5B" w:rsidRPr="00EA38DE">
        <w:t>,</w:t>
      </w:r>
      <w:r w:rsidRPr="00EA38DE">
        <w:t xml:space="preserve"> NIMASA (2022) has prioritized the blue economy as a path to economic diversification, its success depends on stable macroeconomic conditions.</w:t>
      </w:r>
    </w:p>
    <w:p w14:paraId="7C0365FF" w14:textId="77777777" w:rsidR="00E04BDD" w:rsidRPr="00EA38DE" w:rsidRDefault="00E04BDD" w:rsidP="007657A2">
      <w:pPr>
        <w:pStyle w:val="NormalWeb"/>
        <w:spacing w:line="480" w:lineRule="auto"/>
        <w:jc w:val="both"/>
      </w:pPr>
      <w:r w:rsidRPr="00EA38DE">
        <w:t>Comparatively, countries like Kenya, Mauritius, and South Africa have made substantial progress in implementing their blue economy frameworks, owing to stable currency environments, strategic investments, skilled labour force utilization, lower inflation rates, and clearer trade policies (Eneh &amp; Eze, 2020). Nigeria, on the other hand, continues to face hurdles including underdeveloped infrastructure, weak policy coordination, high inflation, and exchange rate unpredictability.</w:t>
      </w:r>
    </w:p>
    <w:p w14:paraId="296CE225" w14:textId="77777777" w:rsidR="00E04BDD" w:rsidRPr="00EA38DE" w:rsidRDefault="00E04BDD" w:rsidP="007657A2">
      <w:pPr>
        <w:pStyle w:val="NormalWeb"/>
        <w:spacing w:line="480" w:lineRule="auto"/>
        <w:jc w:val="both"/>
      </w:pPr>
      <w:r w:rsidRPr="00EA38DE">
        <w:t xml:space="preserve">Exchange rate volatility defined as the persistent and often unpredictable changes in currency values can alter the competitiveness of exports and imports, increase the cost of maritime operations, and significantly affect profitability. In Nigeria, currency volatility is driven by a combination of external shocks including oil price volatilities, inflationary pressures, capital flight, and dwindling foreign reserves. These factors introduce high levels of uncertainty into port revenue projections, investment planning, and shipping contract negotiations, thereby reducing the global competitiveness of Nigerian ports and maritime services (Okonkwo &amp; Ogbonna, 2020). Moreover, sectors under the blue economy framework, such as aquaculture logistics, fish export pricing, and desalination technology deployment, are increasingly affected by these macroeconomic uncertainties. This unpredictability compounded by inflation, a large but underutilized labour force, and weak trade freedom indices deters private sector investment, </w:t>
      </w:r>
      <w:r w:rsidRPr="00EA38DE">
        <w:lastRenderedPageBreak/>
        <w:t>complicates long-term financial planning, and weakens investor confidence, especially in capital-intensive maritime infrastructure projects (Okechukwu, 2021).</w:t>
      </w:r>
    </w:p>
    <w:p w14:paraId="38A87010" w14:textId="33F56F28" w:rsidR="00420AF9" w:rsidRPr="00EA38DE" w:rsidRDefault="00E04BDD" w:rsidP="00F0123D">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Therefore, understanding how exchange rate </w:t>
      </w:r>
      <w:r w:rsidR="00C702AF" w:rsidRPr="00EA38DE">
        <w:rPr>
          <w:rFonts w:ascii="Times New Roman" w:hAnsi="Times New Roman" w:cs="Times New Roman"/>
          <w:sz w:val="24"/>
          <w:szCs w:val="24"/>
        </w:rPr>
        <w:t xml:space="preserve">volatility and blue economy variables </w:t>
      </w:r>
      <w:r w:rsidRPr="00EA38DE">
        <w:rPr>
          <w:rFonts w:ascii="Times New Roman" w:hAnsi="Times New Roman" w:cs="Times New Roman"/>
          <w:sz w:val="24"/>
          <w:szCs w:val="24"/>
        </w:rPr>
        <w:t>affect the financial performance of Nigeria’s shipping industry, within the context of a growing blue economy, is critical for policymakers, investors, and maritime stakeholders. While</w:t>
      </w:r>
      <w:r w:rsidR="00CF47A5" w:rsidRPr="00EA38DE">
        <w:rPr>
          <w:rFonts w:ascii="Times New Roman" w:hAnsi="Times New Roman" w:cs="Times New Roman"/>
          <w:sz w:val="24"/>
          <w:szCs w:val="24"/>
        </w:rPr>
        <w:t>,</w:t>
      </w:r>
      <w:r w:rsidRPr="00EA38DE">
        <w:rPr>
          <w:rFonts w:ascii="Times New Roman" w:hAnsi="Times New Roman" w:cs="Times New Roman"/>
          <w:sz w:val="24"/>
          <w:szCs w:val="24"/>
        </w:rPr>
        <w:t xml:space="preserve"> previous research has explored the broader economic implications of exchange rate volatility in Nigeria, very limited studies have focused specifically on the joint effect of exchange rate volatility</w:t>
      </w:r>
      <w:r w:rsidR="005C0827" w:rsidRPr="00EA38DE">
        <w:rPr>
          <w:rFonts w:ascii="Times New Roman" w:hAnsi="Times New Roman" w:cs="Times New Roman"/>
          <w:sz w:val="24"/>
          <w:szCs w:val="24"/>
        </w:rPr>
        <w:t xml:space="preserve"> and</w:t>
      </w:r>
      <w:r w:rsidR="00C702AF" w:rsidRPr="00EA38DE">
        <w:rPr>
          <w:rFonts w:ascii="Times New Roman" w:hAnsi="Times New Roman" w:cs="Times New Roman"/>
          <w:sz w:val="24"/>
          <w:szCs w:val="24"/>
        </w:rPr>
        <w:t xml:space="preserve"> blue economy</w:t>
      </w:r>
      <w:r w:rsidR="005C0827" w:rsidRPr="00EA38DE">
        <w:rPr>
          <w:rFonts w:ascii="Times New Roman" w:hAnsi="Times New Roman" w:cs="Times New Roman"/>
          <w:sz w:val="24"/>
          <w:szCs w:val="24"/>
        </w:rPr>
        <w:t xml:space="preserve"> on</w:t>
      </w:r>
      <w:r w:rsidR="00C702AF" w:rsidRPr="00EA38DE">
        <w:rPr>
          <w:rFonts w:ascii="Times New Roman" w:hAnsi="Times New Roman" w:cs="Times New Roman"/>
          <w:sz w:val="24"/>
          <w:szCs w:val="24"/>
        </w:rPr>
        <w:t xml:space="preserve"> the financial performance of the Nigerian shipping industry</w:t>
      </w:r>
      <w:r w:rsidR="005C0827" w:rsidRPr="00EA38DE">
        <w:rPr>
          <w:rFonts w:ascii="Times New Roman" w:hAnsi="Times New Roman" w:cs="Times New Roman"/>
          <w:sz w:val="24"/>
          <w:szCs w:val="24"/>
        </w:rPr>
        <w:t>.</w:t>
      </w:r>
      <w:r w:rsidR="003A5C54" w:rsidRPr="00EA38DE">
        <w:rPr>
          <w:rFonts w:ascii="Times New Roman" w:hAnsi="Times New Roman" w:cs="Times New Roman"/>
          <w:sz w:val="24"/>
          <w:szCs w:val="24"/>
        </w:rPr>
        <w:t xml:space="preserve"> It is against the above background that this study is being c</w:t>
      </w:r>
      <w:r w:rsidR="007F1BD0" w:rsidRPr="00EA38DE">
        <w:rPr>
          <w:rFonts w:ascii="Times New Roman" w:hAnsi="Times New Roman" w:cs="Times New Roman"/>
          <w:sz w:val="24"/>
          <w:szCs w:val="24"/>
        </w:rPr>
        <w:t>arried out.</w:t>
      </w:r>
    </w:p>
    <w:p w14:paraId="5A1641CD" w14:textId="66FA84B3" w:rsidR="00420AF9" w:rsidRPr="00EA38DE" w:rsidRDefault="00CB10A8" w:rsidP="00420AF9">
      <w:pPr>
        <w:pStyle w:val="ListParagraph"/>
        <w:numPr>
          <w:ilvl w:val="1"/>
          <w:numId w:val="5"/>
        </w:numPr>
        <w:autoSpaceDE w:val="0"/>
        <w:autoSpaceDN w:val="0"/>
        <w:adjustRightInd w:val="0"/>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Statement of the Research Problem</w:t>
      </w:r>
    </w:p>
    <w:p w14:paraId="2EEB668C" w14:textId="1F2C9110" w:rsidR="005E630D" w:rsidRPr="00EA38DE" w:rsidRDefault="005E630D" w:rsidP="005E630D">
      <w:pPr>
        <w:pStyle w:val="NormalWeb"/>
        <w:spacing w:line="480" w:lineRule="auto"/>
        <w:jc w:val="both"/>
      </w:pPr>
      <w:r w:rsidRPr="00EA38DE">
        <w:t>The Nigerian shipping industry, a</w:t>
      </w:r>
      <w:r w:rsidR="00480A8D" w:rsidRPr="00EA38DE">
        <w:t>s a</w:t>
      </w:r>
      <w:r w:rsidRPr="00EA38DE">
        <w:t xml:space="preserve"> key pillar of the blue economy, plays an important role in facilitating trade, generating maritime employment, and contributing to national revenue. However, its performance has been persistently constrained by internal and external shocks, particularly exchange rate volatility. Over the past decade, recurrent depreciation of the naira has increased operational costs and weakened investor confidence in the maritime sector (Adewale &amp; Aluko, 2022). Despite fiscal and monetary stabilization efforts, shipping firms continue to face high import tariffs on marine equipment, limited access to foreign exchange for vessel maintenance, and sustained inflationary pressures (NIMASA, 2022). These challenges have been compounded by recent global trade disruptions, including renewed protectionist policies under Donald Trump’s second administration in 2025, which disrupted global supply chains and heightened macroeconomic uncertainty in developing economies such as Nigeria (Holland &amp; Knight, 2025).</w:t>
      </w:r>
    </w:p>
    <w:p w14:paraId="17C9D91C" w14:textId="1445F42C" w:rsidR="005E630D" w:rsidRPr="00EA38DE" w:rsidRDefault="005E630D" w:rsidP="005E630D">
      <w:pPr>
        <w:pStyle w:val="NormalWeb"/>
        <w:spacing w:line="480" w:lineRule="auto"/>
        <w:jc w:val="both"/>
      </w:pPr>
      <w:r w:rsidRPr="00EA38DE">
        <w:lastRenderedPageBreak/>
        <w:t>Domestic policy interventions have yielded limited results. Although the Cabotage Vessel Financing Fund (CVFF) was revived in 2023 to support indigenous ship</w:t>
      </w:r>
      <w:r w:rsidR="00EA38DE" w:rsidRPr="00EA38DE">
        <w:t xml:space="preserve"> </w:t>
      </w:r>
      <w:r w:rsidRPr="00EA38DE">
        <w:t>owners, delays in disbursement and transparency concerns have reduced its effectiveness. Similarly, slow reviews of port concession agreements, regulatory bottlenecks, and institutional inefficiencies have undermined efforts to attract private investment and improve sector competitiveness (Eze &amp; Oladipo, 2023).</w:t>
      </w:r>
    </w:p>
    <w:p w14:paraId="359ACF41" w14:textId="77777777" w:rsidR="005E630D" w:rsidRPr="00EA38DE" w:rsidRDefault="005E630D" w:rsidP="005E630D">
      <w:pPr>
        <w:pStyle w:val="NormalWeb"/>
        <w:spacing w:line="480" w:lineRule="auto"/>
        <w:jc w:val="both"/>
      </w:pPr>
      <w:r w:rsidRPr="00EA38DE">
        <w:t>Nigeria’s adoption of a blue economy framework has also been hindered by weak coordination and implementation. The creation of the Ministry of Marine and Blue Economy in 2023 provided institutional focus and prompted selective port infrastructure upgrades in Apapa and Tin Can ports. However, limited support for fisheries and aquaculture, inadequate funding, and fragmented policy execution continue to constrain progress. While initiatives such as the Deep Blue Project have improved maritime security, the national Blue Economy Roadmap remains largely unimplemented, restricting synergies between sustainable maritime development and financial performance (NIMASA, 2023).</w:t>
      </w:r>
    </w:p>
    <w:p w14:paraId="0F0DC06A" w14:textId="77777777" w:rsidR="005E630D" w:rsidRPr="00EA38DE" w:rsidRDefault="005E630D" w:rsidP="005E630D">
      <w:pPr>
        <w:pStyle w:val="NormalWeb"/>
        <w:spacing w:line="480" w:lineRule="auto"/>
        <w:jc w:val="both"/>
      </w:pPr>
      <w:r w:rsidRPr="00EA38DE">
        <w:t>Exchange rate volatility remains a central but inadequately addressed challenge. Persistent naira depreciation has raised the cost of importing vessels, spare parts, fuel, and maritime technologies, while foreign-denominated debt has become increasingly burdensome for local shipping firms (Okeke &amp; Ajayi, 2022). Unpredictable exchange rate movements further complicate revenue forecasting, investment decisions, and cost management, especially for firms operating long-term naira-denominated contracts amid rising foreign currency expenses (Olawale &amp; Nwachukwu, 2023).</w:t>
      </w:r>
    </w:p>
    <w:p w14:paraId="1D9B6725" w14:textId="77777777" w:rsidR="005E630D" w:rsidRPr="00EA38DE" w:rsidRDefault="005E630D" w:rsidP="005E630D">
      <w:pPr>
        <w:pStyle w:val="NormalWeb"/>
        <w:spacing w:line="480" w:lineRule="auto"/>
        <w:jc w:val="both"/>
      </w:pPr>
      <w:r w:rsidRPr="00EA38DE">
        <w:lastRenderedPageBreak/>
        <w:t>Despite the recognized importance of shipping to Nigeria’s blue economy, a disconnect persists between policy objectives and financial outcomes. Existing studies largely examine exchange rate volatility or blue economy policies in isolation, with limited empirical attention to their combined effects on shipping firms’ financial performance (Adebiyi &amp; Adeyemi, 2022; Ekanem &amp; Okechukwu, 2022). Moreover, much of the global literature focuses on developed economies, overlooking the unique challenges of currency instability and foreign exchange constraints faced by Nigerian shipping companies (UNCTAD, 2021).</w:t>
      </w:r>
    </w:p>
    <w:p w14:paraId="33C1BFF6" w14:textId="7A3E0FE8" w:rsidR="005E630D" w:rsidRPr="00EA38DE" w:rsidRDefault="005E630D" w:rsidP="005E630D">
      <w:pPr>
        <w:pStyle w:val="NormalWeb"/>
        <w:spacing w:line="480" w:lineRule="auto"/>
        <w:jc w:val="both"/>
      </w:pPr>
      <w:r w:rsidRPr="00EA38DE">
        <w:t>This gap in the literature necessitates a comprehensive empirical investigation. Accordingly, this study examines the joint effects of exchange rate volatility and blue economy dynamics on the financial performance of shipping companies in Nigeria, with emphasis on operational costs, profitability, and revenue generation, to inform policies aimed at enhancing the sector’s sustainability and competitiveness.</w:t>
      </w:r>
    </w:p>
    <w:p w14:paraId="667036C0" w14:textId="7A6AABFC" w:rsidR="00CB10A8" w:rsidRPr="00EA38DE" w:rsidRDefault="00CB10A8" w:rsidP="00CB10A8">
      <w:pPr>
        <w:autoSpaceDE w:val="0"/>
        <w:autoSpaceDN w:val="0"/>
        <w:adjustRightInd w:val="0"/>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1.3</w:t>
      </w:r>
      <w:r w:rsidRPr="00EA38DE">
        <w:rPr>
          <w:rFonts w:ascii="Times New Roman" w:hAnsi="Times New Roman" w:cs="Times New Roman"/>
          <w:b/>
          <w:sz w:val="24"/>
          <w:szCs w:val="24"/>
        </w:rPr>
        <w:tab/>
        <w:t>Research Questions</w:t>
      </w:r>
    </w:p>
    <w:p w14:paraId="79F153D7" w14:textId="77777777" w:rsidR="00CB10A8" w:rsidRPr="00EA38DE" w:rsidRDefault="00CB10A8" w:rsidP="00CB10A8">
      <w:pPr>
        <w:autoSpaceDE w:val="0"/>
        <w:autoSpaceDN w:val="0"/>
        <w:adjustRightInd w:val="0"/>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The following research questions are formulated to help in the achievement of the objectives of this study;</w:t>
      </w:r>
    </w:p>
    <w:p w14:paraId="3A2A551E" w14:textId="20F22DEF" w:rsidR="00CB10A8" w:rsidRPr="00EA38DE" w:rsidRDefault="00CB10A8" w:rsidP="007B30AA">
      <w:pPr>
        <w:numPr>
          <w:ilvl w:val="0"/>
          <w:numId w:val="1"/>
        </w:numPr>
        <w:autoSpaceDE w:val="0"/>
        <w:autoSpaceDN w:val="0"/>
        <w:adjustRightInd w:val="0"/>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How does </w:t>
      </w:r>
      <w:r w:rsidR="007D2196" w:rsidRPr="00EA38DE">
        <w:rPr>
          <w:rFonts w:ascii="Times New Roman" w:hAnsi="Times New Roman" w:cs="Times New Roman"/>
          <w:sz w:val="24"/>
          <w:szCs w:val="24"/>
        </w:rPr>
        <w:t>e</w:t>
      </w:r>
      <w:r w:rsidRPr="00EA38DE">
        <w:rPr>
          <w:rFonts w:ascii="Times New Roman" w:hAnsi="Times New Roman" w:cs="Times New Roman"/>
          <w:sz w:val="24"/>
          <w:szCs w:val="24"/>
        </w:rPr>
        <w:t xml:space="preserve">xchange </w:t>
      </w:r>
      <w:r w:rsidR="007D2196" w:rsidRPr="00EA38DE">
        <w:rPr>
          <w:rFonts w:ascii="Times New Roman" w:hAnsi="Times New Roman" w:cs="Times New Roman"/>
          <w:sz w:val="24"/>
          <w:szCs w:val="24"/>
        </w:rPr>
        <w:t>r</w:t>
      </w:r>
      <w:r w:rsidRPr="00EA38DE">
        <w:rPr>
          <w:rFonts w:ascii="Times New Roman" w:hAnsi="Times New Roman" w:cs="Times New Roman"/>
          <w:sz w:val="24"/>
          <w:szCs w:val="24"/>
        </w:rPr>
        <w:t xml:space="preserve">ate </w:t>
      </w:r>
      <w:r w:rsidR="007D2196" w:rsidRPr="00EA38DE">
        <w:rPr>
          <w:rFonts w:ascii="Times New Roman" w:hAnsi="Times New Roman" w:cs="Times New Roman"/>
          <w:sz w:val="24"/>
          <w:szCs w:val="24"/>
        </w:rPr>
        <w:t>v</w:t>
      </w:r>
      <w:r w:rsidRPr="00EA38DE">
        <w:rPr>
          <w:rFonts w:ascii="Times New Roman" w:hAnsi="Times New Roman" w:cs="Times New Roman"/>
          <w:sz w:val="24"/>
          <w:szCs w:val="24"/>
        </w:rPr>
        <w:t>olatility affect shipping industry financial performance in Nigeria?</w:t>
      </w:r>
    </w:p>
    <w:p w14:paraId="05103D0A" w14:textId="3C216458" w:rsidR="00CB10A8" w:rsidRPr="00EA38DE" w:rsidRDefault="007B6492" w:rsidP="007B30AA">
      <w:pPr>
        <w:numPr>
          <w:ilvl w:val="0"/>
          <w:numId w:val="1"/>
        </w:numPr>
        <w:autoSpaceDE w:val="0"/>
        <w:autoSpaceDN w:val="0"/>
        <w:adjustRightInd w:val="0"/>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How</w:t>
      </w:r>
      <w:r w:rsidR="00CB10A8" w:rsidRPr="00EA38DE">
        <w:rPr>
          <w:rFonts w:ascii="Times New Roman" w:hAnsi="Times New Roman" w:cs="Times New Roman"/>
          <w:sz w:val="24"/>
          <w:szCs w:val="24"/>
        </w:rPr>
        <w:t xml:space="preserve"> does </w:t>
      </w:r>
      <w:r w:rsidR="007D2196" w:rsidRPr="00EA38DE">
        <w:rPr>
          <w:rFonts w:ascii="Times New Roman" w:hAnsi="Times New Roman" w:cs="Times New Roman"/>
          <w:sz w:val="24"/>
          <w:szCs w:val="24"/>
        </w:rPr>
        <w:t>f</w:t>
      </w:r>
      <w:r w:rsidR="00CB10A8" w:rsidRPr="00EA38DE">
        <w:rPr>
          <w:rFonts w:ascii="Times New Roman" w:hAnsi="Times New Roman" w:cs="Times New Roman"/>
          <w:sz w:val="24"/>
          <w:szCs w:val="24"/>
        </w:rPr>
        <w:t>isheries affect shipping industry financial performance in Nigeria?</w:t>
      </w:r>
    </w:p>
    <w:p w14:paraId="5B0253A4" w14:textId="49A0F69F" w:rsidR="00CB10A8" w:rsidRPr="00EA38DE" w:rsidRDefault="00CB10A8" w:rsidP="007B30AA">
      <w:pPr>
        <w:numPr>
          <w:ilvl w:val="0"/>
          <w:numId w:val="1"/>
        </w:numPr>
        <w:autoSpaceDE w:val="0"/>
        <w:autoSpaceDN w:val="0"/>
        <w:adjustRightInd w:val="0"/>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How does </w:t>
      </w:r>
      <w:r w:rsidR="007D2196" w:rsidRPr="00EA38DE">
        <w:rPr>
          <w:rFonts w:ascii="Times New Roman" w:hAnsi="Times New Roman" w:cs="Times New Roman"/>
          <w:sz w:val="24"/>
          <w:szCs w:val="24"/>
        </w:rPr>
        <w:t>a</w:t>
      </w:r>
      <w:r w:rsidRPr="00EA38DE">
        <w:rPr>
          <w:rFonts w:ascii="Times New Roman" w:hAnsi="Times New Roman" w:cs="Times New Roman"/>
          <w:sz w:val="24"/>
          <w:szCs w:val="24"/>
        </w:rPr>
        <w:t>quaculture affect shipping industry financial performance in Nigeria?</w:t>
      </w:r>
    </w:p>
    <w:p w14:paraId="034F9E76" w14:textId="2B563BFC" w:rsidR="00CB10A8" w:rsidRPr="00EA38DE" w:rsidRDefault="007B6492" w:rsidP="007B30AA">
      <w:pPr>
        <w:numPr>
          <w:ilvl w:val="0"/>
          <w:numId w:val="1"/>
        </w:numPr>
        <w:autoSpaceDE w:val="0"/>
        <w:autoSpaceDN w:val="0"/>
        <w:adjustRightInd w:val="0"/>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How</w:t>
      </w:r>
      <w:r w:rsidR="00CB10A8" w:rsidRPr="00EA38DE">
        <w:rPr>
          <w:rFonts w:ascii="Times New Roman" w:hAnsi="Times New Roman" w:cs="Times New Roman"/>
          <w:sz w:val="24"/>
          <w:szCs w:val="24"/>
        </w:rPr>
        <w:t xml:space="preserve"> does </w:t>
      </w:r>
      <w:r w:rsidR="007D2196" w:rsidRPr="00EA38DE">
        <w:rPr>
          <w:rFonts w:ascii="Times New Roman" w:hAnsi="Times New Roman" w:cs="Times New Roman"/>
          <w:sz w:val="24"/>
          <w:szCs w:val="24"/>
        </w:rPr>
        <w:t>d</w:t>
      </w:r>
      <w:r w:rsidR="00CB10A8" w:rsidRPr="00EA38DE">
        <w:rPr>
          <w:rFonts w:ascii="Times New Roman" w:hAnsi="Times New Roman" w:cs="Times New Roman"/>
          <w:sz w:val="24"/>
          <w:szCs w:val="24"/>
        </w:rPr>
        <w:t>esalination affect shipping industry financial performance in Nigeria?</w:t>
      </w:r>
    </w:p>
    <w:p w14:paraId="7A9A1F1D" w14:textId="77777777" w:rsidR="00EA38DE" w:rsidRPr="00EA38DE" w:rsidRDefault="00EA38DE" w:rsidP="00CB10A8">
      <w:pPr>
        <w:autoSpaceDE w:val="0"/>
        <w:autoSpaceDN w:val="0"/>
        <w:adjustRightInd w:val="0"/>
        <w:spacing w:after="120" w:line="480" w:lineRule="auto"/>
        <w:jc w:val="both"/>
        <w:rPr>
          <w:rFonts w:ascii="Times New Roman" w:hAnsi="Times New Roman" w:cs="Times New Roman"/>
          <w:b/>
          <w:bCs/>
          <w:sz w:val="24"/>
          <w:szCs w:val="24"/>
        </w:rPr>
      </w:pPr>
    </w:p>
    <w:p w14:paraId="12FA61AD" w14:textId="3619107B" w:rsidR="00E42074" w:rsidRPr="00EA38DE" w:rsidRDefault="00CB10A8" w:rsidP="00CB10A8">
      <w:pPr>
        <w:autoSpaceDE w:val="0"/>
        <w:autoSpaceDN w:val="0"/>
        <w:adjustRightInd w:val="0"/>
        <w:spacing w:after="12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lastRenderedPageBreak/>
        <w:t>1.4</w:t>
      </w:r>
      <w:r w:rsidRPr="00EA38DE">
        <w:rPr>
          <w:rFonts w:ascii="Times New Roman" w:hAnsi="Times New Roman" w:cs="Times New Roman"/>
          <w:b/>
          <w:bCs/>
          <w:sz w:val="24"/>
          <w:szCs w:val="24"/>
        </w:rPr>
        <w:tab/>
        <w:t>Objectives of the Study</w:t>
      </w:r>
    </w:p>
    <w:p w14:paraId="3B93813D" w14:textId="6C3EE873" w:rsidR="00CB10A8" w:rsidRPr="00EA38DE" w:rsidRDefault="00CB10A8" w:rsidP="00CB10A8">
      <w:pPr>
        <w:autoSpaceDE w:val="0"/>
        <w:autoSpaceDN w:val="0"/>
        <w:adjustRightInd w:val="0"/>
        <w:spacing w:after="120" w:line="480" w:lineRule="auto"/>
        <w:jc w:val="both"/>
        <w:rPr>
          <w:rFonts w:ascii="Times New Roman" w:hAnsi="Times New Roman" w:cs="Times New Roman"/>
          <w:b/>
          <w:bCs/>
          <w:sz w:val="24"/>
          <w:szCs w:val="24"/>
        </w:rPr>
      </w:pPr>
      <w:r w:rsidRPr="00EA38DE">
        <w:rPr>
          <w:rFonts w:ascii="Times New Roman" w:hAnsi="Times New Roman" w:cs="Times New Roman"/>
          <w:sz w:val="24"/>
          <w:szCs w:val="24"/>
        </w:rPr>
        <w:t>The main objective of this study is to investigate the effect of exchange rate volatility</w:t>
      </w:r>
      <w:r w:rsidR="0028641C" w:rsidRPr="00EA38DE">
        <w:rPr>
          <w:rFonts w:ascii="Times New Roman" w:hAnsi="Times New Roman" w:cs="Times New Roman"/>
          <w:sz w:val="24"/>
          <w:szCs w:val="24"/>
        </w:rPr>
        <w:t xml:space="preserve"> and</w:t>
      </w:r>
      <w:r w:rsidRPr="00EA38DE">
        <w:rPr>
          <w:rFonts w:ascii="Times New Roman" w:hAnsi="Times New Roman" w:cs="Times New Roman"/>
          <w:sz w:val="24"/>
          <w:szCs w:val="24"/>
        </w:rPr>
        <w:t xml:space="preserve"> blue economy on financial performance of </w:t>
      </w:r>
      <w:r w:rsidR="0028641C" w:rsidRPr="00EA38DE">
        <w:rPr>
          <w:rFonts w:ascii="Times New Roman" w:hAnsi="Times New Roman" w:cs="Times New Roman"/>
          <w:sz w:val="24"/>
          <w:szCs w:val="24"/>
        </w:rPr>
        <w:t xml:space="preserve">the </w:t>
      </w:r>
      <w:r w:rsidRPr="00EA38DE">
        <w:rPr>
          <w:rFonts w:ascii="Times New Roman" w:hAnsi="Times New Roman" w:cs="Times New Roman"/>
          <w:sz w:val="24"/>
          <w:szCs w:val="24"/>
        </w:rPr>
        <w:t>shipping industry in Nigeria. Specifically, the study intends to:</w:t>
      </w:r>
    </w:p>
    <w:p w14:paraId="24D1CBDE" w14:textId="3595931C" w:rsidR="00CB10A8" w:rsidRPr="00EA38DE" w:rsidRDefault="00CB10A8" w:rsidP="007B30AA">
      <w:pPr>
        <w:numPr>
          <w:ilvl w:val="0"/>
          <w:numId w:val="3"/>
        </w:numPr>
        <w:autoSpaceDE w:val="0"/>
        <w:autoSpaceDN w:val="0"/>
        <w:adjustRightInd w:val="0"/>
        <w:spacing w:after="120" w:line="480" w:lineRule="auto"/>
        <w:ind w:left="1020"/>
        <w:jc w:val="both"/>
        <w:rPr>
          <w:rFonts w:ascii="Times New Roman" w:hAnsi="Times New Roman" w:cs="Times New Roman"/>
          <w:sz w:val="24"/>
          <w:szCs w:val="24"/>
        </w:rPr>
      </w:pPr>
      <w:r w:rsidRPr="00EA38DE">
        <w:rPr>
          <w:rFonts w:ascii="Times New Roman" w:hAnsi="Times New Roman" w:cs="Times New Roman"/>
          <w:sz w:val="24"/>
          <w:szCs w:val="24"/>
        </w:rPr>
        <w:t>ascertain the effect of exchange rate volatility on the financial performance of shipping industry in Nigeria.</w:t>
      </w:r>
    </w:p>
    <w:p w14:paraId="1F86BACC" w14:textId="5E72973B" w:rsidR="00CB10A8" w:rsidRPr="00EA38DE" w:rsidRDefault="00CB10A8" w:rsidP="007B30AA">
      <w:pPr>
        <w:numPr>
          <w:ilvl w:val="0"/>
          <w:numId w:val="3"/>
        </w:numPr>
        <w:autoSpaceDE w:val="0"/>
        <w:autoSpaceDN w:val="0"/>
        <w:adjustRightInd w:val="0"/>
        <w:spacing w:after="120" w:line="480" w:lineRule="auto"/>
        <w:ind w:left="1020"/>
        <w:jc w:val="both"/>
        <w:rPr>
          <w:rFonts w:ascii="Times New Roman" w:hAnsi="Times New Roman" w:cs="Times New Roman"/>
          <w:sz w:val="24"/>
          <w:szCs w:val="24"/>
        </w:rPr>
      </w:pPr>
      <w:r w:rsidRPr="00EA38DE">
        <w:rPr>
          <w:rFonts w:ascii="Times New Roman" w:hAnsi="Times New Roman" w:cs="Times New Roman"/>
          <w:sz w:val="24"/>
          <w:szCs w:val="24"/>
        </w:rPr>
        <w:t>examine the effect of fisheries on the financial performance of shipping industry in Nigeria.</w:t>
      </w:r>
    </w:p>
    <w:p w14:paraId="0EB8F1F7" w14:textId="072246E0" w:rsidR="00CB10A8" w:rsidRPr="00EA38DE" w:rsidRDefault="00CB10A8" w:rsidP="007B30AA">
      <w:pPr>
        <w:numPr>
          <w:ilvl w:val="0"/>
          <w:numId w:val="3"/>
        </w:numPr>
        <w:autoSpaceDE w:val="0"/>
        <w:autoSpaceDN w:val="0"/>
        <w:adjustRightInd w:val="0"/>
        <w:spacing w:after="120" w:line="480" w:lineRule="auto"/>
        <w:ind w:left="1020"/>
        <w:jc w:val="both"/>
        <w:rPr>
          <w:rFonts w:ascii="Times New Roman" w:hAnsi="Times New Roman" w:cs="Times New Roman"/>
          <w:sz w:val="24"/>
          <w:szCs w:val="24"/>
        </w:rPr>
      </w:pPr>
      <w:r w:rsidRPr="00EA38DE">
        <w:rPr>
          <w:rFonts w:ascii="Times New Roman" w:hAnsi="Times New Roman" w:cs="Times New Roman"/>
          <w:sz w:val="24"/>
          <w:szCs w:val="24"/>
        </w:rPr>
        <w:t>determine the effect of aquaculture on the financial performance of shipping industry in Nigeria.</w:t>
      </w:r>
    </w:p>
    <w:p w14:paraId="682739A4" w14:textId="3D5B8A9D" w:rsidR="00CB10A8" w:rsidRPr="00EA38DE" w:rsidRDefault="00CB10A8" w:rsidP="007B30AA">
      <w:pPr>
        <w:numPr>
          <w:ilvl w:val="0"/>
          <w:numId w:val="3"/>
        </w:numPr>
        <w:autoSpaceDE w:val="0"/>
        <w:autoSpaceDN w:val="0"/>
        <w:adjustRightInd w:val="0"/>
        <w:spacing w:after="120" w:line="480" w:lineRule="auto"/>
        <w:ind w:left="1020"/>
        <w:jc w:val="both"/>
        <w:rPr>
          <w:rFonts w:ascii="Times New Roman" w:hAnsi="Times New Roman" w:cs="Times New Roman"/>
          <w:sz w:val="24"/>
          <w:szCs w:val="24"/>
        </w:rPr>
      </w:pPr>
      <w:r w:rsidRPr="00EA38DE">
        <w:rPr>
          <w:rFonts w:ascii="Times New Roman" w:hAnsi="Times New Roman" w:cs="Times New Roman"/>
          <w:sz w:val="24"/>
          <w:szCs w:val="24"/>
        </w:rPr>
        <w:t>analyze the effect of desalination on the financial performance of shipping industry in Nigeria.</w:t>
      </w:r>
    </w:p>
    <w:p w14:paraId="43DB2929" w14:textId="0C6C179D" w:rsidR="00CB10A8" w:rsidRPr="00EA38DE" w:rsidRDefault="00CB10A8" w:rsidP="00CB10A8">
      <w:pPr>
        <w:autoSpaceDE w:val="0"/>
        <w:autoSpaceDN w:val="0"/>
        <w:adjustRightInd w:val="0"/>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1.5</w:t>
      </w:r>
      <w:r w:rsidRPr="00EA38DE">
        <w:rPr>
          <w:rFonts w:ascii="Times New Roman" w:hAnsi="Times New Roman" w:cs="Times New Roman"/>
          <w:b/>
          <w:sz w:val="24"/>
          <w:szCs w:val="24"/>
        </w:rPr>
        <w:tab/>
        <w:t>Hypotheses</w:t>
      </w:r>
      <w:r w:rsidR="00EF2CFC" w:rsidRPr="00EA38DE">
        <w:rPr>
          <w:rFonts w:ascii="Times New Roman" w:hAnsi="Times New Roman" w:cs="Times New Roman"/>
          <w:b/>
          <w:sz w:val="24"/>
          <w:szCs w:val="24"/>
        </w:rPr>
        <w:t xml:space="preserve"> of the Study</w:t>
      </w:r>
    </w:p>
    <w:p w14:paraId="49C6E8E7" w14:textId="77777777" w:rsidR="00CB10A8" w:rsidRPr="00EA38DE" w:rsidRDefault="00CB10A8" w:rsidP="00CB10A8">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following null hypotheses were tested:</w:t>
      </w:r>
    </w:p>
    <w:p w14:paraId="6EE1CC0B" w14:textId="4FB58F62" w:rsidR="00CB10A8" w:rsidRPr="00EA38DE" w:rsidRDefault="00CB10A8" w:rsidP="00CB10A8">
      <w:pPr>
        <w:autoSpaceDE w:val="0"/>
        <w:autoSpaceDN w:val="0"/>
        <w:adjustRightInd w:val="0"/>
        <w:spacing w:after="120" w:line="480" w:lineRule="auto"/>
        <w:ind w:left="720" w:hanging="720"/>
        <w:jc w:val="both"/>
        <w:rPr>
          <w:rFonts w:ascii="Times New Roman" w:hAnsi="Times New Roman" w:cs="Times New Roman"/>
          <w:bCs/>
          <w:iCs/>
          <w:sz w:val="24"/>
          <w:szCs w:val="24"/>
        </w:rPr>
      </w:pPr>
      <w:r w:rsidRPr="00EA38DE">
        <w:rPr>
          <w:rFonts w:ascii="Times New Roman" w:hAnsi="Times New Roman" w:cs="Times New Roman"/>
          <w:b/>
          <w:iCs/>
          <w:sz w:val="24"/>
          <w:szCs w:val="24"/>
        </w:rPr>
        <w:t>H0</w:t>
      </w:r>
      <w:r w:rsidRPr="00EA38DE">
        <w:rPr>
          <w:rFonts w:ascii="Times New Roman" w:hAnsi="Times New Roman" w:cs="Times New Roman"/>
          <w:b/>
          <w:iCs/>
          <w:sz w:val="24"/>
          <w:szCs w:val="24"/>
          <w:vertAlign w:val="subscript"/>
        </w:rPr>
        <w:t>1</w:t>
      </w:r>
      <w:r w:rsidRPr="00EA38DE">
        <w:rPr>
          <w:rFonts w:ascii="Times New Roman" w:hAnsi="Times New Roman" w:cs="Times New Roman"/>
          <w:b/>
          <w:iCs/>
          <w:sz w:val="24"/>
          <w:szCs w:val="24"/>
        </w:rPr>
        <w:t>:</w:t>
      </w:r>
      <w:r w:rsidRPr="00EA38DE">
        <w:rPr>
          <w:rFonts w:ascii="Times New Roman" w:hAnsi="Times New Roman" w:cs="Times New Roman"/>
          <w:b/>
          <w:iCs/>
          <w:sz w:val="24"/>
          <w:szCs w:val="24"/>
        </w:rPr>
        <w:tab/>
      </w:r>
      <w:r w:rsidRPr="00EA38DE">
        <w:rPr>
          <w:rFonts w:ascii="Times New Roman" w:hAnsi="Times New Roman" w:cs="Times New Roman"/>
          <w:iCs/>
          <w:sz w:val="24"/>
          <w:szCs w:val="24"/>
        </w:rPr>
        <w:t>E</w:t>
      </w:r>
      <w:r w:rsidRPr="00EA38DE">
        <w:rPr>
          <w:rFonts w:ascii="Times New Roman" w:hAnsi="Times New Roman" w:cs="Times New Roman"/>
          <w:sz w:val="24"/>
          <w:szCs w:val="24"/>
        </w:rPr>
        <w:t xml:space="preserve">xchange rate volatility has no significant effect on </w:t>
      </w:r>
      <w:r w:rsidRPr="00EA38DE">
        <w:rPr>
          <w:rFonts w:ascii="Times New Roman" w:eastAsia="Times New Roman" w:hAnsi="Times New Roman" w:cs="Times New Roman"/>
          <w:sz w:val="24"/>
          <w:szCs w:val="24"/>
        </w:rPr>
        <w:t xml:space="preserve">the financial </w:t>
      </w:r>
      <w:r w:rsidRPr="00EA38DE">
        <w:rPr>
          <w:rFonts w:ascii="Times New Roman" w:hAnsi="Times New Roman" w:cs="Times New Roman"/>
          <w:bCs/>
          <w:iCs/>
          <w:sz w:val="24"/>
          <w:szCs w:val="24"/>
        </w:rPr>
        <w:t>Performance of shipping industry in Nigeria.</w:t>
      </w:r>
    </w:p>
    <w:p w14:paraId="675DB1F0" w14:textId="19B73F16" w:rsidR="00CB10A8" w:rsidRPr="00EA38DE" w:rsidRDefault="00CB10A8" w:rsidP="00CB10A8">
      <w:pPr>
        <w:autoSpaceDE w:val="0"/>
        <w:autoSpaceDN w:val="0"/>
        <w:adjustRightInd w:val="0"/>
        <w:spacing w:after="120" w:line="480" w:lineRule="auto"/>
        <w:ind w:left="720" w:hanging="720"/>
        <w:jc w:val="both"/>
        <w:rPr>
          <w:rFonts w:ascii="Times New Roman" w:eastAsia="Times New Roman" w:hAnsi="Times New Roman" w:cs="Times New Roman"/>
          <w:sz w:val="24"/>
          <w:szCs w:val="24"/>
        </w:rPr>
      </w:pPr>
      <w:r w:rsidRPr="00EA38DE">
        <w:rPr>
          <w:rFonts w:ascii="Times New Roman" w:hAnsi="Times New Roman" w:cs="Times New Roman"/>
          <w:b/>
          <w:iCs/>
          <w:sz w:val="24"/>
          <w:szCs w:val="24"/>
        </w:rPr>
        <w:t>H0</w:t>
      </w:r>
      <w:r w:rsidRPr="00EA38DE">
        <w:rPr>
          <w:rFonts w:ascii="Times New Roman" w:hAnsi="Times New Roman" w:cs="Times New Roman"/>
          <w:b/>
          <w:iCs/>
          <w:sz w:val="24"/>
          <w:szCs w:val="24"/>
          <w:vertAlign w:val="subscript"/>
        </w:rPr>
        <w:t>2</w:t>
      </w:r>
      <w:r w:rsidRPr="00EA38DE">
        <w:rPr>
          <w:rFonts w:ascii="Times New Roman" w:hAnsi="Times New Roman" w:cs="Times New Roman"/>
          <w:b/>
          <w:iCs/>
          <w:sz w:val="24"/>
          <w:szCs w:val="24"/>
        </w:rPr>
        <w:t>:</w:t>
      </w:r>
      <w:r w:rsidRPr="00EA38DE">
        <w:rPr>
          <w:rFonts w:ascii="Times New Roman" w:hAnsi="Times New Roman" w:cs="Times New Roman"/>
          <w:b/>
          <w:iCs/>
          <w:sz w:val="24"/>
          <w:szCs w:val="24"/>
          <w:vertAlign w:val="subscript"/>
        </w:rPr>
        <w:t xml:space="preserve"> </w:t>
      </w:r>
      <w:r w:rsidRPr="00EA38DE">
        <w:rPr>
          <w:rFonts w:ascii="Times New Roman" w:hAnsi="Times New Roman" w:cs="Times New Roman"/>
          <w:b/>
          <w:iCs/>
          <w:sz w:val="24"/>
          <w:szCs w:val="24"/>
          <w:vertAlign w:val="subscript"/>
        </w:rPr>
        <w:tab/>
      </w:r>
      <w:r w:rsidRPr="00EA38DE">
        <w:rPr>
          <w:rFonts w:ascii="Times New Roman" w:eastAsia="Times New Roman" w:hAnsi="Times New Roman" w:cs="Times New Roman"/>
          <w:sz w:val="24"/>
          <w:szCs w:val="24"/>
        </w:rPr>
        <w:t xml:space="preserve">Fisheries </w:t>
      </w:r>
      <w:r w:rsidRPr="00EA38DE">
        <w:rPr>
          <w:rFonts w:ascii="Times New Roman" w:hAnsi="Times New Roman" w:cs="Times New Roman"/>
          <w:sz w:val="24"/>
          <w:szCs w:val="24"/>
        </w:rPr>
        <w:t xml:space="preserve">has no significant effect on </w:t>
      </w:r>
      <w:r w:rsidRPr="00EA38DE">
        <w:rPr>
          <w:rFonts w:ascii="Times New Roman" w:eastAsia="Times New Roman" w:hAnsi="Times New Roman" w:cs="Times New Roman"/>
          <w:sz w:val="24"/>
          <w:szCs w:val="24"/>
        </w:rPr>
        <w:t>the financial performance of shipping industry in Nigeria</w:t>
      </w:r>
      <w:r w:rsidR="00EA38DE" w:rsidRPr="00EA38DE">
        <w:rPr>
          <w:rFonts w:ascii="Times New Roman" w:eastAsia="Times New Roman" w:hAnsi="Times New Roman" w:cs="Times New Roman"/>
          <w:sz w:val="24"/>
          <w:szCs w:val="24"/>
        </w:rPr>
        <w:t>.</w:t>
      </w:r>
    </w:p>
    <w:p w14:paraId="10802C6A" w14:textId="0DD5AC7C" w:rsidR="00CB10A8" w:rsidRPr="00EA38DE" w:rsidRDefault="00CB10A8" w:rsidP="00CB10A8">
      <w:pPr>
        <w:autoSpaceDE w:val="0"/>
        <w:autoSpaceDN w:val="0"/>
        <w:adjustRightInd w:val="0"/>
        <w:spacing w:after="120" w:line="480" w:lineRule="auto"/>
        <w:ind w:left="720" w:hanging="720"/>
        <w:jc w:val="both"/>
        <w:rPr>
          <w:rFonts w:ascii="Times New Roman" w:hAnsi="Times New Roman" w:cs="Times New Roman"/>
          <w:sz w:val="24"/>
          <w:szCs w:val="24"/>
        </w:rPr>
      </w:pPr>
      <w:r w:rsidRPr="00EA38DE">
        <w:rPr>
          <w:rFonts w:ascii="Times New Roman" w:hAnsi="Times New Roman" w:cs="Times New Roman"/>
          <w:b/>
          <w:iCs/>
          <w:sz w:val="24"/>
          <w:szCs w:val="24"/>
        </w:rPr>
        <w:t>H0</w:t>
      </w:r>
      <w:r w:rsidRPr="00EA38DE">
        <w:rPr>
          <w:rFonts w:ascii="Times New Roman" w:hAnsi="Times New Roman" w:cs="Times New Roman"/>
          <w:b/>
          <w:iCs/>
          <w:sz w:val="24"/>
          <w:szCs w:val="24"/>
          <w:vertAlign w:val="subscript"/>
        </w:rPr>
        <w:t>3</w:t>
      </w:r>
      <w:r w:rsidRPr="00EA38DE">
        <w:rPr>
          <w:rFonts w:ascii="Times New Roman" w:hAnsi="Times New Roman" w:cs="Times New Roman"/>
          <w:b/>
          <w:iCs/>
          <w:sz w:val="24"/>
          <w:szCs w:val="24"/>
        </w:rPr>
        <w:t>:</w:t>
      </w:r>
      <w:r w:rsidRPr="00EA38DE">
        <w:rPr>
          <w:rFonts w:ascii="Times New Roman" w:hAnsi="Times New Roman" w:cs="Times New Roman"/>
          <w:b/>
          <w:iCs/>
          <w:sz w:val="24"/>
          <w:szCs w:val="24"/>
          <w:vertAlign w:val="subscript"/>
        </w:rPr>
        <w:t xml:space="preserve"> </w:t>
      </w:r>
      <w:r w:rsidRPr="00EA38DE">
        <w:rPr>
          <w:rFonts w:ascii="Times New Roman" w:hAnsi="Times New Roman" w:cs="Times New Roman"/>
          <w:b/>
          <w:iCs/>
          <w:sz w:val="24"/>
          <w:szCs w:val="24"/>
          <w:vertAlign w:val="subscript"/>
        </w:rPr>
        <w:tab/>
      </w:r>
      <w:r w:rsidRPr="00EA38DE">
        <w:rPr>
          <w:rFonts w:ascii="Times New Roman" w:eastAsia="Times New Roman" w:hAnsi="Times New Roman" w:cs="Times New Roman"/>
          <w:sz w:val="24"/>
          <w:szCs w:val="24"/>
        </w:rPr>
        <w:t xml:space="preserve">Aquaculture </w:t>
      </w:r>
      <w:r w:rsidRPr="00EA38DE">
        <w:rPr>
          <w:rFonts w:ascii="Times New Roman" w:hAnsi="Times New Roman" w:cs="Times New Roman"/>
          <w:sz w:val="24"/>
          <w:szCs w:val="24"/>
        </w:rPr>
        <w:t xml:space="preserve">has no significant effect on </w:t>
      </w:r>
      <w:r w:rsidRPr="00EA38DE">
        <w:rPr>
          <w:rFonts w:ascii="Times New Roman" w:eastAsia="Times New Roman" w:hAnsi="Times New Roman" w:cs="Times New Roman"/>
          <w:sz w:val="24"/>
          <w:szCs w:val="24"/>
        </w:rPr>
        <w:t xml:space="preserve">the financial performance of shipping </w:t>
      </w:r>
      <w:r w:rsidRPr="00EA38DE">
        <w:rPr>
          <w:rFonts w:ascii="Times New Roman" w:hAnsi="Times New Roman" w:cs="Times New Roman"/>
          <w:sz w:val="24"/>
          <w:szCs w:val="24"/>
        </w:rPr>
        <w:t>industry in Nigeria</w:t>
      </w:r>
      <w:r w:rsidR="00EA38DE" w:rsidRPr="00EA38DE">
        <w:rPr>
          <w:rFonts w:ascii="Times New Roman" w:hAnsi="Times New Roman" w:cs="Times New Roman"/>
          <w:sz w:val="24"/>
          <w:szCs w:val="24"/>
        </w:rPr>
        <w:t>.</w:t>
      </w:r>
    </w:p>
    <w:p w14:paraId="799CD206" w14:textId="33C7A4AD" w:rsidR="00B678BD" w:rsidRPr="00EA38DE" w:rsidRDefault="00CB10A8" w:rsidP="00B678BD">
      <w:pPr>
        <w:autoSpaceDE w:val="0"/>
        <w:autoSpaceDN w:val="0"/>
        <w:adjustRightInd w:val="0"/>
        <w:spacing w:after="120" w:line="480" w:lineRule="auto"/>
        <w:ind w:left="720" w:hanging="720"/>
        <w:jc w:val="both"/>
        <w:rPr>
          <w:rFonts w:ascii="Times New Roman" w:hAnsi="Times New Roman" w:cs="Times New Roman"/>
          <w:bCs/>
          <w:sz w:val="24"/>
          <w:szCs w:val="24"/>
        </w:rPr>
      </w:pPr>
      <w:r w:rsidRPr="00EA38DE">
        <w:rPr>
          <w:rFonts w:ascii="Times New Roman" w:hAnsi="Times New Roman" w:cs="Times New Roman"/>
          <w:b/>
          <w:iCs/>
          <w:sz w:val="24"/>
          <w:szCs w:val="24"/>
        </w:rPr>
        <w:lastRenderedPageBreak/>
        <w:t>H0</w:t>
      </w:r>
      <w:r w:rsidRPr="00EA38DE">
        <w:rPr>
          <w:rFonts w:ascii="Times New Roman" w:hAnsi="Times New Roman" w:cs="Times New Roman"/>
          <w:b/>
          <w:iCs/>
          <w:sz w:val="24"/>
          <w:szCs w:val="24"/>
          <w:vertAlign w:val="subscript"/>
        </w:rPr>
        <w:t>4</w:t>
      </w:r>
      <w:r w:rsidRPr="00EA38DE">
        <w:rPr>
          <w:rFonts w:ascii="Times New Roman" w:hAnsi="Times New Roman" w:cs="Times New Roman"/>
          <w:b/>
          <w:iCs/>
          <w:sz w:val="24"/>
          <w:szCs w:val="24"/>
        </w:rPr>
        <w:t>:</w:t>
      </w:r>
      <w:r w:rsidRPr="00EA38DE">
        <w:rPr>
          <w:rFonts w:ascii="Times New Roman" w:hAnsi="Times New Roman" w:cs="Times New Roman"/>
          <w:b/>
          <w:iCs/>
          <w:sz w:val="24"/>
          <w:szCs w:val="24"/>
          <w:vertAlign w:val="subscript"/>
        </w:rPr>
        <w:t xml:space="preserve"> </w:t>
      </w:r>
      <w:r w:rsidRPr="00EA38DE">
        <w:rPr>
          <w:rFonts w:ascii="Times New Roman" w:hAnsi="Times New Roman" w:cs="Times New Roman"/>
          <w:b/>
          <w:iCs/>
          <w:sz w:val="24"/>
          <w:szCs w:val="24"/>
          <w:vertAlign w:val="subscript"/>
        </w:rPr>
        <w:tab/>
      </w:r>
      <w:r w:rsidRPr="00EA38DE">
        <w:rPr>
          <w:rFonts w:ascii="Times New Roman" w:eastAsia="Times New Roman" w:hAnsi="Times New Roman" w:cs="Times New Roman"/>
          <w:sz w:val="24"/>
          <w:szCs w:val="24"/>
        </w:rPr>
        <w:t xml:space="preserve">Desalination </w:t>
      </w:r>
      <w:r w:rsidRPr="00EA38DE">
        <w:rPr>
          <w:rFonts w:ascii="Times New Roman" w:hAnsi="Times New Roman" w:cs="Times New Roman"/>
          <w:sz w:val="24"/>
          <w:szCs w:val="24"/>
        </w:rPr>
        <w:t xml:space="preserve">has no significant effect on </w:t>
      </w:r>
      <w:r w:rsidRPr="00EA38DE">
        <w:rPr>
          <w:rFonts w:ascii="Times New Roman" w:eastAsia="Times New Roman" w:hAnsi="Times New Roman" w:cs="Times New Roman"/>
          <w:sz w:val="24"/>
          <w:szCs w:val="24"/>
        </w:rPr>
        <w:t xml:space="preserve">the financial performance of </w:t>
      </w:r>
      <w:r w:rsidRPr="00EA38DE">
        <w:rPr>
          <w:rFonts w:ascii="Times New Roman" w:hAnsi="Times New Roman" w:cs="Times New Roman"/>
          <w:bCs/>
          <w:iCs/>
          <w:sz w:val="24"/>
          <w:szCs w:val="24"/>
        </w:rPr>
        <w:t>shipping industry in Nigeria.</w:t>
      </w:r>
    </w:p>
    <w:p w14:paraId="673430DE" w14:textId="77777777" w:rsidR="00B678BD" w:rsidRPr="00EA38DE" w:rsidRDefault="00CB10A8" w:rsidP="00B678BD">
      <w:pPr>
        <w:autoSpaceDE w:val="0"/>
        <w:autoSpaceDN w:val="0"/>
        <w:adjustRightInd w:val="0"/>
        <w:spacing w:after="120" w:line="480" w:lineRule="auto"/>
        <w:ind w:left="720" w:hanging="720"/>
        <w:jc w:val="both"/>
        <w:rPr>
          <w:rFonts w:ascii="Times New Roman" w:hAnsi="Times New Roman" w:cs="Times New Roman"/>
          <w:b/>
          <w:sz w:val="24"/>
          <w:szCs w:val="24"/>
        </w:rPr>
      </w:pPr>
      <w:r w:rsidRPr="00EA38DE">
        <w:rPr>
          <w:rFonts w:ascii="Times New Roman" w:hAnsi="Times New Roman" w:cs="Times New Roman"/>
          <w:b/>
          <w:sz w:val="24"/>
          <w:szCs w:val="24"/>
        </w:rPr>
        <w:t>1.6</w:t>
      </w:r>
      <w:r w:rsidRPr="00EA38DE">
        <w:rPr>
          <w:rFonts w:ascii="Times New Roman" w:hAnsi="Times New Roman" w:cs="Times New Roman"/>
          <w:b/>
          <w:sz w:val="24"/>
          <w:szCs w:val="24"/>
        </w:rPr>
        <w:tab/>
        <w:t xml:space="preserve">Scope of the Study </w:t>
      </w:r>
    </w:p>
    <w:p w14:paraId="1358486B" w14:textId="77777777" w:rsidR="00B678BD" w:rsidRPr="00EA38DE" w:rsidRDefault="00CB10A8" w:rsidP="00B678BD">
      <w:pPr>
        <w:autoSpaceDE w:val="0"/>
        <w:autoSpaceDN w:val="0"/>
        <w:adjustRightInd w:val="0"/>
        <w:spacing w:after="120" w:line="480" w:lineRule="auto"/>
        <w:jc w:val="both"/>
        <w:rPr>
          <w:rFonts w:ascii="Times New Roman" w:eastAsia="Times New Roman" w:hAnsi="Times New Roman" w:cs="Times New Roman"/>
          <w:bCs/>
          <w:sz w:val="24"/>
          <w:szCs w:val="24"/>
        </w:rPr>
      </w:pPr>
      <w:r w:rsidRPr="00EA38DE">
        <w:rPr>
          <w:rFonts w:ascii="Times New Roman" w:eastAsia="Times New Roman" w:hAnsi="Times New Roman" w:cs="Times New Roman"/>
          <w:bCs/>
          <w:sz w:val="24"/>
          <w:szCs w:val="24"/>
        </w:rPr>
        <w:t>The scope of the study covers the following aspects:</w:t>
      </w:r>
    </w:p>
    <w:p w14:paraId="4444869A" w14:textId="43D94393" w:rsidR="00B678BD" w:rsidRPr="00EA38DE" w:rsidRDefault="00CB10A8" w:rsidP="00EA38DE">
      <w:pPr>
        <w:autoSpaceDE w:val="0"/>
        <w:autoSpaceDN w:val="0"/>
        <w:adjustRightInd w:val="0"/>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
          <w:sz w:val="24"/>
          <w:szCs w:val="24"/>
        </w:rPr>
        <w:t xml:space="preserve">Conceptual Scope: </w:t>
      </w:r>
      <w:r w:rsidRPr="00EA38DE">
        <w:rPr>
          <w:rFonts w:ascii="Times New Roman" w:eastAsia="Times New Roman" w:hAnsi="Times New Roman" w:cs="Times New Roman"/>
          <w:sz w:val="24"/>
          <w:szCs w:val="24"/>
        </w:rPr>
        <w:t>The conceptual scope of this study is centered</w:t>
      </w:r>
      <w:r w:rsidR="00014278" w:rsidRPr="00EA38DE">
        <w:rPr>
          <w:rFonts w:ascii="Times New Roman" w:eastAsia="Times New Roman" w:hAnsi="Times New Roman" w:cs="Times New Roman"/>
          <w:sz w:val="24"/>
          <w:szCs w:val="24"/>
        </w:rPr>
        <w:t xml:space="preserve"> on exchange rate volatilities, </w:t>
      </w:r>
      <w:r w:rsidRPr="00EA38DE">
        <w:rPr>
          <w:rFonts w:ascii="Times New Roman" w:eastAsia="Times New Roman" w:hAnsi="Times New Roman" w:cs="Times New Roman"/>
          <w:sz w:val="24"/>
          <w:szCs w:val="24"/>
        </w:rPr>
        <w:t>blue economy and financial performance of shipping industry in Nigeria. The independent variables are exchange rate volatility and blue economy</w:t>
      </w:r>
      <w:r w:rsidR="0028641C" w:rsidRPr="00EA38DE">
        <w:rPr>
          <w:rFonts w:ascii="Times New Roman" w:eastAsia="Times New Roman" w:hAnsi="Times New Roman" w:cs="Times New Roman"/>
          <w:sz w:val="24"/>
          <w:szCs w:val="24"/>
        </w:rPr>
        <w:t>. Blue economy is</w:t>
      </w:r>
      <w:r w:rsidRPr="00EA38DE">
        <w:rPr>
          <w:rFonts w:ascii="Times New Roman" w:eastAsia="Times New Roman" w:hAnsi="Times New Roman" w:cs="Times New Roman"/>
          <w:sz w:val="24"/>
          <w:szCs w:val="24"/>
        </w:rPr>
        <w:t xml:space="preserve"> measured by</w:t>
      </w:r>
      <w:r w:rsidR="0028641C" w:rsidRPr="00EA38DE">
        <w:rPr>
          <w:rFonts w:ascii="Times New Roman" w:eastAsia="Times New Roman" w:hAnsi="Times New Roman" w:cs="Times New Roman"/>
          <w:sz w:val="24"/>
          <w:szCs w:val="24"/>
        </w:rPr>
        <w:t xml:space="preserve"> some of its components, which are,</w:t>
      </w:r>
      <w:r w:rsidRPr="00EA38DE">
        <w:rPr>
          <w:rFonts w:ascii="Times New Roman" w:eastAsia="Times New Roman" w:hAnsi="Times New Roman" w:cs="Times New Roman"/>
          <w:sz w:val="24"/>
          <w:szCs w:val="24"/>
        </w:rPr>
        <w:t xml:space="preserve"> fisheries, aquaculture and desalination. Meanwhile, financial performance of shipping industry</w:t>
      </w:r>
      <w:r w:rsidR="00E421A1" w:rsidRPr="00EA38DE">
        <w:rPr>
          <w:rFonts w:ascii="Times New Roman" w:eastAsia="Times New Roman" w:hAnsi="Times New Roman" w:cs="Times New Roman"/>
          <w:sz w:val="24"/>
          <w:szCs w:val="24"/>
        </w:rPr>
        <w:t xml:space="preserve"> which is </w:t>
      </w:r>
      <w:r w:rsidR="0028641C" w:rsidRPr="00EA38DE">
        <w:rPr>
          <w:rFonts w:ascii="Times New Roman" w:eastAsia="Times New Roman" w:hAnsi="Times New Roman" w:cs="Times New Roman"/>
          <w:sz w:val="24"/>
          <w:szCs w:val="24"/>
        </w:rPr>
        <w:t>the dependent variable of the study</w:t>
      </w:r>
      <w:r w:rsidR="00E421A1" w:rsidRPr="00EA38DE">
        <w:rPr>
          <w:rFonts w:ascii="Times New Roman" w:eastAsia="Times New Roman" w:hAnsi="Times New Roman" w:cs="Times New Roman"/>
          <w:sz w:val="24"/>
          <w:szCs w:val="24"/>
        </w:rPr>
        <w:t xml:space="preserve">; when decomposed, </w:t>
      </w:r>
      <w:r w:rsidRPr="00EA38DE">
        <w:rPr>
          <w:rFonts w:ascii="Times New Roman" w:eastAsia="Times New Roman" w:hAnsi="Times New Roman" w:cs="Times New Roman"/>
          <w:sz w:val="24"/>
          <w:szCs w:val="24"/>
        </w:rPr>
        <w:t>is measured by container throughput revenue, shipping costs, and port revenue</w:t>
      </w:r>
      <w:r w:rsidR="00E421A1" w:rsidRPr="00EA38DE">
        <w:rPr>
          <w:rFonts w:ascii="Times New Roman" w:eastAsia="Times New Roman" w:hAnsi="Times New Roman" w:cs="Times New Roman"/>
          <w:sz w:val="24"/>
          <w:szCs w:val="24"/>
        </w:rPr>
        <w:t>. Thereby resulting</w:t>
      </w:r>
      <w:r w:rsidR="0028641C" w:rsidRPr="00EA38DE">
        <w:rPr>
          <w:rFonts w:ascii="Times New Roman" w:eastAsia="Times New Roman" w:hAnsi="Times New Roman" w:cs="Times New Roman"/>
          <w:sz w:val="24"/>
          <w:szCs w:val="24"/>
        </w:rPr>
        <w:t xml:space="preserve"> </w:t>
      </w:r>
      <w:r w:rsidR="00E421A1" w:rsidRPr="00EA38DE">
        <w:rPr>
          <w:rFonts w:ascii="Times New Roman" w:eastAsia="Times New Roman" w:hAnsi="Times New Roman" w:cs="Times New Roman"/>
          <w:sz w:val="24"/>
          <w:szCs w:val="24"/>
        </w:rPr>
        <w:t>in</w:t>
      </w:r>
      <w:r w:rsidR="0028641C" w:rsidRPr="00EA38DE">
        <w:rPr>
          <w:rFonts w:ascii="Times New Roman" w:eastAsia="Times New Roman" w:hAnsi="Times New Roman" w:cs="Times New Roman"/>
          <w:sz w:val="24"/>
          <w:szCs w:val="24"/>
        </w:rPr>
        <w:t xml:space="preserve"> three</w:t>
      </w:r>
      <w:r w:rsidR="00E421A1" w:rsidRPr="00EA38DE">
        <w:rPr>
          <w:rFonts w:ascii="Times New Roman" w:eastAsia="Times New Roman" w:hAnsi="Times New Roman" w:cs="Times New Roman"/>
          <w:sz w:val="24"/>
          <w:szCs w:val="24"/>
        </w:rPr>
        <w:t xml:space="preserve"> distinct</w:t>
      </w:r>
      <w:r w:rsidR="0028641C" w:rsidRPr="00EA38DE">
        <w:rPr>
          <w:rFonts w:ascii="Times New Roman" w:eastAsia="Times New Roman" w:hAnsi="Times New Roman" w:cs="Times New Roman"/>
          <w:sz w:val="24"/>
          <w:szCs w:val="24"/>
        </w:rPr>
        <w:t xml:space="preserve"> dependent variables</w:t>
      </w:r>
      <w:r w:rsidR="00E421A1" w:rsidRPr="00EA38DE">
        <w:rPr>
          <w:rFonts w:ascii="Times New Roman" w:eastAsia="Times New Roman" w:hAnsi="Times New Roman" w:cs="Times New Roman"/>
          <w:sz w:val="24"/>
          <w:szCs w:val="24"/>
        </w:rPr>
        <w:t xml:space="preserve"> for the study.</w:t>
      </w:r>
    </w:p>
    <w:p w14:paraId="36791386" w14:textId="1B206161" w:rsidR="00CB10A8" w:rsidRPr="00EA38DE" w:rsidRDefault="00CB10A8" w:rsidP="00EA38DE">
      <w:pPr>
        <w:autoSpaceDE w:val="0"/>
        <w:autoSpaceDN w:val="0"/>
        <w:adjustRightInd w:val="0"/>
        <w:spacing w:line="480" w:lineRule="auto"/>
        <w:jc w:val="both"/>
        <w:rPr>
          <w:rFonts w:ascii="Times New Roman" w:hAnsi="Times New Roman" w:cs="Times New Roman"/>
          <w:sz w:val="24"/>
          <w:szCs w:val="24"/>
        </w:rPr>
      </w:pPr>
      <w:r w:rsidRPr="00EA38DE">
        <w:rPr>
          <w:rFonts w:ascii="Times New Roman" w:eastAsiaTheme="majorEastAsia" w:hAnsi="Times New Roman" w:cs="Times New Roman"/>
          <w:b/>
          <w:bCs/>
          <w:sz w:val="24"/>
          <w:szCs w:val="24"/>
        </w:rPr>
        <w:t>Geographical Scope</w:t>
      </w:r>
      <w:r w:rsidRPr="00EA38DE">
        <w:rPr>
          <w:rFonts w:ascii="Times New Roman" w:hAnsi="Times New Roman" w:cs="Times New Roman"/>
          <w:b/>
          <w:bCs/>
          <w:sz w:val="24"/>
          <w:szCs w:val="24"/>
        </w:rPr>
        <w:t>:</w:t>
      </w:r>
      <w:r w:rsidRPr="00EA38DE">
        <w:rPr>
          <w:rFonts w:ascii="Times New Roman" w:hAnsi="Times New Roman" w:cs="Times New Roman"/>
          <w:sz w:val="24"/>
          <w:szCs w:val="24"/>
        </w:rPr>
        <w:t xml:space="preserve"> This study focuses on Nigeria's shipping industry, specifically examining the impact of exchange rate volatility and the blue economy on its financial performance. The choice of Nigeria as the domain for this study is based on its prominent position in global trade, especially in maritime activities, and the significant challenges it faces due to exchange rate volatility. As one of Africa's largest economies, Nigeria relies heavily on its shipping sector for both imports and exports. Volatility in exchange rates directly affects the cost structures, competitiveness, and profitability of shipping businesses, making it a critical factor for the industry’s financial performance.</w:t>
      </w:r>
    </w:p>
    <w:p w14:paraId="56479A5A" w14:textId="3B8DB81E" w:rsidR="004A341F" w:rsidRPr="00EA38DE" w:rsidRDefault="00CB10A8" w:rsidP="00EA38DE">
      <w:pPr>
        <w:pStyle w:val="NormalWeb"/>
        <w:spacing w:before="0" w:beforeAutospacing="0" w:after="160" w:afterAutospacing="0" w:line="480" w:lineRule="auto"/>
        <w:jc w:val="both"/>
        <w:rPr>
          <w:bCs/>
        </w:rPr>
      </w:pPr>
      <w:r w:rsidRPr="00EA38DE">
        <w:rPr>
          <w:b/>
        </w:rPr>
        <w:t>Time Scope:</w:t>
      </w:r>
      <w:r w:rsidRPr="00EA38DE">
        <w:t xml:space="preserve"> </w:t>
      </w:r>
      <w:bookmarkStart w:id="1" w:name="_Hlk201791078"/>
      <w:r w:rsidR="004A341F" w:rsidRPr="00EA38DE">
        <w:rPr>
          <w:bCs/>
        </w:rPr>
        <w:t>This study covers a 3</w:t>
      </w:r>
      <w:r w:rsidR="007B70EF" w:rsidRPr="00EA38DE">
        <w:rPr>
          <w:bCs/>
        </w:rPr>
        <w:t>5</w:t>
      </w:r>
      <w:r w:rsidR="00E827E8" w:rsidRPr="00EA38DE">
        <w:rPr>
          <w:bCs/>
        </w:rPr>
        <w:t xml:space="preserve"> </w:t>
      </w:r>
      <w:r w:rsidR="004A341F" w:rsidRPr="00EA38DE">
        <w:rPr>
          <w:bCs/>
        </w:rPr>
        <w:t>years period from 199</w:t>
      </w:r>
      <w:r w:rsidR="00FF2DCC" w:rsidRPr="00EA38DE">
        <w:rPr>
          <w:bCs/>
        </w:rPr>
        <w:t>0</w:t>
      </w:r>
      <w:r w:rsidR="004A341F" w:rsidRPr="00EA38DE">
        <w:rPr>
          <w:bCs/>
        </w:rPr>
        <w:t xml:space="preserve"> to 2024, selected to capture major shifts in Nigeria’s economic landscape and their impact on the shipping industry. The starting year, 199</w:t>
      </w:r>
      <w:r w:rsidR="00525D5F" w:rsidRPr="00EA38DE">
        <w:rPr>
          <w:bCs/>
        </w:rPr>
        <w:t>0</w:t>
      </w:r>
      <w:r w:rsidR="004A341F" w:rsidRPr="00EA38DE">
        <w:rPr>
          <w:bCs/>
        </w:rPr>
        <w:t>, reflects the aftermath of the structural adjustment programme (SAP</w:t>
      </w:r>
      <w:r w:rsidR="007038AD" w:rsidRPr="00EA38DE">
        <w:rPr>
          <w:bCs/>
        </w:rPr>
        <w:t xml:space="preserve">) and the deregulation of </w:t>
      </w:r>
      <w:r w:rsidR="007038AD" w:rsidRPr="00EA38DE">
        <w:rPr>
          <w:bCs/>
        </w:rPr>
        <w:lastRenderedPageBreak/>
        <w:t>Nigeria’s foreign exchange market, which triggered chronic naira volatility. Key periods of heightened exchange rate instability include 199</w:t>
      </w:r>
      <w:r w:rsidR="00525D5F" w:rsidRPr="00EA38DE">
        <w:rPr>
          <w:bCs/>
        </w:rPr>
        <w:t>1</w:t>
      </w:r>
      <w:r w:rsidR="0000572A" w:rsidRPr="00EA38DE">
        <w:rPr>
          <w:bCs/>
        </w:rPr>
        <w:t>-</w:t>
      </w:r>
      <w:r w:rsidR="007038AD" w:rsidRPr="00EA38DE">
        <w:rPr>
          <w:bCs/>
        </w:rPr>
        <w:t>2001 (political transition), 2008</w:t>
      </w:r>
      <w:r w:rsidR="0000572A" w:rsidRPr="00EA38DE">
        <w:rPr>
          <w:bCs/>
        </w:rPr>
        <w:t>-</w:t>
      </w:r>
      <w:r w:rsidR="007038AD" w:rsidRPr="00EA38DE">
        <w:rPr>
          <w:bCs/>
        </w:rPr>
        <w:t>2009 (global financial crisi</w:t>
      </w:r>
      <w:r w:rsidR="007B1241" w:rsidRPr="00EA38DE">
        <w:rPr>
          <w:bCs/>
        </w:rPr>
        <w:t>s), 2014</w:t>
      </w:r>
      <w:r w:rsidR="0000572A" w:rsidRPr="00EA38DE">
        <w:rPr>
          <w:bCs/>
        </w:rPr>
        <w:t>-</w:t>
      </w:r>
      <w:r w:rsidR="007B1241" w:rsidRPr="00EA38DE">
        <w:rPr>
          <w:bCs/>
        </w:rPr>
        <w:t>2016 (oil price crash), and 2020</w:t>
      </w:r>
      <w:r w:rsidR="0000572A" w:rsidRPr="00EA38DE">
        <w:rPr>
          <w:bCs/>
        </w:rPr>
        <w:t>-</w:t>
      </w:r>
      <w:r w:rsidR="007B1241" w:rsidRPr="00EA38DE">
        <w:rPr>
          <w:bCs/>
        </w:rPr>
        <w:t xml:space="preserve">2023 (Covid-19 pandemic and economic disruption). These events significantly affected port revenue, </w:t>
      </w:r>
      <w:r w:rsidR="007D7DC4" w:rsidRPr="00EA38DE">
        <w:rPr>
          <w:bCs/>
        </w:rPr>
        <w:t>container through-put</w:t>
      </w:r>
      <w:r w:rsidR="007B1241" w:rsidRPr="00EA38DE">
        <w:rPr>
          <w:bCs/>
        </w:rPr>
        <w:t>, shipping costs, and financial performance</w:t>
      </w:r>
      <w:r w:rsidR="000277D7" w:rsidRPr="00EA38DE">
        <w:rPr>
          <w:bCs/>
        </w:rPr>
        <w:t xml:space="preserve"> in the maritime sector.</w:t>
      </w:r>
    </w:p>
    <w:p w14:paraId="7C4A88DE" w14:textId="5641B469" w:rsidR="004A341F" w:rsidRPr="00EA38DE" w:rsidRDefault="000277D7" w:rsidP="00EA38DE">
      <w:pPr>
        <w:pStyle w:val="NormalWeb"/>
        <w:spacing w:before="0" w:beforeAutospacing="0" w:after="160" w:afterAutospacing="0" w:line="480" w:lineRule="auto"/>
        <w:jc w:val="both"/>
      </w:pPr>
      <w:r w:rsidRPr="00EA38DE">
        <w:t>The year 2024</w:t>
      </w:r>
      <w:r w:rsidR="000107E0" w:rsidRPr="00EA38DE">
        <w:t>,</w:t>
      </w:r>
      <w:r w:rsidRPr="00EA38DE">
        <w:t xml:space="preserve"> is particularly significant as it intensified global focus on the vulnerability of supply chains, heightened exchange rate volatility, and the pressing need for sustainable and adaptive strategies within the shipping sector. It also reflects a period of growing national discourse in Nigeria on blue economy development, highlighted by the establishment of the Mi</w:t>
      </w:r>
      <w:r w:rsidR="00F058E1" w:rsidRPr="00EA38DE">
        <w:t>nistry of Marine and Blue Economy in 2023.</w:t>
      </w:r>
    </w:p>
    <w:bookmarkEnd w:id="1"/>
    <w:p w14:paraId="795B0209" w14:textId="77777777" w:rsidR="00CB10A8" w:rsidRPr="00EA38DE" w:rsidRDefault="00CB10A8" w:rsidP="00EA38DE">
      <w:pPr>
        <w:spacing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1.7</w:t>
      </w:r>
      <w:r w:rsidRPr="00EA38DE">
        <w:rPr>
          <w:rFonts w:ascii="Times New Roman" w:hAnsi="Times New Roman" w:cs="Times New Roman"/>
          <w:b/>
          <w:sz w:val="24"/>
          <w:szCs w:val="24"/>
        </w:rPr>
        <w:tab/>
        <w:t>Significance of the Study</w:t>
      </w:r>
    </w:p>
    <w:p w14:paraId="3369FC05" w14:textId="6FC8BDAE" w:rsidR="00CB10A8" w:rsidRPr="00EA38DE" w:rsidRDefault="00CB10A8" w:rsidP="00EA38DE">
      <w:pPr>
        <w:spacing w:line="480" w:lineRule="auto"/>
        <w:jc w:val="both"/>
        <w:rPr>
          <w:rFonts w:ascii="Times New Roman" w:eastAsia="Times New Roman" w:hAnsi="Times New Roman" w:cs="Times New Roman"/>
          <w:b/>
          <w:sz w:val="24"/>
          <w:szCs w:val="24"/>
        </w:rPr>
      </w:pPr>
      <w:r w:rsidRPr="00EA38DE">
        <w:rPr>
          <w:rFonts w:ascii="Times New Roman" w:hAnsi="Times New Roman" w:cs="Times New Roman"/>
          <w:sz w:val="24"/>
          <w:szCs w:val="24"/>
        </w:rPr>
        <w:t>This study conducts a disaggregated analysis of the impact of exchange rate volatility and the blue economy on the financial performance of Nigeria’s shipping industry. In doing so, it address</w:t>
      </w:r>
      <w:r w:rsidR="007B6492" w:rsidRPr="00EA38DE">
        <w:rPr>
          <w:rFonts w:ascii="Times New Roman" w:hAnsi="Times New Roman" w:cs="Times New Roman"/>
          <w:sz w:val="24"/>
          <w:szCs w:val="24"/>
        </w:rPr>
        <w:t>ed</w:t>
      </w:r>
      <w:r w:rsidRPr="00EA38DE">
        <w:rPr>
          <w:rFonts w:ascii="Times New Roman" w:hAnsi="Times New Roman" w:cs="Times New Roman"/>
          <w:sz w:val="24"/>
          <w:szCs w:val="24"/>
        </w:rPr>
        <w:t xml:space="preserve"> the inconsistencies and gaps in the findings of previous research by providing a more nuanced and sector-specific perspective, thereby contributing to a deeper understanding of the complex interactions between macroeconomic factors and maritime financial outcomes. In view of this, this study will be of </w:t>
      </w:r>
      <w:r w:rsidRPr="00EA38DE">
        <w:rPr>
          <w:rFonts w:ascii="Times New Roman" w:eastAsia="Times New Roman" w:hAnsi="Times New Roman" w:cs="Times New Roman"/>
          <w:sz w:val="24"/>
          <w:szCs w:val="24"/>
        </w:rPr>
        <w:t>immense benefits and significan</w:t>
      </w:r>
      <w:r w:rsidR="0000572A" w:rsidRPr="00EA38DE">
        <w:rPr>
          <w:rFonts w:ascii="Times New Roman" w:eastAsia="Times New Roman" w:hAnsi="Times New Roman" w:cs="Times New Roman"/>
          <w:sz w:val="24"/>
          <w:szCs w:val="24"/>
        </w:rPr>
        <w:t>ce</w:t>
      </w:r>
      <w:r w:rsidRPr="00EA38DE">
        <w:rPr>
          <w:rFonts w:ascii="Times New Roman" w:eastAsia="Times New Roman" w:hAnsi="Times New Roman" w:cs="Times New Roman"/>
          <w:sz w:val="24"/>
          <w:szCs w:val="24"/>
        </w:rPr>
        <w:t xml:space="preserve"> to the </w:t>
      </w:r>
      <w:r w:rsidRPr="00EA38DE">
        <w:rPr>
          <w:rFonts w:ascii="Times New Roman" w:hAnsi="Times New Roman" w:cs="Times New Roman"/>
          <w:sz w:val="24"/>
          <w:szCs w:val="24"/>
        </w:rPr>
        <w:t xml:space="preserve">following stakeholders in the following manner: </w:t>
      </w:r>
    </w:p>
    <w:p w14:paraId="4AC11488" w14:textId="3BAC755F" w:rsidR="0000572A" w:rsidRPr="00EA38DE" w:rsidRDefault="00CB10A8" w:rsidP="00EA38DE">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
          <w:sz w:val="24"/>
          <w:szCs w:val="24"/>
        </w:rPr>
        <w:t>Academia</w:t>
      </w:r>
      <w:r w:rsidRPr="00EA38DE">
        <w:rPr>
          <w:rFonts w:ascii="Times New Roman" w:eastAsia="Times New Roman" w:hAnsi="Times New Roman" w:cs="Times New Roman"/>
          <w:sz w:val="24"/>
          <w:szCs w:val="24"/>
        </w:rPr>
        <w:t xml:space="preserve">: </w:t>
      </w:r>
      <w:r w:rsidR="0000572A" w:rsidRPr="00EA38DE">
        <w:rPr>
          <w:rFonts w:ascii="Times New Roman" w:hAnsi="Times New Roman" w:cs="Times New Roman"/>
          <w:sz w:val="24"/>
          <w:szCs w:val="24"/>
        </w:rPr>
        <w:t>This study provide</w:t>
      </w:r>
      <w:r w:rsidR="00375DC1" w:rsidRPr="00EA38DE">
        <w:rPr>
          <w:rFonts w:ascii="Times New Roman" w:hAnsi="Times New Roman" w:cs="Times New Roman"/>
          <w:sz w:val="24"/>
          <w:szCs w:val="24"/>
        </w:rPr>
        <w:t>s</w:t>
      </w:r>
      <w:r w:rsidR="0000572A" w:rsidRPr="00EA38DE">
        <w:rPr>
          <w:rFonts w:ascii="Times New Roman" w:hAnsi="Times New Roman" w:cs="Times New Roman"/>
          <w:sz w:val="24"/>
          <w:szCs w:val="24"/>
        </w:rPr>
        <w:t xml:space="preserve"> both theoretical insights and practical guidance for academics, researchers, and policymakers in Nigeria by addressing key challenges affecting the financial performance of the shipping industry. These challenges include rising operational costs from exchange rate volatilities, reduced profitability due to currency mismatches, inadequate </w:t>
      </w:r>
      <w:r w:rsidR="0000572A" w:rsidRPr="00EA38DE">
        <w:rPr>
          <w:rFonts w:ascii="Times New Roman" w:hAnsi="Times New Roman" w:cs="Times New Roman"/>
          <w:sz w:val="24"/>
          <w:szCs w:val="24"/>
        </w:rPr>
        <w:lastRenderedPageBreak/>
        <w:t>infrastructure limiting competitiveness, inconsistent policies that impede long-term planning, and environmental issues threatening the sustainable use of blue economy resources.</w:t>
      </w:r>
    </w:p>
    <w:p w14:paraId="6C3D6F5C" w14:textId="2C23012B" w:rsidR="0000572A" w:rsidRPr="00EA38DE" w:rsidRDefault="0000572A" w:rsidP="0000572A">
      <w:pPr>
        <w:spacing w:after="12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 </w:t>
      </w:r>
      <w:r w:rsidRPr="00EA38DE">
        <w:rPr>
          <w:rFonts w:ascii="Times New Roman" w:hAnsi="Times New Roman" w:cs="Times New Roman"/>
          <w:b/>
          <w:sz w:val="24"/>
          <w:szCs w:val="24"/>
        </w:rPr>
        <w:t>Policy Makers in Statutory Government Regulatory Institutions</w:t>
      </w:r>
      <w:r w:rsidRPr="00EA38DE">
        <w:rPr>
          <w:rFonts w:ascii="Times New Roman" w:hAnsi="Times New Roman" w:cs="Times New Roman"/>
          <w:sz w:val="24"/>
          <w:szCs w:val="24"/>
        </w:rPr>
        <w:t>:</w:t>
      </w:r>
      <w:r w:rsidRPr="00EA38DE">
        <w:t xml:space="preserve"> </w:t>
      </w:r>
      <w:r w:rsidRPr="00EA38DE">
        <w:rPr>
          <w:rFonts w:ascii="Times New Roman" w:hAnsi="Times New Roman" w:cs="Times New Roman"/>
          <w:sz w:val="24"/>
          <w:szCs w:val="24"/>
        </w:rPr>
        <w:t>The research</w:t>
      </w:r>
      <w:r w:rsidR="00525D5F" w:rsidRPr="00EA38DE">
        <w:rPr>
          <w:rFonts w:ascii="Times New Roman" w:hAnsi="Times New Roman" w:cs="Times New Roman"/>
          <w:sz w:val="24"/>
          <w:szCs w:val="24"/>
        </w:rPr>
        <w:t xml:space="preserve"> </w:t>
      </w:r>
      <w:r w:rsidRPr="00EA38DE">
        <w:rPr>
          <w:rFonts w:ascii="Times New Roman" w:hAnsi="Times New Roman" w:cs="Times New Roman"/>
          <w:sz w:val="24"/>
          <w:szCs w:val="24"/>
        </w:rPr>
        <w:t>provides evidence-based insights to guide shipping policies in Nigeria, helping policymakers and agencies like</w:t>
      </w:r>
      <w:r w:rsidR="00862F3E" w:rsidRPr="00EA38DE">
        <w:rPr>
          <w:rFonts w:ascii="Times New Roman" w:hAnsi="Times New Roman" w:cs="Times New Roman"/>
          <w:sz w:val="24"/>
          <w:szCs w:val="24"/>
        </w:rPr>
        <w:t xml:space="preserve"> the</w:t>
      </w:r>
      <w:r w:rsidRPr="00EA38DE">
        <w:rPr>
          <w:rFonts w:ascii="Times New Roman" w:hAnsi="Times New Roman" w:cs="Times New Roman"/>
          <w:sz w:val="24"/>
          <w:szCs w:val="24"/>
        </w:rPr>
        <w:t xml:space="preserve"> Nigeria Maritime Administration and Safety Agency (NIMASA), Nigeria Port Authority (NPA), and the Federal Ministry of Marine and Blue Economy manage exchange rate volatilities, enhance financial resilience, and leverage blue economy sectors such as fisheries, aquaculture, maritime tourism, and offshore resources to boost trade, sustainability, and the shipping industry’s contribution to </w:t>
      </w:r>
      <w:r w:rsidR="00025B8D" w:rsidRPr="00EA38DE">
        <w:rPr>
          <w:rFonts w:ascii="Times New Roman" w:hAnsi="Times New Roman" w:cs="Times New Roman"/>
          <w:sz w:val="24"/>
          <w:szCs w:val="24"/>
        </w:rPr>
        <w:t>gross domestic product (GDP)</w:t>
      </w:r>
      <w:r w:rsidRPr="00EA38DE">
        <w:t>.</w:t>
      </w:r>
    </w:p>
    <w:p w14:paraId="436FE947" w14:textId="74E5D0EC" w:rsidR="00CB10A8" w:rsidRPr="00EA38DE" w:rsidRDefault="00CB10A8" w:rsidP="00CB10A8">
      <w:pPr>
        <w:spacing w:after="120" w:line="480" w:lineRule="auto"/>
        <w:jc w:val="both"/>
        <w:rPr>
          <w:rFonts w:ascii="Times New Roman" w:hAnsi="Times New Roman" w:cs="Times New Roman"/>
          <w:sz w:val="24"/>
          <w:szCs w:val="24"/>
        </w:rPr>
      </w:pPr>
      <w:r w:rsidRPr="00EA38DE">
        <w:rPr>
          <w:rFonts w:ascii="Times New Roman" w:hAnsi="Times New Roman" w:cs="Times New Roman"/>
          <w:b/>
          <w:bCs/>
          <w:sz w:val="24"/>
          <w:szCs w:val="24"/>
        </w:rPr>
        <w:t xml:space="preserve">Shipping Industry: </w:t>
      </w:r>
      <w:r w:rsidRPr="00EA38DE">
        <w:rPr>
          <w:rFonts w:ascii="Times New Roman" w:hAnsi="Times New Roman" w:cs="Times New Roman"/>
          <w:sz w:val="24"/>
          <w:szCs w:val="24"/>
        </w:rPr>
        <w:t>By examining the relationship between exchange rate volatilities, blue economy development, and the financial performance of the shipping industry, this study provides critical insights that can help the industry better understand and respond to macroeconomic pressures. The findings will support strategic planning, risk management, and investment decisions, ultimately contributing to improved operational resilience, profitability, and long-term sustainability of Nigeria’s shipping sector.</w:t>
      </w:r>
    </w:p>
    <w:p w14:paraId="12A13C4A" w14:textId="77777777" w:rsidR="00B678BD" w:rsidRPr="00EA38DE" w:rsidRDefault="003460F4" w:rsidP="00B678BD">
      <w:pPr>
        <w:spacing w:after="120" w:line="480" w:lineRule="auto"/>
        <w:jc w:val="both"/>
        <w:rPr>
          <w:rFonts w:ascii="Times New Roman" w:eastAsia="Calibri" w:hAnsi="Times New Roman" w:cs="Times New Roman"/>
          <w:b/>
          <w:sz w:val="24"/>
          <w:szCs w:val="24"/>
        </w:rPr>
      </w:pPr>
      <w:r w:rsidRPr="00EA38DE">
        <w:rPr>
          <w:rFonts w:ascii="Times New Roman" w:eastAsia="Calibri" w:hAnsi="Times New Roman" w:cs="Times New Roman"/>
          <w:b/>
          <w:sz w:val="24"/>
          <w:szCs w:val="24"/>
        </w:rPr>
        <w:t>1.8</w:t>
      </w:r>
      <w:r w:rsidR="003833D8" w:rsidRPr="00EA38DE">
        <w:rPr>
          <w:rFonts w:ascii="Times New Roman" w:eastAsia="Calibri" w:hAnsi="Times New Roman" w:cs="Times New Roman"/>
          <w:b/>
          <w:sz w:val="24"/>
          <w:szCs w:val="24"/>
        </w:rPr>
        <w:tab/>
      </w:r>
      <w:r w:rsidR="00B678BD" w:rsidRPr="00EA38DE">
        <w:rPr>
          <w:rFonts w:ascii="Times New Roman" w:eastAsia="Calibri" w:hAnsi="Times New Roman" w:cs="Times New Roman"/>
          <w:b/>
          <w:sz w:val="24"/>
          <w:szCs w:val="24"/>
        </w:rPr>
        <w:t>Limitations of the Study</w:t>
      </w:r>
    </w:p>
    <w:bookmarkEnd w:id="0"/>
    <w:p w14:paraId="4BBD89D1" w14:textId="77777777" w:rsidR="009213A2" w:rsidRPr="00EA38DE" w:rsidRDefault="009213A2" w:rsidP="00EA38DE">
      <w:pPr>
        <w:pStyle w:val="NormalWeb"/>
        <w:spacing w:before="0" w:beforeAutospacing="0" w:after="240" w:afterAutospacing="0" w:line="480" w:lineRule="auto"/>
        <w:jc w:val="both"/>
      </w:pPr>
      <w:r w:rsidRPr="00EA38DE">
        <w:t xml:space="preserve">The first limitation of this study relates to the reliability and consistency of data. The study relies predominantly on secondary time-series data, which may be subject to measurement errors, revisions, definitional inconsistencies, and reporting lags arising from the original data-generating institutions. Such shortcomings in the values of the variables could potentially affect the accuracy and stability of the estimated parameters and, by extension, the validity of the study’s conclusions. To mitigate this limitation, the study relies exclusively on data sourced from the World Bank databases and the Central Bank of Nigeria (CBN) Statistical Bulletin, which are widely recognized </w:t>
      </w:r>
      <w:r w:rsidRPr="00EA38DE">
        <w:lastRenderedPageBreak/>
        <w:t>for their methodological rigor, standardized data compilation procedures, and international credibility. The use of these authoritative sources minimizes data inconsistencies and enhances the overall reliability and comparability of the dataset.</w:t>
      </w:r>
    </w:p>
    <w:p w14:paraId="415CEB12" w14:textId="0321A929" w:rsidR="009213A2" w:rsidRPr="00EA38DE" w:rsidRDefault="009213A2" w:rsidP="00EA38DE">
      <w:pPr>
        <w:pStyle w:val="NormalWeb"/>
        <w:spacing w:before="0" w:beforeAutospacing="0" w:after="240" w:afterAutospacing="0" w:line="480" w:lineRule="auto"/>
        <w:jc w:val="both"/>
      </w:pPr>
      <w:r w:rsidRPr="00EA38DE">
        <w:t>While</w:t>
      </w:r>
      <w:r w:rsidR="00767895" w:rsidRPr="00EA38DE">
        <w:t>,</w:t>
      </w:r>
      <w:r w:rsidRPr="00EA38DE">
        <w:t xml:space="preserve"> time-series econometric analysis offers valuable insights into both short-run and long-run dynamics, it also presents inherent methodological challenges, particularly in the context of developing economies characterized by macroeconomic volatility, policy regime shifts, and structural changes. To address these challenges, this study adopts the Autoregressive Distributed Lag (ARDL) modeling framework as the primary analytical tool. The ARDL approach is particularly advantageous because of its flexibility in accommodating regressors integrated of different orders specifically I(0) and I(1) and its ability to estimate short-run and long-run relationships within a single-equation framework. Moreover, the ARDL bounds testing procedure is well suited for small sample sizes, a common limitation in macroeconomic studies involving developing countries such as Nigeria.</w:t>
      </w:r>
    </w:p>
    <w:p w14:paraId="24B2EAB5" w14:textId="77777777" w:rsidR="009213A2" w:rsidRPr="00EA38DE" w:rsidRDefault="009213A2" w:rsidP="00EA38DE">
      <w:pPr>
        <w:pStyle w:val="NormalWeb"/>
        <w:spacing w:before="0" w:beforeAutospacing="0" w:after="240" w:afterAutospacing="0" w:line="480" w:lineRule="auto"/>
        <w:jc w:val="both"/>
      </w:pPr>
      <w:r w:rsidRPr="00EA38DE">
        <w:t>Despite these strengths, the ARDL model is not without methodological weaknesses. One key limitation is its sensitivity to lag length selection, as inappropriate lag choices may lead to over-parameterization, loss of degrees of freedom, or biased coefficient estimates. In addition, the ARDL framework cannot accommodate variables integrated of order two, I(2), and its estimates may be unstable in the presence of structural breaks arising from major policy reforms, economic crises, or external shocks. Furthermore, because ARDL is a single-equation model, it may not fully capture potential endogeneity and feedback effects among variables, particularly in complex macroeconomic systems.</w:t>
      </w:r>
    </w:p>
    <w:p w14:paraId="5FFB4004" w14:textId="3557FA59" w:rsidR="009213A2" w:rsidRPr="00EA38DE" w:rsidRDefault="009213A2" w:rsidP="00EA38DE">
      <w:pPr>
        <w:pStyle w:val="NormalWeb"/>
        <w:spacing w:before="0" w:beforeAutospacing="0" w:after="240" w:afterAutospacing="0" w:line="480" w:lineRule="auto"/>
        <w:jc w:val="both"/>
      </w:pPr>
      <w:r w:rsidRPr="00EA38DE">
        <w:lastRenderedPageBreak/>
        <w:t>To minimize these limitations and ensure appropriate model specification, the study incorporates a comprehensive set of preliminary and post-estimation diagnostic procedures. First, unit root testing is conducted as a critical pre-estimation step using the Augmented Dickey-Fuller (ADF), Phillips-Perron (PP), and Kwiatkowski-Phillips-Schmidt-Shin (KPSS) tests. The combined use of these tests each with different underlying assumptions regarding serial correlation and stationarity enhances the robustness of the stationarity assessment and ensures that none of the variables are integrated of order two or higher, a necessary condition for the valid application of the ARDL model. This approach significantly reduces the risk of spurious regression and strengthens the credibility of the estimated long-run relationships.</w:t>
      </w:r>
      <w:r w:rsidR="00D80F28">
        <w:t xml:space="preserve"> </w:t>
      </w:r>
      <w:r w:rsidRPr="00EA38DE">
        <w:t>Additionally, optimal lag lengths are selected using established information criteria such as the Akaike Information Criterion (AIC) and the Schwarz Bayesian Criterion (SBC), thereby reducing the risk of model misspecification associated with arbitrary lag selection. Where possible, structural stability is further examined using post-estimation stability tests such as the CUSUM and CUSUM of Squares tests, which help detect parameter instability over time and mitigate the potential impact of structural breaks on the estimated results.</w:t>
      </w:r>
    </w:p>
    <w:p w14:paraId="44D3CAAB" w14:textId="77777777" w:rsidR="009213A2" w:rsidRPr="00EA38DE" w:rsidRDefault="009213A2" w:rsidP="00EA38DE">
      <w:pPr>
        <w:pStyle w:val="NormalWeb"/>
        <w:spacing w:before="0" w:beforeAutospacing="0" w:after="240" w:afterAutospacing="0" w:line="480" w:lineRule="auto"/>
        <w:jc w:val="both"/>
      </w:pPr>
      <w:r w:rsidRPr="00EA38DE">
        <w:t>Furthermore, the regression models are subjected to a series of diagnostic tests to ensure overall model adequacy and robustness. These include heteroskedasticity tests to examine the constancy of the error variance, Variance Inflation Factor (VIF) tests to detect multicollinearity among explanatory variables, and the Ramsey RESET test to identify functional form misspecification or omitted variable bias. Where violations are detected, appropriate corrective measures such as the use of robust standard errors or model respecification are applied to improve the reliability of the estimates.</w:t>
      </w:r>
    </w:p>
    <w:p w14:paraId="0C12ED92" w14:textId="77777777" w:rsidR="009213A2" w:rsidRPr="00EA38DE" w:rsidRDefault="009213A2" w:rsidP="00EA38DE">
      <w:pPr>
        <w:pStyle w:val="NormalWeb"/>
        <w:spacing w:before="0" w:beforeAutospacing="0" w:after="240" w:afterAutospacing="0" w:line="480" w:lineRule="auto"/>
        <w:jc w:val="both"/>
      </w:pPr>
      <w:r w:rsidRPr="00EA38DE">
        <w:lastRenderedPageBreak/>
        <w:t>Taken together, these methodological safeguards significantly reduce the inherent weaknesses associated with time-series modeling and the ARDL framework. By combining rigorous data selection, comprehensive pre-estimation diagnostics, careful model specification, and extensive post-estimation testing, the study ensures that its empirical findings are methodologically sound, internally consistent, and suitable for informing policy-relevant conclusions within the Nigerian macroeconomic context.</w:t>
      </w:r>
    </w:p>
    <w:p w14:paraId="4D30BFA6" w14:textId="77777777" w:rsidR="009213A2" w:rsidRPr="00EA38DE" w:rsidRDefault="009213A2" w:rsidP="00EA38DE">
      <w:pPr>
        <w:spacing w:after="240" w:line="480" w:lineRule="auto"/>
        <w:jc w:val="both"/>
      </w:pPr>
    </w:p>
    <w:p w14:paraId="776FF3D4" w14:textId="46DB396E" w:rsidR="009213A2" w:rsidRPr="00EA38DE" w:rsidRDefault="009213A2" w:rsidP="009213A2">
      <w:pPr>
        <w:spacing w:after="120" w:line="480" w:lineRule="auto"/>
        <w:rPr>
          <w:rFonts w:ascii="Times New Roman" w:hAnsi="Times New Roman" w:cs="Times New Roman"/>
          <w:b/>
          <w:sz w:val="24"/>
          <w:szCs w:val="24"/>
        </w:rPr>
      </w:pPr>
    </w:p>
    <w:p w14:paraId="63371942" w14:textId="53D0F32F" w:rsidR="009213A2" w:rsidRPr="00EA38DE" w:rsidRDefault="009213A2" w:rsidP="009213A2">
      <w:pPr>
        <w:spacing w:after="120" w:line="480" w:lineRule="auto"/>
        <w:rPr>
          <w:rFonts w:ascii="Times New Roman" w:hAnsi="Times New Roman" w:cs="Times New Roman"/>
          <w:b/>
          <w:sz w:val="24"/>
          <w:szCs w:val="24"/>
        </w:rPr>
      </w:pPr>
    </w:p>
    <w:p w14:paraId="120E35BB" w14:textId="463010BD" w:rsidR="009213A2" w:rsidRPr="00EA38DE" w:rsidRDefault="009213A2" w:rsidP="009213A2">
      <w:pPr>
        <w:spacing w:after="120" w:line="480" w:lineRule="auto"/>
        <w:rPr>
          <w:rFonts w:ascii="Times New Roman" w:hAnsi="Times New Roman" w:cs="Times New Roman"/>
          <w:b/>
          <w:sz w:val="24"/>
          <w:szCs w:val="24"/>
        </w:rPr>
      </w:pPr>
    </w:p>
    <w:p w14:paraId="3CFEF947" w14:textId="1CADF1BC" w:rsidR="009213A2" w:rsidRPr="00EA38DE" w:rsidRDefault="009213A2" w:rsidP="009213A2">
      <w:pPr>
        <w:spacing w:after="120" w:line="480" w:lineRule="auto"/>
        <w:rPr>
          <w:rFonts w:ascii="Times New Roman" w:hAnsi="Times New Roman" w:cs="Times New Roman"/>
          <w:b/>
          <w:sz w:val="24"/>
          <w:szCs w:val="24"/>
        </w:rPr>
      </w:pPr>
    </w:p>
    <w:p w14:paraId="581F8413" w14:textId="4C1AB161" w:rsidR="009213A2" w:rsidRPr="00EA38DE" w:rsidRDefault="009213A2" w:rsidP="009213A2">
      <w:pPr>
        <w:spacing w:after="120" w:line="480" w:lineRule="auto"/>
        <w:rPr>
          <w:rFonts w:ascii="Times New Roman" w:hAnsi="Times New Roman" w:cs="Times New Roman"/>
          <w:b/>
          <w:sz w:val="24"/>
          <w:szCs w:val="24"/>
        </w:rPr>
      </w:pPr>
    </w:p>
    <w:p w14:paraId="3713C655" w14:textId="0CAC7A88" w:rsidR="009213A2" w:rsidRPr="00EA38DE" w:rsidRDefault="009213A2" w:rsidP="009213A2">
      <w:pPr>
        <w:spacing w:after="120" w:line="480" w:lineRule="auto"/>
        <w:rPr>
          <w:rFonts w:ascii="Times New Roman" w:hAnsi="Times New Roman" w:cs="Times New Roman"/>
          <w:b/>
          <w:sz w:val="24"/>
          <w:szCs w:val="24"/>
        </w:rPr>
      </w:pPr>
    </w:p>
    <w:p w14:paraId="4FE56A1A" w14:textId="2F245837" w:rsidR="009213A2" w:rsidRPr="00EA38DE" w:rsidRDefault="009213A2" w:rsidP="009213A2">
      <w:pPr>
        <w:spacing w:after="120" w:line="480" w:lineRule="auto"/>
        <w:rPr>
          <w:rFonts w:ascii="Times New Roman" w:hAnsi="Times New Roman" w:cs="Times New Roman"/>
          <w:b/>
          <w:sz w:val="24"/>
          <w:szCs w:val="24"/>
        </w:rPr>
      </w:pPr>
    </w:p>
    <w:p w14:paraId="2058F79F" w14:textId="102046BD" w:rsidR="009213A2" w:rsidRPr="00EA38DE" w:rsidRDefault="009213A2" w:rsidP="009213A2">
      <w:pPr>
        <w:spacing w:after="120" w:line="480" w:lineRule="auto"/>
        <w:rPr>
          <w:rFonts w:ascii="Times New Roman" w:hAnsi="Times New Roman" w:cs="Times New Roman"/>
          <w:b/>
          <w:sz w:val="24"/>
          <w:szCs w:val="24"/>
        </w:rPr>
      </w:pPr>
    </w:p>
    <w:p w14:paraId="41466813" w14:textId="45136935" w:rsidR="009213A2" w:rsidRPr="00EA38DE" w:rsidRDefault="009213A2" w:rsidP="009213A2">
      <w:pPr>
        <w:spacing w:after="120" w:line="480" w:lineRule="auto"/>
        <w:rPr>
          <w:rFonts w:ascii="Times New Roman" w:hAnsi="Times New Roman" w:cs="Times New Roman"/>
          <w:b/>
          <w:sz w:val="24"/>
          <w:szCs w:val="24"/>
        </w:rPr>
      </w:pPr>
    </w:p>
    <w:p w14:paraId="14B7FAF6" w14:textId="712367A3" w:rsidR="009213A2" w:rsidRPr="00EA38DE" w:rsidRDefault="009213A2" w:rsidP="009213A2">
      <w:pPr>
        <w:spacing w:after="120" w:line="480" w:lineRule="auto"/>
        <w:rPr>
          <w:rFonts w:ascii="Times New Roman" w:hAnsi="Times New Roman" w:cs="Times New Roman"/>
          <w:b/>
          <w:sz w:val="24"/>
          <w:szCs w:val="24"/>
        </w:rPr>
      </w:pPr>
    </w:p>
    <w:p w14:paraId="764BC1DC" w14:textId="5359199E" w:rsidR="009213A2" w:rsidRPr="00EA38DE" w:rsidRDefault="009213A2" w:rsidP="009213A2">
      <w:pPr>
        <w:spacing w:after="120" w:line="480" w:lineRule="auto"/>
        <w:rPr>
          <w:rFonts w:ascii="Times New Roman" w:hAnsi="Times New Roman" w:cs="Times New Roman"/>
          <w:b/>
          <w:sz w:val="24"/>
          <w:szCs w:val="24"/>
        </w:rPr>
      </w:pPr>
    </w:p>
    <w:p w14:paraId="1C38B69D" w14:textId="77777777" w:rsidR="009213A2" w:rsidRPr="00EA38DE" w:rsidRDefault="009213A2" w:rsidP="009213A2">
      <w:pPr>
        <w:spacing w:after="120" w:line="480" w:lineRule="auto"/>
        <w:rPr>
          <w:rFonts w:ascii="Times New Roman" w:hAnsi="Times New Roman" w:cs="Times New Roman"/>
          <w:b/>
          <w:sz w:val="24"/>
          <w:szCs w:val="24"/>
        </w:rPr>
      </w:pPr>
    </w:p>
    <w:p w14:paraId="58962117" w14:textId="77777777" w:rsidR="009213A2" w:rsidRPr="00EA38DE" w:rsidRDefault="009213A2" w:rsidP="00600A54">
      <w:pPr>
        <w:spacing w:after="120" w:line="480" w:lineRule="auto"/>
        <w:jc w:val="center"/>
        <w:rPr>
          <w:rFonts w:ascii="Times New Roman" w:hAnsi="Times New Roman" w:cs="Times New Roman"/>
          <w:b/>
          <w:sz w:val="24"/>
          <w:szCs w:val="24"/>
        </w:rPr>
      </w:pPr>
    </w:p>
    <w:p w14:paraId="33797929" w14:textId="1CEA0387" w:rsidR="00B678BD" w:rsidRPr="00EA38DE" w:rsidRDefault="003460F4" w:rsidP="00600A54">
      <w:pPr>
        <w:spacing w:after="120" w:line="480" w:lineRule="auto"/>
        <w:jc w:val="center"/>
        <w:rPr>
          <w:rFonts w:ascii="Times New Roman" w:eastAsia="Calibri" w:hAnsi="Times New Roman" w:cs="Times New Roman"/>
          <w:b/>
          <w:sz w:val="24"/>
          <w:szCs w:val="24"/>
        </w:rPr>
      </w:pPr>
      <w:r w:rsidRPr="00EA38DE">
        <w:rPr>
          <w:rFonts w:ascii="Times New Roman" w:hAnsi="Times New Roman" w:cs="Times New Roman"/>
          <w:b/>
          <w:sz w:val="24"/>
          <w:szCs w:val="24"/>
        </w:rPr>
        <w:lastRenderedPageBreak/>
        <w:t>CHAPTER TWO</w:t>
      </w:r>
    </w:p>
    <w:p w14:paraId="40CD2F16" w14:textId="499D52AC" w:rsidR="003460F4" w:rsidRPr="00EA38DE" w:rsidRDefault="003460F4" w:rsidP="00B678BD">
      <w:pPr>
        <w:spacing w:after="120" w:line="480" w:lineRule="auto"/>
        <w:jc w:val="center"/>
        <w:rPr>
          <w:rFonts w:ascii="Times New Roman" w:hAnsi="Times New Roman" w:cs="Times New Roman"/>
          <w:b/>
          <w:sz w:val="24"/>
          <w:szCs w:val="24"/>
        </w:rPr>
      </w:pPr>
      <w:r w:rsidRPr="00EA38DE">
        <w:rPr>
          <w:rFonts w:ascii="Times New Roman" w:hAnsi="Times New Roman" w:cs="Times New Roman"/>
          <w:b/>
          <w:sz w:val="24"/>
          <w:szCs w:val="24"/>
        </w:rPr>
        <w:t>LITERATURE REVIEW</w:t>
      </w:r>
    </w:p>
    <w:p w14:paraId="1B2E06DD" w14:textId="7651F0AB" w:rsidR="009338C0" w:rsidRPr="00EA38DE" w:rsidRDefault="003460F4" w:rsidP="00FE6490">
      <w:pPr>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2.0</w:t>
      </w:r>
      <w:r w:rsidR="003F4BB0" w:rsidRPr="00EA38DE">
        <w:rPr>
          <w:rFonts w:ascii="Times New Roman" w:hAnsi="Times New Roman" w:cs="Times New Roman"/>
          <w:b/>
          <w:sz w:val="24"/>
          <w:szCs w:val="24"/>
        </w:rPr>
        <w:tab/>
      </w:r>
      <w:r w:rsidR="00CA6CAC" w:rsidRPr="00EA38DE">
        <w:rPr>
          <w:rFonts w:ascii="Times New Roman" w:hAnsi="Times New Roman" w:cs="Times New Roman"/>
          <w:b/>
          <w:sz w:val="24"/>
          <w:szCs w:val="24"/>
        </w:rPr>
        <w:t>Introduction</w:t>
      </w:r>
    </w:p>
    <w:p w14:paraId="41836A00" w14:textId="2E3000CD" w:rsidR="003460F4" w:rsidRPr="00EA38DE" w:rsidRDefault="003460F4" w:rsidP="00FE6490">
      <w:pPr>
        <w:spacing w:after="120" w:line="480" w:lineRule="auto"/>
        <w:jc w:val="both"/>
        <w:rPr>
          <w:rFonts w:ascii="Times New Roman" w:hAnsi="Times New Roman" w:cs="Times New Roman"/>
          <w:b/>
          <w:sz w:val="24"/>
          <w:szCs w:val="24"/>
        </w:rPr>
      </w:pPr>
      <w:r w:rsidRPr="00EA38DE">
        <w:rPr>
          <w:rFonts w:ascii="Times New Roman" w:hAnsi="Times New Roman" w:cs="Times New Roman"/>
          <w:bCs/>
          <w:sz w:val="24"/>
          <w:szCs w:val="24"/>
        </w:rPr>
        <w:t xml:space="preserve">This chapter focuses on various concepts relevant to the study, previous work in the subject area, indicators, findings and techniques utilized in previous studies. Attempts are also made to consider the theoretical foundation of the study. Area covered include exchange rate volatility, components of blue economy as well as the various aspects and metrics for shipping industry financial performance within and outside Nigeria. The review is done in the order conceptual, theoretical, empirical literature; including the gaps in the extant </w:t>
      </w:r>
      <w:r w:rsidR="00DD3ABB" w:rsidRPr="00EA38DE">
        <w:rPr>
          <w:rFonts w:ascii="Times New Roman" w:hAnsi="Times New Roman" w:cs="Times New Roman"/>
          <w:bCs/>
          <w:sz w:val="24"/>
          <w:szCs w:val="24"/>
        </w:rPr>
        <w:t>literature.</w:t>
      </w:r>
    </w:p>
    <w:p w14:paraId="31F3F5AB" w14:textId="77777777" w:rsidR="004A41BF" w:rsidRPr="00EA38DE" w:rsidRDefault="004A41BF" w:rsidP="00FE6490">
      <w:pPr>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2.1</w:t>
      </w:r>
      <w:r w:rsidRPr="00EA38DE">
        <w:rPr>
          <w:rFonts w:ascii="Times New Roman" w:hAnsi="Times New Roman" w:cs="Times New Roman"/>
          <w:b/>
          <w:sz w:val="24"/>
          <w:szCs w:val="24"/>
        </w:rPr>
        <w:tab/>
        <w:t>Conceptual Review</w:t>
      </w:r>
      <w:r w:rsidRPr="00EA38DE">
        <w:rPr>
          <w:rFonts w:ascii="Times New Roman" w:hAnsi="Times New Roman" w:cs="Times New Roman"/>
          <w:b/>
          <w:sz w:val="24"/>
          <w:szCs w:val="24"/>
        </w:rPr>
        <w:tab/>
      </w:r>
    </w:p>
    <w:p w14:paraId="7724683A" w14:textId="77777777" w:rsidR="004A41BF" w:rsidRPr="00EA38DE" w:rsidRDefault="004A41BF" w:rsidP="00FE6490">
      <w:pPr>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2.1.1</w:t>
      </w:r>
      <w:r w:rsidRPr="00EA38DE">
        <w:rPr>
          <w:rFonts w:ascii="Times New Roman" w:hAnsi="Times New Roman" w:cs="Times New Roman"/>
          <w:b/>
          <w:sz w:val="24"/>
          <w:szCs w:val="24"/>
        </w:rPr>
        <w:tab/>
        <w:t>Financial Performance of Shipping Industry</w:t>
      </w:r>
    </w:p>
    <w:p w14:paraId="4ABF615F"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bookmarkStart w:id="2" w:name="_Hlk198172352"/>
      <w:r w:rsidRPr="00EA38DE">
        <w:rPr>
          <w:rFonts w:ascii="Times New Roman" w:eastAsia="Times New Roman" w:hAnsi="Times New Roman" w:cs="Times New Roman"/>
          <w:sz w:val="24"/>
          <w:szCs w:val="24"/>
        </w:rPr>
        <w:t>Financial performance of the shipping industry refers to the ability of maritime firms to generate sufficient revenue, control operational costs, and maintain profitability over a sustained period. In the context of Nigeria, financial performance in the shipping sector is particularly critical due to the industry's structural dependence on imported inputs and services, most of which are priced in foreign currencies. Nigerian shipping firms incur significant foreign-denominated expenses in areas such as vessel acquisition, maintenance, bunker fuel procurement, marine insurance, and port handling charges. As a result, the volatility of the naira against major currencies especially the U.S. dollar has direct implications for cost structures and profitability (Olaniyi, 2021). For instance, a depreciation of the naira increases the local currency cost of foreign obligations, putting pressure on cash flow and limiting the capacity for reinvestment.</w:t>
      </w:r>
      <w:bookmarkEnd w:id="2"/>
    </w:p>
    <w:p w14:paraId="2B074D5C" w14:textId="5A208A11"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lastRenderedPageBreak/>
        <w:t>The financial performance of the shipping industry is the ability of firms operating within the maritime sector to generate income, manage expenses, fulfill debt obligations, invest sustainably, and provide returns to stakeholders. It reflects the industry’s health, viability, and responsiveness to macroeconomic variables</w:t>
      </w:r>
      <w:r w:rsidR="00F011E4" w:rsidRPr="00EA38DE">
        <w:rPr>
          <w:rFonts w:ascii="Times New Roman" w:hAnsi="Times New Roman" w:cs="Times New Roman"/>
          <w:sz w:val="24"/>
          <w:szCs w:val="24"/>
        </w:rPr>
        <w:t>,</w:t>
      </w:r>
      <w:r w:rsidRPr="00EA38DE">
        <w:rPr>
          <w:rFonts w:ascii="Times New Roman" w:hAnsi="Times New Roman" w:cs="Times New Roman"/>
          <w:sz w:val="24"/>
          <w:szCs w:val="24"/>
        </w:rPr>
        <w:t xml:space="preserve"> such as exchange rates, inflation, and international trade flows (Stopford, 2009). In developing economies such as Nigeria, shipping industry performance is especially critical given the country’s reliance on seaborne trade, which accounts for over 90% of its import and export volume</w:t>
      </w:r>
      <w:r w:rsidR="00DF2F17" w:rsidRPr="00EA38DE">
        <w:rPr>
          <w:rFonts w:ascii="Times New Roman" w:hAnsi="Times New Roman" w:cs="Times New Roman"/>
          <w:sz w:val="24"/>
          <w:szCs w:val="24"/>
        </w:rPr>
        <w:t>,</w:t>
      </w:r>
      <w:r w:rsidRPr="00EA38DE">
        <w:rPr>
          <w:rFonts w:ascii="Times New Roman" w:hAnsi="Times New Roman" w:cs="Times New Roman"/>
          <w:sz w:val="24"/>
          <w:szCs w:val="24"/>
        </w:rPr>
        <w:t xml:space="preserve"> (UNCTAD, 2023).</w:t>
      </w:r>
    </w:p>
    <w:p w14:paraId="522F7FB6" w14:textId="77777777" w:rsidR="004A41BF" w:rsidRPr="00EA38DE" w:rsidRDefault="004A41BF" w:rsidP="00025B8D">
      <w:p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The financial performance of the shipping industry is a critical metric that reflects how well maritime transport firms manage their resources to achieve profitability, growth, and sustainability. In the context of a developing economy like Nigeria, this performance is influenced by multiple macroeconomic and sector-specific factors such as exchange rate volatility, port infrastructure, global freight trends, and regulatory frameworks (Stopford, 2009; Ezeaku et al., 2020).</w:t>
      </w:r>
    </w:p>
    <w:p w14:paraId="0343594A" w14:textId="443EBBE7" w:rsidR="004A41BF" w:rsidRPr="00EA38DE" w:rsidRDefault="004A41BF" w:rsidP="007C461D">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How</w:t>
      </w:r>
      <w:r w:rsidR="00F011E4" w:rsidRPr="00EA38DE">
        <w:rPr>
          <w:rFonts w:ascii="Times New Roman" w:eastAsia="Times New Roman" w:hAnsi="Times New Roman" w:cs="Times New Roman"/>
          <w:sz w:val="24"/>
          <w:szCs w:val="24"/>
        </w:rPr>
        <w:t>ever</w:t>
      </w:r>
      <w:r w:rsidRPr="00EA38DE">
        <w:rPr>
          <w:rFonts w:ascii="Times New Roman" w:eastAsia="Times New Roman" w:hAnsi="Times New Roman" w:cs="Times New Roman"/>
          <w:sz w:val="24"/>
          <w:szCs w:val="24"/>
        </w:rPr>
        <w:t>, the financial performance of Nigerian shipping companies is heavily influenced by exchange rate volatility. Naira depreciation increases the cost of foreign-denominated transactions, raises customs duties, and fuels inflation, thereby escalating operational expenses. These factors reduce profit margins, limit financial flexibility, and hinder long-term investment in maritime assets and infrastructure (Okonkwo &amp; Ifediora, 2020). Conversely, favorable currency conditions may reduce costs but might also dampen export competitiveness. These dynamics directly affect revenue generation, operational efficiency, and overall financial sustainability.</w:t>
      </w:r>
    </w:p>
    <w:p w14:paraId="0ABCBA83" w14:textId="75CE70BD" w:rsidR="004F04BD" w:rsidRPr="00EA38DE" w:rsidRDefault="004A41BF" w:rsidP="007C461D">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financial performance of Nigeria’s shipping industry encompasses not only profitability but also its resilience to external shocks, particularly foreign exchange volatility. </w:t>
      </w:r>
      <w:r w:rsidR="00F47084" w:rsidRPr="00EA38DE">
        <w:rPr>
          <w:rFonts w:ascii="Times New Roman" w:hAnsi="Times New Roman" w:cs="Times New Roman"/>
          <w:sz w:val="24"/>
          <w:szCs w:val="24"/>
        </w:rPr>
        <w:t xml:space="preserve">Volatility </w:t>
      </w:r>
      <w:r w:rsidRPr="00EA38DE">
        <w:rPr>
          <w:rFonts w:ascii="Times New Roman" w:hAnsi="Times New Roman" w:cs="Times New Roman"/>
          <w:sz w:val="24"/>
          <w:szCs w:val="24"/>
        </w:rPr>
        <w:t xml:space="preserve">in the naira increase the cost of importing ships and maritime equipment, undermining the sector’s stability </w:t>
      </w:r>
      <w:r w:rsidRPr="00EA38DE">
        <w:rPr>
          <w:rFonts w:ascii="Times New Roman" w:hAnsi="Times New Roman" w:cs="Times New Roman"/>
          <w:sz w:val="24"/>
          <w:szCs w:val="24"/>
        </w:rPr>
        <w:lastRenderedPageBreak/>
        <w:t>and growth potential (Eze &amp; Uchenna, 2021). Aligning with the blue economy framework, which promotes sustainable use of ocean resources for long-term prosperity, the industry must adopt sustainable practices, invest in local shipbuilding, and implement policies to mitigate forex risks (Ayeni, 2023). Key strategies to enhance performance include infrastructure upgrades, revenue diversification, and capacity building, all essential for sustainable maritime development in Nigeria (Central Bank of Nigeria, 2023).</w:t>
      </w:r>
    </w:p>
    <w:p w14:paraId="29D543A9" w14:textId="38C30E21" w:rsidR="004A41BF" w:rsidRPr="00EA38DE" w:rsidRDefault="004F04BD" w:rsidP="00F47084">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Therefore, the concept of financial performance in Nigeria’s shipping industry encompasses not only profitability but also the sector’s ability to withstand external economic shocks, especially those arising from foreign exchange market volatility.</w:t>
      </w:r>
      <w:r w:rsidR="005A34E3" w:rsidRPr="00EA38DE">
        <w:rPr>
          <w:rFonts w:ascii="Times New Roman" w:hAnsi="Times New Roman" w:cs="Times New Roman"/>
          <w:sz w:val="24"/>
          <w:szCs w:val="24"/>
        </w:rPr>
        <w:t xml:space="preserve"> </w:t>
      </w:r>
      <w:r w:rsidR="004A41BF" w:rsidRPr="00EA38DE">
        <w:rPr>
          <w:rFonts w:ascii="Times New Roman" w:eastAsia="Times New Roman" w:hAnsi="Times New Roman" w:cs="Times New Roman"/>
          <w:sz w:val="24"/>
          <w:szCs w:val="24"/>
        </w:rPr>
        <w:t>This perspective is essential in aligning maritime operations with the goals of the blue economy, which aims to ensure that ocean-based industries contribute to long-term economic prosperity without compromising sustainability.</w:t>
      </w:r>
    </w:p>
    <w:p w14:paraId="759165CF" w14:textId="77777777" w:rsidR="004A41BF" w:rsidRPr="00EA38DE" w:rsidRDefault="004A41BF" w:rsidP="00FE6490">
      <w:pPr>
        <w:spacing w:after="120" w:line="480" w:lineRule="auto"/>
        <w:jc w:val="both"/>
        <w:outlineLvl w:val="2"/>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2.1.2</w:t>
      </w:r>
      <w:r w:rsidRPr="00EA38DE">
        <w:rPr>
          <w:rFonts w:ascii="Times New Roman" w:eastAsia="Times New Roman" w:hAnsi="Times New Roman" w:cs="Times New Roman"/>
          <w:b/>
          <w:bCs/>
          <w:sz w:val="24"/>
          <w:szCs w:val="24"/>
        </w:rPr>
        <w:tab/>
        <w:t>Indicators of Financial Performance of Shipping Industry</w:t>
      </w:r>
    </w:p>
    <w:p w14:paraId="65FBB7F9" w14:textId="77777777"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To assess this financial performance, analysts rely on </w:t>
      </w:r>
      <w:r w:rsidRPr="00EA38DE">
        <w:rPr>
          <w:rFonts w:ascii="Times New Roman" w:eastAsia="Times New Roman" w:hAnsi="Times New Roman" w:cs="Times New Roman"/>
          <w:bCs/>
          <w:sz w:val="24"/>
          <w:szCs w:val="24"/>
        </w:rPr>
        <w:t>key financial performance indicators (KPIs)</w:t>
      </w:r>
      <w:r w:rsidRPr="00EA38DE">
        <w:rPr>
          <w:rFonts w:ascii="Times New Roman" w:eastAsia="Times New Roman" w:hAnsi="Times New Roman" w:cs="Times New Roman"/>
          <w:sz w:val="24"/>
          <w:szCs w:val="24"/>
        </w:rPr>
        <w:t xml:space="preserve"> that reflect the industry’s health, competitiveness, and capacity for growth. These include </w:t>
      </w:r>
      <w:r w:rsidRPr="00EA38DE">
        <w:rPr>
          <w:rFonts w:ascii="Times New Roman" w:eastAsia="Times New Roman" w:hAnsi="Times New Roman" w:cs="Times New Roman"/>
          <w:bCs/>
          <w:sz w:val="24"/>
          <w:szCs w:val="24"/>
        </w:rPr>
        <w:t>container throughput Revenue</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bCs/>
          <w:sz w:val="24"/>
          <w:szCs w:val="24"/>
        </w:rPr>
        <w:t>shipping costs</w:t>
      </w:r>
      <w:r w:rsidRPr="00EA38DE">
        <w:rPr>
          <w:rFonts w:ascii="Times New Roman" w:eastAsia="Times New Roman" w:hAnsi="Times New Roman" w:cs="Times New Roman"/>
          <w:sz w:val="24"/>
          <w:szCs w:val="24"/>
        </w:rPr>
        <w:t>, and Port Revenue (Babubudjnauth, 2020; UNCTAD, 2021). These indicators not only measure physical operations but also serve as proxies for financial efficiency. For instance, rising shipping costs could indicate financial strain.</w:t>
      </w:r>
      <w:r w:rsidRPr="00EA38DE">
        <w:rPr>
          <w:rFonts w:ascii="Times New Roman" w:hAnsi="Times New Roman" w:cs="Times New Roman"/>
          <w:sz w:val="24"/>
          <w:szCs w:val="24"/>
        </w:rPr>
        <w:t xml:space="preserve"> </w:t>
      </w:r>
    </w:p>
    <w:p w14:paraId="04CDBC61" w14:textId="77777777" w:rsidR="004A41BF" w:rsidRPr="00EA38DE" w:rsidRDefault="004A41BF" w:rsidP="00FE6490">
      <w:pPr>
        <w:spacing w:after="12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2.1.2.1</w:t>
      </w:r>
      <w:r w:rsidRPr="00EA38DE">
        <w:rPr>
          <w:rFonts w:ascii="Times New Roman" w:hAnsi="Times New Roman" w:cs="Times New Roman"/>
          <w:b/>
          <w:bCs/>
          <w:sz w:val="24"/>
          <w:szCs w:val="24"/>
        </w:rPr>
        <w:tab/>
        <w:t>Container Throughput Revenue</w:t>
      </w:r>
    </w:p>
    <w:p w14:paraId="63C07E72" w14:textId="77777777" w:rsidR="004A41BF" w:rsidRPr="00EA38DE" w:rsidRDefault="004A41BF" w:rsidP="00FE6490">
      <w:pPr>
        <w:spacing w:after="120" w:line="480" w:lineRule="auto"/>
        <w:jc w:val="both"/>
        <w:outlineLvl w:val="2"/>
        <w:rPr>
          <w:rFonts w:ascii="Times New Roman" w:eastAsia="Times New Roman" w:hAnsi="Times New Roman" w:cs="Times New Roman"/>
          <w:b/>
          <w:bCs/>
          <w:sz w:val="24"/>
          <w:szCs w:val="24"/>
        </w:rPr>
      </w:pPr>
      <w:r w:rsidRPr="00EA38DE">
        <w:rPr>
          <w:rFonts w:ascii="Times New Roman" w:eastAsia="Times New Roman" w:hAnsi="Times New Roman" w:cs="Times New Roman"/>
          <w:sz w:val="24"/>
          <w:szCs w:val="24"/>
        </w:rPr>
        <w:t xml:space="preserve">Container throughput revenue refers to the income generated from handling containerized cargo in ports, typically measured in Twenty-foot Equivalent Units (TEUs). This metric serves as a critical indicator of port performance, international trade volume, and the financial viability of shipping and logistics operations (Notteboom &amp; Rodrigue, 2005). As container shipping </w:t>
      </w:r>
      <w:r w:rsidRPr="00EA38DE">
        <w:rPr>
          <w:rFonts w:ascii="Times New Roman" w:eastAsia="Times New Roman" w:hAnsi="Times New Roman" w:cs="Times New Roman"/>
          <w:sz w:val="24"/>
          <w:szCs w:val="24"/>
        </w:rPr>
        <w:lastRenderedPageBreak/>
        <w:t>dominates global trade due to its cost-efficiency and cargo security, throughput revenue becomes a major source of income for port authorities, terminal operators, and maritime service providers.</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In the Nigerian context, container throughput is central to the financial performance of the shipping industry, as the country’s economy relies heavily on seaborne trade. Key ports such as Apapa, Tin Can Island, and Onne handle a significant portion of Nigeria’s imports and exports, making container traffic a barometer of national economic activity. According to the Nigerian Ports Authority (NPA), container traffic in Nigerian ports stood at approximately 1.8 million TEUs in 2021, with Apapa Port accounting for the majority of this throughput (NPA, 2021).</w:t>
      </w:r>
    </w:p>
    <w:p w14:paraId="6ABFD7DE" w14:textId="19B4EEB4"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Exchange rate volatility poses a significant challenge to container throughput revenue. Volatilities in the naira-dollar exchange rate directly affect the volume of imported and exported goods, which in turn impacts container handling volumes. A depreciating naira increases the cost of imports, discouraging import activities and thus reducing the number of inbound containers (Olayiwola &amp; Oloko, 2020). Simultaneously, unstable exchange rates affect the pricing and competitiveness of Nigerian exports, which may reduce outbound container volumes and lower overall port revenue. Moreover, port-related charges, maintenance costs, and capital expenditures often denominated in foreign currency may escalate in periods of exchange rate depreciation. This can reduce profit margins for port operators and shipping firms unless matched by corresponding increases in container handling charges, which might further discourage trade (Obadan,</w:t>
      </w:r>
      <w:r w:rsidR="009F1237"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2006). Container throughput revenue, when managed efficiently and sustainably, can be an enabler of shipping industry development. Investments in port modernization, automation, and environmentally friendly logistics can improve container handling efficiency</w:t>
      </w:r>
      <w:r w:rsidR="005D2128"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while</w:t>
      </w:r>
      <w:r w:rsidR="005D2128"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minimizing carbon footprints (OECD, 2016). Higher container throughput, driven by diversified and sustainable trade, can </w:t>
      </w:r>
      <w:r w:rsidRPr="00EA38DE">
        <w:rPr>
          <w:rFonts w:ascii="Times New Roman" w:eastAsia="Times New Roman" w:hAnsi="Times New Roman" w:cs="Times New Roman"/>
          <w:sz w:val="24"/>
          <w:szCs w:val="24"/>
        </w:rPr>
        <w:lastRenderedPageBreak/>
        <w:t>contribute significantly to port revenue while</w:t>
      </w:r>
      <w:r w:rsidR="005D2128"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aligning with ecological and economic sustainability goals (UNCTAD, 2020).</w:t>
      </w:r>
    </w:p>
    <w:p w14:paraId="5CC95489"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Container throughput revenue is a direct determinant of the financial health of the shipping industry. A steady flow of containers enhances revenue streams from terminal handling, customs clearance, storage fees, and inland transportation services. Higher throughput contributes to economies of scale, improved asset utilization, and more consistent cash flows for maritime businesses (Talley, 2009). Conversely, low throughput due to economic disruptions or infrastructure bottlenecks can result in revenue shortfalls, underutilization of assets, and increased operational costs. Volatilities in cargo volumes impacted terminal operators’ income, observing that ports experienced revenue volatility in periods of macroeconomic instability and declining container throughput (Adewole &amp; Osagie 2020). In Nigeria, recurring issues such as port congestion, dilapidated infrastructure, bureaucratic bottlenecks, and inadequate rail connectivity have constrained the full realization of container throughput revenue potential (Akinyemi, 2016). Addressing these challenges through strategic investments and reforms is essential for improving port performance and strengthening the financial resilience of the shipping sector.</w:t>
      </w:r>
    </w:p>
    <w:p w14:paraId="32BCF366" w14:textId="77777777"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hAnsi="Times New Roman" w:cs="Times New Roman"/>
          <w:b/>
          <w:sz w:val="24"/>
          <w:szCs w:val="24"/>
        </w:rPr>
        <w:t>2.1.2.2</w:t>
      </w:r>
      <w:r w:rsidRPr="00EA38DE">
        <w:rPr>
          <w:rFonts w:ascii="Times New Roman" w:hAnsi="Times New Roman" w:cs="Times New Roman"/>
          <w:b/>
          <w:sz w:val="24"/>
          <w:szCs w:val="24"/>
        </w:rPr>
        <w:tab/>
        <w:t>Port Revenue</w:t>
      </w:r>
    </w:p>
    <w:p w14:paraId="15D24B8D" w14:textId="548169C0"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Port revenue is a critical component of the maritime economy and serves as a direct measure of the financial viability and operational efficiency of port authorities. It includes income generated from port dues, cargo handling charges, berthage, storage fees, ship pilotage, and lease of port infrastructure (World Bank, 2013). In Nigeria, major ports such as Lagos (Apapa </w:t>
      </w:r>
      <w:r w:rsidR="00E529D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Tin Can), Port Harcourt, and Calabar serve as key nodes in the logistics chain, with port revenue forming a vital link between shipping operations and national economic performance.</w:t>
      </w:r>
    </w:p>
    <w:p w14:paraId="3FA91C3E" w14:textId="24DC6B51"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According to </w:t>
      </w:r>
      <w:r w:rsidR="008217C7"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Igbokwe </w:t>
      </w:r>
      <w:r w:rsidR="00B81A6B"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Okorie</w:t>
      </w:r>
      <w:r w:rsidR="008217C7"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 xml:space="preserve">2017), </w:t>
      </w:r>
      <w:r w:rsidR="00291755"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in exchange rates have a significant impact on port revenue. When the naira depreciates against foreign currencies, the cost of import duties and port charges (often denominated in USD) increases, affecting trade volumes. This dynamic can lead to a reduction in port throughput and, by extension, a decline in revenue for port authorities and terminal operators. Similarly</w:t>
      </w:r>
      <w:r w:rsidR="007258A5"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Okeudo </w:t>
      </w:r>
      <w:r w:rsidR="00B81A6B"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Eze </w:t>
      </w:r>
      <w:r w:rsidR="004F0D2A"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2012) note that volatility in currency exchange rates undermines the predictability of port service charges, making it difficult for stakeholders to plan and budget effectively.</w:t>
      </w:r>
    </w:p>
    <w:p w14:paraId="55AD3CF4" w14:textId="65637BD6"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Port revenue also plays an instrumental role in financing maritime infrastructure and supporting blue economy initiatives. For example, Adepoju </w:t>
      </w:r>
      <w:r w:rsidR="00B81A6B"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Olowu </w:t>
      </w:r>
      <w:r w:rsidR="004F0D2A"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2020) argue that sustainable port revenue generation enables investments in eco-friendly port operations, digitalization, and safety compliance all of which are pillars of the blue economy. However, these potentials are often hindered by inefficiencies, such as cargo congestion, long dwell times, corruption, and underutilization of port assets (Olukoju, 2020). In addition to being a key revenue stream for port authorities and concessionaires, port revenue directly influences national economic performance and maritime sector financing. In Nigeria, the Nigerian Ports Authority (NPA) collects port revenues through multiple channels, including terminal leases, cargo handling tariffs, and marine services. These revenues are essential for reinvesting in port infrastructure, digital technology, and environmental sustainability, which are integral to unlocking the full potential of the blue economy (NPA, 2022).</w:t>
      </w:r>
    </w:p>
    <w:p w14:paraId="720852F3" w14:textId="3CB7B079"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However, Nigeria's port revenue generation faces challenges from both internal inefficiencies and external economic volatility. Exchange rate </w:t>
      </w:r>
      <w:r w:rsidR="004F0D2A" w:rsidRPr="00EA38DE">
        <w:rPr>
          <w:rFonts w:ascii="Times New Roman" w:hAnsi="Times New Roman" w:cs="Times New Roman"/>
          <w:sz w:val="24"/>
          <w:szCs w:val="24"/>
        </w:rPr>
        <w:t>volatilitie</w:t>
      </w:r>
      <w:r w:rsidRPr="00EA38DE">
        <w:rPr>
          <w:rFonts w:ascii="Times New Roman" w:hAnsi="Times New Roman" w:cs="Times New Roman"/>
          <w:sz w:val="24"/>
          <w:szCs w:val="24"/>
        </w:rPr>
        <w:t>s, for instance, affect the cost of importing port equipment and maintaining maritime infrastructure (Obadan &amp; Omoruyi, 2021).</w:t>
      </w:r>
      <w:r w:rsidRPr="00EA38DE">
        <w:rPr>
          <w:rFonts w:ascii="Times New Roman" w:eastAsia="Times New Roman" w:hAnsi="Times New Roman" w:cs="Times New Roman"/>
          <w:sz w:val="24"/>
          <w:szCs w:val="24"/>
        </w:rPr>
        <w:t xml:space="preserve"> According to Emefiele </w:t>
      </w:r>
      <w:r w:rsidR="00B81A6B"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Okonjo (2019), the devaluation of the naira has led to higher operational costs for </w:t>
      </w:r>
      <w:r w:rsidRPr="00EA38DE">
        <w:rPr>
          <w:rFonts w:ascii="Times New Roman" w:eastAsia="Times New Roman" w:hAnsi="Times New Roman" w:cs="Times New Roman"/>
          <w:sz w:val="24"/>
          <w:szCs w:val="24"/>
        </w:rPr>
        <w:lastRenderedPageBreak/>
        <w:t>port authorities, as many spare parts and technical services are imported and paid for in foreign currency. Consequently, to preserve revenue margins, Nigerian ports often adjust tariffs, which can discourage port users and reduce throughput.</w:t>
      </w:r>
    </w:p>
    <w:p w14:paraId="2BCA510D" w14:textId="57A7694D"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Additionally, port revenue is heavily influenced by trade volume, which itself is sensitive to exchange rate dynamics. A study by Osobase </w:t>
      </w:r>
      <w:r w:rsidR="00B81A6B"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Nwankwo (2018) found a significant positive relationship between exchange rate stability and port cargo throughput in Nigeria. The study suggested that predictable and stable currency exchange conditions encourage higher trade volumes and attract more shipping traffic, thereby boosting port revenue. On the other hand, weak enforcement of port regulations, bureaucratic delays, and infrastructural limitations such as poor road access to ports undermine port efficiency and erode potential revenue. These inefficiencies not only reduce the competitiveness of Nigerian ports compared to neighboring ports (e.g., Cotonou, Lomé) but also impair the financial performance of shipping companies operating in the country, as they face increased turnaround time and logistics costs (Olayemi &amp; Fashola, 2021).</w:t>
      </w:r>
      <w:r w:rsidR="00C1588C"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Furthermore, in the context of the blue economy, sustained port revenue is essential for funding eco-conscious initiatives such as green port operations, waste management systems, and coastal protection. As noted by UNCTAD</w:t>
      </w:r>
      <w:r w:rsidR="00B81A6B"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(2020), a sustainable blue economy requires ports to transition into smart, green logistics hubs. This transition depends heavily on consistent and reliable port income.</w:t>
      </w:r>
    </w:p>
    <w:p w14:paraId="0B9430CC" w14:textId="77777777"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conclusion, port revenue serves as a linchpin between the financial performance of the shipping industry and broader macroeconomic conditions, particularly exchange rate volatility. Its management and optimization are crucial for Nigeria to harness the full benefits of its maritime domain within the blue economy framework. Improving port governance, modernizing infrastructure, and stabilizing foreign exchange conditions can significantly enhance revenue </w:t>
      </w:r>
      <w:r w:rsidRPr="00EA38DE">
        <w:rPr>
          <w:rFonts w:ascii="Times New Roman" w:hAnsi="Times New Roman" w:cs="Times New Roman"/>
          <w:sz w:val="24"/>
          <w:szCs w:val="24"/>
        </w:rPr>
        <w:lastRenderedPageBreak/>
        <w:t>performance and, by extension, the entire shipping and maritime logistics sector (UNCTAD, 2020).</w:t>
      </w:r>
    </w:p>
    <w:p w14:paraId="4F20CA1D" w14:textId="7AEDFE47" w:rsidR="004A41BF" w:rsidRPr="00EA38DE" w:rsidRDefault="00C815E6" w:rsidP="00FE6490">
      <w:pPr>
        <w:spacing w:after="120" w:line="480" w:lineRule="auto"/>
        <w:jc w:val="both"/>
        <w:outlineLvl w:val="2"/>
        <w:rPr>
          <w:rFonts w:ascii="Times New Roman" w:eastAsia="Times New Roman" w:hAnsi="Times New Roman" w:cs="Times New Roman"/>
          <w:sz w:val="24"/>
          <w:szCs w:val="24"/>
        </w:rPr>
      </w:pPr>
      <w:r w:rsidRPr="00EA38DE">
        <w:rPr>
          <w:rFonts w:ascii="Times New Roman" w:eastAsia="Times New Roman" w:hAnsi="Times New Roman" w:cs="Times New Roman"/>
          <w:b/>
          <w:bCs/>
          <w:sz w:val="24"/>
          <w:szCs w:val="24"/>
        </w:rPr>
        <w:t>2</w:t>
      </w:r>
      <w:r w:rsidR="004A41BF" w:rsidRPr="00EA38DE">
        <w:rPr>
          <w:rFonts w:ascii="Times New Roman" w:eastAsia="Times New Roman" w:hAnsi="Times New Roman" w:cs="Times New Roman"/>
          <w:b/>
          <w:bCs/>
          <w:sz w:val="24"/>
          <w:szCs w:val="24"/>
        </w:rPr>
        <w:t>.1.2.3</w:t>
      </w:r>
      <w:r w:rsidR="004A41BF" w:rsidRPr="00EA38DE">
        <w:rPr>
          <w:rFonts w:ascii="Times New Roman" w:eastAsia="Times New Roman" w:hAnsi="Times New Roman" w:cs="Times New Roman"/>
          <w:b/>
          <w:bCs/>
          <w:sz w:val="24"/>
          <w:szCs w:val="24"/>
        </w:rPr>
        <w:tab/>
        <w:t>Shipping Costs</w:t>
      </w:r>
    </w:p>
    <w:p w14:paraId="37F6A9BB"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Shipping cost refers to the total expenditure incurred in the movement of goods from one geographical location to another via maritime transport. It encompasses various cost components such as freight rates, port handling charges, insurance, bunker (fuel) costs, crew salaries, maintenance, canal dues, and demurrage charges. These costs are critical determinants of international trade competitiveness and directly influence the financial performance of shipping companies (Stopford, 2009).</w:t>
      </w:r>
    </w:p>
    <w:p w14:paraId="0CDA33B1" w14:textId="7A40E514"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Shipping cost is the total expenses associated with the transportation of goods by sea from the point of origin to the destination. It encompasses various direct and indirect cost elements including freight charges, fuel costs, port dues, handling fees, customs levies, insurance premiums, and administrative expenses. In the global economy, shipping cost is a crucial determinant of trade competitiveness, logistics efficiency, and the financial viability of maritime operations (Stopford, 2009; Talley, 2009). </w:t>
      </w:r>
    </w:p>
    <w:p w14:paraId="29FDCF17"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Shipping costs are directly linked to the financial performance of shipping firms. High operational costs can erode profit margins, reduce competitiveness, and affect the ability of firms to reinvest in capital assets or maintain service quality. On the other hand, cost-effective shipping operations can improve earnings before interest and tax (EBIT), return on investment (ROI), and overall financial sustainability (Talley, 2009). Shipping cost inefficiencies have broader implications for national trade performance. High transport costs reduce the price competitiveness of Nigerian exports, particularly in bulk commodities such as cocoa, rubber, and cashew, which are sensitive to logistics overheads. According to UNCTAD, (2018), developing countries like Nigeria spend </w:t>
      </w:r>
      <w:r w:rsidRPr="00EA38DE">
        <w:rPr>
          <w:rFonts w:ascii="Times New Roman" w:eastAsia="Times New Roman" w:hAnsi="Times New Roman" w:cs="Times New Roman"/>
          <w:sz w:val="24"/>
          <w:szCs w:val="24"/>
        </w:rPr>
        <w:lastRenderedPageBreak/>
        <w:t>up to 15% more on shipping than developed economies, largely due to higher logistics inefficiencies and poor port infrastructure.</w:t>
      </w:r>
    </w:p>
    <w:p w14:paraId="08FE6B44" w14:textId="10435EB0"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Hoffmann </w:t>
      </w:r>
      <w:r w:rsidR="002B2319"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Kumar</w:t>
      </w:r>
      <w:r w:rsidRPr="00EA38DE">
        <w:rPr>
          <w:rFonts w:ascii="Times New Roman" w:eastAsia="Times New Roman" w:hAnsi="Times New Roman" w:cs="Times New Roman"/>
          <w:b/>
          <w:bCs/>
          <w:sz w:val="24"/>
          <w:szCs w:val="24"/>
        </w:rPr>
        <w:t xml:space="preserve"> </w:t>
      </w:r>
      <w:r w:rsidR="00767B17" w:rsidRPr="00EA38DE">
        <w:rPr>
          <w:rFonts w:ascii="Times New Roman" w:eastAsia="Times New Roman" w:hAnsi="Times New Roman" w:cs="Times New Roman"/>
          <w:b/>
          <w:bCs/>
          <w:sz w:val="24"/>
          <w:szCs w:val="24"/>
        </w:rPr>
        <w:t>(</w:t>
      </w:r>
      <w:r w:rsidRPr="00EA38DE">
        <w:rPr>
          <w:rFonts w:ascii="Times New Roman" w:eastAsia="Times New Roman" w:hAnsi="Times New Roman" w:cs="Times New Roman"/>
          <w:sz w:val="24"/>
          <w:szCs w:val="24"/>
        </w:rPr>
        <w:t xml:space="preserve">2010) show that companies with tighter cost controls and efficient vessel deployment strategies tend to outperform competitors in volatile economic environments. Similarly, in the Nigerian maritime sector, Akinyemi (2016) observed that firms operating through more efficient routes and port facilities incurred lower shipping costs, which significantly improved their bottom line. Moreover, shipping costs also affect the competitiveness of Nigerian exports. High freight rates reduce the price attractiveness of locally manufactured or processed goods in global markets, thereby limiting the capacity of the shipping sector to contribute meaningfully to national economic growth (Adewuyi &amp; Saibu, 2017). In the context of Nigeria’s maritime economy, shipping costs play a fundamental role </w:t>
      </w:r>
      <w:r w:rsidRPr="00EA38DE">
        <w:rPr>
          <w:rFonts w:ascii="Times New Roman" w:hAnsi="Times New Roman" w:cs="Times New Roman"/>
          <w:sz w:val="24"/>
          <w:szCs w:val="24"/>
        </w:rPr>
        <w:t>in shaping the cost structure of imports and exports, influencing consumer prices, and determining the profitability of shipping lines and port authorities, exchange rate volatility plays a central role. As an import-dependent economy with growing export aspirations, Nigeria's exposure to external price shocks and currency volatility significantly affects the cost of shipping and port operations (Adewuyi &amp; Ogege, 2019).</w:t>
      </w:r>
    </w:p>
    <w:p w14:paraId="2365D53D" w14:textId="634F7EA3"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Exchange rate volatility significantly affects the cost of shipping, especially in economies like Nigeria where most maritime transactions are denominated in foreign currencies such as the US dollar. A depreciating local currency raises the cost of foreign-denominated inputs such as bunker fuel, ship maintenance, and spare parts. This, in turn, increases the operational expenses of shipping companies and inflates freight rates for shippers and importers (Obadan, 2006; Olayiwola &amp; Oloko, 2020). According to </w:t>
      </w:r>
      <w:r w:rsidR="008B7891" w:rsidRPr="00EA38DE">
        <w:rPr>
          <w:rFonts w:ascii="Times New Roman" w:eastAsia="Times New Roman" w:hAnsi="Times New Roman" w:cs="Times New Roman"/>
          <w:sz w:val="24"/>
          <w:szCs w:val="24"/>
        </w:rPr>
        <w:t xml:space="preserve">Clark, </w:t>
      </w:r>
      <w:r w:rsidR="008A4440" w:rsidRPr="00EA38DE">
        <w:rPr>
          <w:rFonts w:ascii="Times New Roman" w:eastAsia="Times New Roman" w:hAnsi="Times New Roman" w:cs="Times New Roman"/>
          <w:sz w:val="24"/>
          <w:szCs w:val="24"/>
        </w:rPr>
        <w:t>et al.</w:t>
      </w:r>
      <w:r w:rsidRPr="00EA38DE">
        <w:rPr>
          <w:rFonts w:ascii="Times New Roman" w:eastAsia="Times New Roman" w:hAnsi="Times New Roman" w:cs="Times New Roman"/>
          <w:sz w:val="24"/>
          <w:szCs w:val="24"/>
        </w:rPr>
        <w:t xml:space="preserve"> (2004), exchange rate volatility contributes to uncertainty in shipping markets, often leading to price distortions in trade logistics. For Nigerian shipping operators, currency depreciation increases their cost base and reduces profitability, </w:t>
      </w:r>
      <w:r w:rsidRPr="00EA38DE">
        <w:rPr>
          <w:rFonts w:ascii="Times New Roman" w:eastAsia="Times New Roman" w:hAnsi="Times New Roman" w:cs="Times New Roman"/>
          <w:sz w:val="24"/>
          <w:szCs w:val="24"/>
        </w:rPr>
        <w:lastRenderedPageBreak/>
        <w:t>especially when earnings are in local currency but expenses are dollar-denominated. This creates a mismatch in financial planning and may discourage long-term investment in fleet expansion or port services.</w:t>
      </w:r>
    </w:p>
    <w:p w14:paraId="14B24E38" w14:textId="77777777" w:rsidR="004A41BF" w:rsidRPr="00EA38DE" w:rsidRDefault="004A41BF" w:rsidP="00FE6490">
      <w:pPr>
        <w:spacing w:after="12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2.1.3</w:t>
      </w:r>
      <w:r w:rsidRPr="00EA38DE">
        <w:rPr>
          <w:rFonts w:ascii="Times New Roman" w:hAnsi="Times New Roman" w:cs="Times New Roman"/>
          <w:b/>
          <w:bCs/>
          <w:sz w:val="24"/>
          <w:szCs w:val="24"/>
        </w:rPr>
        <w:tab/>
        <w:t>Exchange Rate Volatility and Shipping Industry Financial Performance</w:t>
      </w:r>
    </w:p>
    <w:p w14:paraId="176F71A5" w14:textId="48BF9BF1"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A currency’s “exchange rate” is the rate at which it can be purchased with another currency (foreign currency). When discussing the value of one country’s currency in terms of another, we talk about the foreign exchange rate. Due to disparities in factor endowment, </w:t>
      </w:r>
      <w:r w:rsidR="00CF45E8" w:rsidRPr="00EA38DE">
        <w:rPr>
          <w:rFonts w:ascii="Times New Roman" w:hAnsi="Times New Roman" w:cs="Times New Roman"/>
          <w:sz w:val="24"/>
          <w:szCs w:val="24"/>
        </w:rPr>
        <w:t>(</w:t>
      </w:r>
      <w:r w:rsidRPr="00EA38DE">
        <w:rPr>
          <w:rFonts w:ascii="Times New Roman" w:hAnsi="Times New Roman" w:cs="Times New Roman"/>
          <w:sz w:val="24"/>
          <w:szCs w:val="24"/>
        </w:rPr>
        <w:t xml:space="preserve">Osiegbu </w:t>
      </w:r>
      <w:r w:rsidR="002B2319" w:rsidRPr="00EA38DE">
        <w:rPr>
          <w:rFonts w:ascii="Times New Roman" w:hAnsi="Times New Roman" w:cs="Times New Roman"/>
          <w:sz w:val="24"/>
          <w:szCs w:val="24"/>
        </w:rPr>
        <w:t xml:space="preserve">&amp; </w:t>
      </w:r>
      <w:r w:rsidRPr="00EA38DE">
        <w:rPr>
          <w:rFonts w:ascii="Times New Roman" w:hAnsi="Times New Roman" w:cs="Times New Roman"/>
          <w:sz w:val="24"/>
          <w:szCs w:val="24"/>
        </w:rPr>
        <w:t>Onuorah 2012) argue that no country can remain economically independent, making the exchange rate a vital part of international economic interactions. Exchange rate volatility is the volatilities in the value of a country's currency relative to others, often driven by market forces, macroeconomic indicators, and policy decisions. Nigeria operates under a managed floating exchange rate regime, which exposes it to frequent and unpredictable currency swings, particularly due to its dependence on oil exports and vulnerability to external shocks (</w:t>
      </w:r>
      <w:r w:rsidR="00D116F3" w:rsidRPr="00EA38DE">
        <w:rPr>
          <w:rFonts w:ascii="Times New Roman" w:hAnsi="Times New Roman" w:cs="Times New Roman"/>
          <w:sz w:val="24"/>
          <w:szCs w:val="24"/>
        </w:rPr>
        <w:t xml:space="preserve">Ilechukwu, </w:t>
      </w:r>
      <w:r w:rsidR="002B2319" w:rsidRPr="00EA38DE">
        <w:rPr>
          <w:rFonts w:ascii="Times New Roman" w:hAnsi="Times New Roman" w:cs="Times New Roman"/>
          <w:sz w:val="24"/>
          <w:szCs w:val="24"/>
        </w:rPr>
        <w:t>et al.</w:t>
      </w:r>
      <w:r w:rsidR="00D116F3" w:rsidRPr="00EA38DE">
        <w:rPr>
          <w:rFonts w:ascii="Times New Roman" w:hAnsi="Times New Roman" w:cs="Times New Roman"/>
          <w:sz w:val="24"/>
          <w:szCs w:val="24"/>
        </w:rPr>
        <w:t>,</w:t>
      </w:r>
      <w:r w:rsidRPr="00EA38DE">
        <w:rPr>
          <w:rFonts w:ascii="Times New Roman" w:hAnsi="Times New Roman" w:cs="Times New Roman"/>
          <w:sz w:val="24"/>
          <w:szCs w:val="24"/>
        </w:rPr>
        <w:t xml:space="preserve"> 2020). This volatility affects the cost structure and profitability of shipping companies, which often deal in foreign currencies for ship acquisition, spare parts, and port services, while</w:t>
      </w:r>
      <w:r w:rsidR="00CF45E8" w:rsidRPr="00EA38DE">
        <w:rPr>
          <w:rFonts w:ascii="Times New Roman" w:hAnsi="Times New Roman" w:cs="Times New Roman"/>
          <w:sz w:val="24"/>
          <w:szCs w:val="24"/>
        </w:rPr>
        <w:t>,</w:t>
      </w:r>
      <w:r w:rsidRPr="00EA38DE">
        <w:rPr>
          <w:rFonts w:ascii="Times New Roman" w:hAnsi="Times New Roman" w:cs="Times New Roman"/>
          <w:sz w:val="24"/>
          <w:szCs w:val="24"/>
        </w:rPr>
        <w:t xml:space="preserve"> earning revenue largely in the local currency, the naira.</w:t>
      </w:r>
    </w:p>
    <w:p w14:paraId="45977B28" w14:textId="2B88C4E7" w:rsidR="002B2A40" w:rsidRPr="00EA38DE" w:rsidRDefault="007772A0" w:rsidP="008451D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 an effort to address persistent exchange rate volatility, the Central Bank of Nigeria (CBN) implemented unified exchange rate policy after 2023</w:t>
      </w:r>
      <w:r w:rsidR="000909D7"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aimed at minimizing arbitrage opportunities and improving market transparency (Adegboye &amp; Olawale 2024). While</w:t>
      </w:r>
      <w:r w:rsidR="000909D7"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this policy is critical for fostering long-term currency stability, it has simultaneously increased the naira’s exposure to external shocks, notably the repercussions of ongoing U.S. China trade tensions (Bown, 2020).  On the maritime front, the establishment of the Ministry of Marine and Blue Economy in 2023</w:t>
      </w:r>
      <w:r w:rsidR="000909D7"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signaled a renewed governmental commitment to leveraging Nigeria’s extensive ocean and coastal </w:t>
      </w:r>
      <w:r w:rsidRPr="00EA38DE">
        <w:rPr>
          <w:rFonts w:ascii="Times New Roman" w:eastAsia="Times New Roman" w:hAnsi="Times New Roman" w:cs="Times New Roman"/>
          <w:sz w:val="24"/>
          <w:szCs w:val="24"/>
        </w:rPr>
        <w:lastRenderedPageBreak/>
        <w:t>resources (Eneh &amp; Eze, 2020). T</w:t>
      </w:r>
      <w:r w:rsidRPr="00EA38DE">
        <w:rPr>
          <w:rFonts w:ascii="Times New Roman" w:hAnsi="Times New Roman" w:cs="Times New Roman"/>
          <w:sz w:val="24"/>
          <w:szCs w:val="24"/>
        </w:rPr>
        <w:t>he ministry’s initiatives, though strategically aligned, have been impeded by funding shortages and sluggish policy rollout, resulting in a pronounced divergence between intended targets and real-world results.</w:t>
      </w:r>
      <w:r w:rsidRPr="00EA38DE">
        <w:rPr>
          <w:rFonts w:ascii="Times New Roman" w:eastAsia="Times New Roman" w:hAnsi="Times New Roman" w:cs="Times New Roman"/>
          <w:sz w:val="24"/>
          <w:szCs w:val="24"/>
        </w:rPr>
        <w:t xml:space="preserve"> Nigeria’s Blue Economy Roadmap which prioritizes port reforms, fisheries development, and coastal tourism remains a work in progress (UNCTAD, 2022). However, the sector’s growth prospects are heavily influenced by global trade fluctuations, rendering it susceptible to external economic </w:t>
      </w:r>
      <w:r w:rsidR="002B2A40" w:rsidRPr="00EA38DE">
        <w:rPr>
          <w:rFonts w:ascii="Times New Roman" w:eastAsia="Times New Roman" w:hAnsi="Times New Roman" w:cs="Times New Roman"/>
          <w:sz w:val="24"/>
          <w:szCs w:val="24"/>
        </w:rPr>
        <w:t>shocks.</w:t>
      </w:r>
    </w:p>
    <w:p w14:paraId="29677C5E" w14:textId="3AF78AE0" w:rsidR="004A41BF" w:rsidRPr="00EA38DE" w:rsidRDefault="004A41BF" w:rsidP="008451D7">
      <w:pPr>
        <w:spacing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The exchange rate plays a pivotal role in economic development by influencing inflation, trade volumes, output, and overall macroeconomic stability. It acts as a bridge aligning domestic prices with international market trends, thereby affecting the balance of payments and competitiveness in foreign trade. Since Nigeria's adoption of the Structural Adjustment Programme (SAP) in 1986, the naira has experienced persistent depreciation, which, compounded by volatile oil prices, has posed significant challenges to the country's economic growth and stability (Adeniran &amp; Akinwale, 2021; Obaseki, 2018).</w:t>
      </w:r>
    </w:p>
    <w:p w14:paraId="021AE92F" w14:textId="14F457AF" w:rsidR="004A41BF" w:rsidRPr="00EA38DE" w:rsidRDefault="004A41BF" w:rsidP="008451D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Usman (2009)</w:t>
      </w:r>
      <w:r w:rsidR="00677591" w:rsidRPr="00EA38DE">
        <w:rPr>
          <w:rFonts w:ascii="Times New Roman" w:hAnsi="Times New Roman" w:cs="Times New Roman"/>
          <w:sz w:val="24"/>
          <w:szCs w:val="24"/>
        </w:rPr>
        <w:t>,</w:t>
      </w:r>
      <w:r w:rsidRPr="00EA38DE">
        <w:rPr>
          <w:rFonts w:ascii="Times New Roman" w:hAnsi="Times New Roman" w:cs="Times New Roman"/>
          <w:sz w:val="24"/>
          <w:szCs w:val="24"/>
        </w:rPr>
        <w:t xml:space="preserve"> suggests that budget deficits correlate with falling oil revenues in Nigeria, whereas rising oil revenues are more typically linked to rising Government spending. Nigeria does import a lot of refined petroleum and other industrial commodities, but it does derive a significant amount of its revenue from oil sales. Generally speaking, an exchange rate is the price of one currency in terms of another (Mordi, 2006). The exchange rate describes how much one country’s currency is worth in terms of that of other nations. The degree to which domestic industries can compete with those in foreign nations may be gauged by watching the real exchange rate as it rises or falls (Razazadehkarsalari et al., 2011). When the value of an exchange rate considerably deviates from its equilibrium level, it is said to be volatile (Azeez et al., 2012). Unsynchronized currency rates are indicative of a situation where parallel marketplaces to the official market are flourishing.</w:t>
      </w:r>
    </w:p>
    <w:p w14:paraId="5D706B0B" w14:textId="77777777" w:rsidR="004A41BF" w:rsidRPr="00EA38DE" w:rsidRDefault="004A41BF" w:rsidP="00FE6490">
      <w:pPr>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lastRenderedPageBreak/>
        <w:t>2.1.4</w:t>
      </w:r>
      <w:r w:rsidRPr="00EA38DE">
        <w:rPr>
          <w:rFonts w:ascii="Times New Roman" w:hAnsi="Times New Roman" w:cs="Times New Roman"/>
          <w:b/>
          <w:sz w:val="24"/>
          <w:szCs w:val="24"/>
        </w:rPr>
        <w:tab/>
        <w:t>Concept of Blue Economy</w:t>
      </w:r>
    </w:p>
    <w:p w14:paraId="3CC75CF7" w14:textId="17DFC4E0"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concept of the blue economy has gained global prominence as an inclusive framework for harnessing the economic potential of oceans, seas, and inland waterways in a sustainable manner. The blue economy, as defined by the </w:t>
      </w:r>
      <w:r w:rsidR="00677591" w:rsidRPr="00EA38DE">
        <w:rPr>
          <w:rFonts w:ascii="Times New Roman" w:hAnsi="Times New Roman" w:cs="Times New Roman"/>
          <w:sz w:val="24"/>
          <w:szCs w:val="24"/>
        </w:rPr>
        <w:t>(</w:t>
      </w:r>
      <w:r w:rsidRPr="00EA38DE">
        <w:rPr>
          <w:rFonts w:ascii="Times New Roman" w:hAnsi="Times New Roman" w:cs="Times New Roman"/>
          <w:sz w:val="24"/>
          <w:szCs w:val="24"/>
        </w:rPr>
        <w:t>World Bank</w:t>
      </w:r>
      <w:r w:rsidR="00677591" w:rsidRPr="00EA38DE">
        <w:rPr>
          <w:rFonts w:ascii="Times New Roman" w:hAnsi="Times New Roman" w:cs="Times New Roman"/>
          <w:sz w:val="24"/>
          <w:szCs w:val="24"/>
        </w:rPr>
        <w:t xml:space="preserve">, </w:t>
      </w:r>
      <w:r w:rsidRPr="00EA38DE">
        <w:rPr>
          <w:rFonts w:ascii="Times New Roman" w:hAnsi="Times New Roman" w:cs="Times New Roman"/>
          <w:sz w:val="24"/>
          <w:szCs w:val="24"/>
        </w:rPr>
        <w:t>2017), encompasses economic activities that rely on marine ecosystems, including fisheries, maritime transport, tourism, offshore energy, and seabed mining. It emphasizes sustainable development, environmental conservation, and social equity in the use of aquatic resources.</w:t>
      </w:r>
    </w:p>
    <w:p w14:paraId="474643A6" w14:textId="01607BAF"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The Blue economy, often interchangeably referred to as the ocean or maritime economy, signifies the responsible and sustainable utilization of oceanic and coastal resources to foster economic advancement, improve livelihoods, and preserve marine eco-systems. Encompassing a broad spectrum of sectors, fisheries, aquaculture, shipping, marine tourism, offshore energy, and marine biotechnology, this economic paradigm has gained prominence as a tool for achieving inclusive growth, environmental sustainability, and po</w:t>
      </w:r>
      <w:r w:rsidR="00D116F3" w:rsidRPr="00EA38DE">
        <w:rPr>
          <w:rFonts w:ascii="Times New Roman" w:hAnsi="Times New Roman" w:cs="Times New Roman"/>
          <w:sz w:val="24"/>
          <w:szCs w:val="24"/>
        </w:rPr>
        <w:t>verty alleviation (Yousef, 2023;</w:t>
      </w:r>
      <w:r w:rsidRPr="00EA38DE">
        <w:rPr>
          <w:rFonts w:ascii="Times New Roman" w:hAnsi="Times New Roman" w:cs="Times New Roman"/>
          <w:sz w:val="24"/>
          <w:szCs w:val="24"/>
        </w:rPr>
        <w:t xml:space="preserve"> Smith-Godfrey, 2016)</w:t>
      </w:r>
      <w:r w:rsidR="004E18DA">
        <w:rPr>
          <w:rFonts w:ascii="Times New Roman" w:hAnsi="Times New Roman" w:cs="Times New Roman"/>
          <w:sz w:val="24"/>
          <w:szCs w:val="24"/>
        </w:rPr>
        <w:t>.</w:t>
      </w:r>
    </w:p>
    <w:p w14:paraId="6D9E21ED" w14:textId="5645F012"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The blue economy reflects a marine-based economic development model that integrates conservation and sustainable use of biodiversity with equitable sharing of marine resources’ benefits </w:t>
      </w:r>
      <w:r w:rsidR="0070409C" w:rsidRPr="00EA38DE">
        <w:rPr>
          <w:rFonts w:ascii="Times New Roman" w:eastAsia="Times New Roman" w:hAnsi="Times New Roman" w:cs="Times New Roman"/>
          <w:sz w:val="24"/>
          <w:szCs w:val="24"/>
        </w:rPr>
        <w:t>V</w:t>
      </w:r>
      <w:r w:rsidRPr="00EA38DE">
        <w:rPr>
          <w:rFonts w:ascii="Times New Roman" w:eastAsia="Times New Roman" w:hAnsi="Times New Roman" w:cs="Times New Roman"/>
          <w:sz w:val="24"/>
          <w:szCs w:val="24"/>
        </w:rPr>
        <w:t>oyer</w:t>
      </w:r>
      <w:r w:rsidR="003706C3" w:rsidRPr="00EA38DE">
        <w:rPr>
          <w:rFonts w:ascii="Times New Roman" w:eastAsia="Times New Roman" w:hAnsi="Times New Roman" w:cs="Times New Roman"/>
          <w:sz w:val="24"/>
          <w:szCs w:val="24"/>
        </w:rPr>
        <w:t>,</w:t>
      </w:r>
      <w:r w:rsidR="008451D7" w:rsidRPr="00EA38DE">
        <w:rPr>
          <w:rFonts w:ascii="Times New Roman" w:eastAsia="Times New Roman" w:hAnsi="Times New Roman" w:cs="Times New Roman"/>
          <w:sz w:val="24"/>
          <w:szCs w:val="24"/>
        </w:rPr>
        <w:t xml:space="preserve"> et al</w:t>
      </w:r>
      <w:r w:rsidR="00D93BB8" w:rsidRPr="00EA38DE">
        <w:rPr>
          <w:rFonts w:ascii="Times New Roman" w:eastAsia="Times New Roman" w:hAnsi="Times New Roman" w:cs="Times New Roman"/>
          <w:sz w:val="24"/>
          <w:szCs w:val="24"/>
        </w:rPr>
        <w:t>.</w:t>
      </w:r>
      <w:r w:rsidR="00637791"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 xml:space="preserve">(2018). </w:t>
      </w:r>
      <w:r w:rsidRPr="00EA38DE">
        <w:rPr>
          <w:rFonts w:ascii="Times New Roman" w:hAnsi="Times New Roman" w:cs="Times New Roman"/>
          <w:sz w:val="24"/>
          <w:szCs w:val="24"/>
        </w:rPr>
        <w:t xml:space="preserve">Over recent years, the global community has increasingly recognized the vast potential of oceans, seas, and coastal regions as engines of prosperity and sustainability, culminating in the integration of the blue economy concept into policy agendas and development strategies worldwide (UNEP, 2012). Central to the blue economy concept lies the acknowledgment of the interconnectedness between economic prosperity, social well-being, and environmental sustainability. Through the embrace of principles such as ecosystem-based management, integrated coastal zone management, and sustainable resource utilization, the blue economy charts </w:t>
      </w:r>
      <w:r w:rsidRPr="00EA38DE">
        <w:rPr>
          <w:rFonts w:ascii="Times New Roman" w:hAnsi="Times New Roman" w:cs="Times New Roman"/>
          <w:sz w:val="24"/>
          <w:szCs w:val="24"/>
        </w:rPr>
        <w:lastRenderedPageBreak/>
        <w:t xml:space="preserve">a course towards achieving the triple bottom line of economic, social, and environmental benefits (OECD, 2016). </w:t>
      </w:r>
      <w:bookmarkStart w:id="3" w:name="_Hlk199658871"/>
    </w:p>
    <w:bookmarkEnd w:id="3"/>
    <w:p w14:paraId="66886D24" w14:textId="77777777"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The blue economy is the sustainable use of ocean resources for economic growth, improved livelihoods, and jobs while preserving the health of ocean ecosystems (World Bank, 2017)</w:t>
      </w:r>
      <w:r w:rsidRPr="00EA38DE">
        <w:rPr>
          <w:rFonts w:ascii="Times New Roman" w:hAnsi="Times New Roman" w:cs="Times New Roman"/>
          <w:sz w:val="24"/>
          <w:szCs w:val="24"/>
        </w:rPr>
        <w:t xml:space="preserve">. Sectors pivotal in job creation, such as tourism, and essential for food production, such as fisheries, rely on pristine coastal environments. Future prospects in sustainable blue energy and ocean mining are pivotal for enhancing countries' competitiveness. Moreover, ecosystem services provided by mangroves and coastal habitats, upon which coastal populations rely, can be bolstered through innovative revenue-generating mechanisms such as blue carbon. However, the productivity of coastal marine ecosystems on the African continent faces’ threats from unsustainable infrastructure development, pollution, and inadequate natural habitat and resource management. Climate change-related events, including sea level rise and coastal flooding, exacerbate the region's vulnerability. The pressing challenge today revolves around how coastal countries can effectively manage their coastal landscapes to stimulate economic growth, reduce poverty, and adapt to the effects of climate change (World Bank, 2022). </w:t>
      </w:r>
    </w:p>
    <w:p w14:paraId="1ACFFB96" w14:textId="0A60AD6C"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Scholars such as </w:t>
      </w:r>
      <w:r w:rsidR="00677591"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Akinyemi</w:t>
      </w:r>
      <w:r w:rsidR="002B17E4"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2022) argue that the blue economy has the potential to transform Nigeria’s economic structure by unlocking new sources of revenue, creating employment, and improving regional trade. However, this potential remains underexploited due to regulatory inefficiencies, inadequate infrastructure, and environmental degradation. The relevance of the blue economy to the financial performance of the shipping industry lies in its capacity to provide a stable, resource-rich, and innovation-driven ecosystem that supports maritime trade and logistics. Investments in blue economy sectors such as port infrastructure, marine ICT, and coastal security directly affect shipping costs, turnaround times, and risk profiles. A well-structured blue economy </w:t>
      </w:r>
      <w:r w:rsidRPr="00EA38DE">
        <w:rPr>
          <w:rFonts w:ascii="Times New Roman" w:eastAsia="Times New Roman" w:hAnsi="Times New Roman" w:cs="Times New Roman"/>
          <w:sz w:val="24"/>
          <w:szCs w:val="24"/>
        </w:rPr>
        <w:lastRenderedPageBreak/>
        <w:t>can serve as a stabilizing factor in mitigating the negative effects of exchange rate volatility on the shipping industry by creating a more efficient and self-reliant maritime economy.</w:t>
      </w:r>
    </w:p>
    <w:p w14:paraId="37F3667C" w14:textId="77777777"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The global rise of the blue economy as a transformative framework in sustainable development discourse has prompted the inclusion of ocean-based growth strategies in national and regional policy agendas (UNEP, 2012). Central to this framework is the recognition of the interconnectedness between economic prosperity, environmental sustainability, and social equity (OECD, 2016). Yet, these objectives can be severely hampered when nations face chronic currency instability.</w:t>
      </w:r>
    </w:p>
    <w:p w14:paraId="0FAF7758" w14:textId="44096426" w:rsidR="004A41BF" w:rsidRPr="00EA38DE" w:rsidRDefault="004A41BF" w:rsidP="00FE6490">
      <w:pPr>
        <w:spacing w:after="12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2.1.5</w:t>
      </w:r>
      <w:r w:rsidRPr="00EA38DE">
        <w:rPr>
          <w:rFonts w:ascii="Times New Roman" w:hAnsi="Times New Roman" w:cs="Times New Roman"/>
          <w:b/>
          <w:bCs/>
          <w:sz w:val="24"/>
          <w:szCs w:val="24"/>
        </w:rPr>
        <w:tab/>
        <w:t>Measure</w:t>
      </w:r>
      <w:r w:rsidR="00834304" w:rsidRPr="00EA38DE">
        <w:rPr>
          <w:rFonts w:ascii="Times New Roman" w:hAnsi="Times New Roman" w:cs="Times New Roman"/>
          <w:b/>
          <w:bCs/>
          <w:sz w:val="24"/>
          <w:szCs w:val="24"/>
        </w:rPr>
        <w:t>/Components</w:t>
      </w:r>
      <w:r w:rsidRPr="00EA38DE">
        <w:rPr>
          <w:rFonts w:ascii="Times New Roman" w:hAnsi="Times New Roman" w:cs="Times New Roman"/>
          <w:b/>
          <w:bCs/>
          <w:sz w:val="24"/>
          <w:szCs w:val="24"/>
        </w:rPr>
        <w:t xml:space="preserve"> of Blue Economy</w:t>
      </w:r>
    </w:p>
    <w:p w14:paraId="59822BB5" w14:textId="74FCA0E8" w:rsidR="004A41BF" w:rsidRPr="00EA38DE" w:rsidRDefault="00D116F3" w:rsidP="00FE6490">
      <w:pPr>
        <w:spacing w:after="120" w:line="480" w:lineRule="auto"/>
        <w:jc w:val="both"/>
        <w:rPr>
          <w:rFonts w:ascii="Times New Roman" w:hAnsi="Times New Roman" w:cs="Times New Roman"/>
          <w:b/>
          <w:bCs/>
          <w:sz w:val="24"/>
          <w:szCs w:val="24"/>
        </w:rPr>
      </w:pPr>
      <w:r w:rsidRPr="00EA38DE">
        <w:rPr>
          <w:rFonts w:ascii="Times New Roman" w:hAnsi="Times New Roman" w:cs="Times New Roman"/>
          <w:b/>
          <w:sz w:val="24"/>
          <w:szCs w:val="24"/>
        </w:rPr>
        <w:t>2.1.5.1</w:t>
      </w:r>
      <w:r w:rsidRPr="00EA38DE">
        <w:rPr>
          <w:rFonts w:ascii="Times New Roman" w:hAnsi="Times New Roman" w:cs="Times New Roman"/>
          <w:b/>
          <w:sz w:val="24"/>
          <w:szCs w:val="24"/>
        </w:rPr>
        <w:tab/>
      </w:r>
      <w:r w:rsidR="004A41BF" w:rsidRPr="00EA38DE">
        <w:rPr>
          <w:rFonts w:ascii="Times New Roman" w:hAnsi="Times New Roman" w:cs="Times New Roman"/>
          <w:b/>
          <w:sz w:val="24"/>
          <w:szCs w:val="24"/>
        </w:rPr>
        <w:t>Fisheries</w:t>
      </w:r>
    </w:p>
    <w:p w14:paraId="71D39631" w14:textId="77777777" w:rsidR="004A41BF" w:rsidRPr="00EA38DE" w:rsidRDefault="004A41BF" w:rsidP="00FE6490">
      <w:pPr>
        <w:spacing w:after="120" w:line="480" w:lineRule="auto"/>
        <w:jc w:val="both"/>
        <w:rPr>
          <w:rFonts w:ascii="Times New Roman" w:hAnsi="Times New Roman" w:cs="Times New Roman"/>
          <w:b/>
          <w:bCs/>
          <w:sz w:val="24"/>
          <w:szCs w:val="24"/>
        </w:rPr>
      </w:pPr>
      <w:r w:rsidRPr="00EA38DE">
        <w:rPr>
          <w:rFonts w:ascii="Times New Roman" w:eastAsia="Times New Roman" w:hAnsi="Times New Roman" w:cs="Times New Roman"/>
          <w:sz w:val="24"/>
          <w:szCs w:val="24"/>
        </w:rPr>
        <w:t>Fisheries refer to the organized harvesting, processing, and marketing of fish and other aquatic organisms from marine, coastal, and inland water bodies for human consumption, commercial purposes, and ecological balance. The sector includes two broad categories: capture fisheries, which involve the extraction of fish from natural water bodies such as oceans, rivers, and lakes; and aquaculture, which is the controlled cultivation of fish and seafood in artificial or semi-natural environments (FAO, 2020). Fisheries, a foundational element of Nigeria’s maritime economy, significantly influence the financial performance of the shipping industry. As a major source of both domestic consumption and export revenue, the fisheries sector contributes substantial cargo volumes that drive demand for maritime transport, port services, and logistics infrastructure (Olubusoye, 2015). The movement of fresh, frozen, and processed fish products along with fishing gear, ice, and other supplies creates continuous business for local and regional shipping operators.</w:t>
      </w:r>
    </w:p>
    <w:p w14:paraId="5D35D507"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The shipping industry benefits from both the inbound transportation of inputs required for fishing operations and the outbound shipment of fish products to markets across Nigeria and internationally. This dynamic supports regular cargo flow, increases container utilization, and boosts port revenues. In particular, the export of fish products strengthens revenue streams for shipping firms engaged in international freight, while the distribution of fish within the domestic market fuels activity in coastal and inland shipping routes (Nwaogwugwu, 2018).</w:t>
      </w:r>
    </w:p>
    <w:p w14:paraId="753A57DD"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However, the financial returns of shipping companies tied to fisheries are influenced by the sector’s operational challenges. Rising fuel and transportation costs, along with infrastructure gaps in ports, cold storage, and handling facilities, lead to inefficiencies in the logistics chain (Olawale &amp; Olatunji, 2020). These inefficiencies not only reduce the shelf life and market value of fish products but also increase the cost of maritime operations, cutting into shipping firms' profit margins.</w:t>
      </w:r>
    </w:p>
    <w:p w14:paraId="5A49AFD2"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Small-scale fishers, who account for a significant share of the sector, often operate in areas with limited access to efficient transport and storage. This leads to post-harvest losses and reduced shipping volumes, directly impacting the financial performance of logistics operators and marine transport companies that rely on consistent freight flows (Okafor &amp; Inegbedion, 2020). Inconsistent supply and low economies of scale also deter larger shipping operators from fully investing in fish-related logistics services. Furthermore, the lack of adequate investment in fishing infrastructure such as landing sites, storage facilities, and refrigerated transport limits the sector’s ability to scale and, in turn, constrains the growth potential of maritime logistics services connected to fisheries (Omoniyi, 2017). When fisheries underperform, the shipping industry also loses out on potential revenue from expanded cargo and port throughput.</w:t>
      </w:r>
    </w:p>
    <w:p w14:paraId="57EAF2EA"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Conversely, targeted investment and policy support for fisheries can drive growth across the shipping value chain. Strengthening fisheries through improved infrastructure, enhanced cold chain logistics, and better access to markets will not only reduce post-harvest losses but also increase shipping volumes and financial returns for maritime operators (Adegboyega &amp; Kuku, 2019). The integration of modern logistics solutions and digital tracking systems for fish shipments can further enhance supply chain efficiency, reduce waste, and improve reliability for shippers and exporters alike. Nigeria’s fisheries sector plays a vital role in shaping the financial performance of the shipping industry. By ensuring a steady flow of cargo, creating demand for specialized logistics, and stimulating activity at ports, fisheries offer strong growth potential for maritime transport services. Realizing this potential, however, will require coordinated investments in infrastructure, logistics innovation, and fisheries development across the value chain (Fasanya &amp; Olayemi, 2016; Ita &amp; Alhaji, 2021; Ogundele, 2020; Oluwatobi &amp; Olawale, 2021).</w:t>
      </w:r>
    </w:p>
    <w:p w14:paraId="6B75DCDD" w14:textId="77777777" w:rsidR="004A41BF" w:rsidRPr="00EA38DE" w:rsidRDefault="004A41BF" w:rsidP="00FE6490">
      <w:pPr>
        <w:spacing w:after="120" w:line="480" w:lineRule="auto"/>
        <w:jc w:val="both"/>
        <w:rPr>
          <w:rFonts w:ascii="Times New Roman" w:hAnsi="Times New Roman" w:cs="Times New Roman"/>
          <w:sz w:val="24"/>
          <w:szCs w:val="24"/>
        </w:rPr>
      </w:pPr>
      <w:r w:rsidRPr="00EA38DE">
        <w:rPr>
          <w:rFonts w:ascii="Times New Roman" w:hAnsi="Times New Roman" w:cs="Times New Roman"/>
          <w:b/>
          <w:sz w:val="24"/>
          <w:szCs w:val="24"/>
        </w:rPr>
        <w:t>2.1.5.2</w:t>
      </w:r>
      <w:r w:rsidRPr="00EA38DE">
        <w:rPr>
          <w:rFonts w:ascii="Times New Roman" w:hAnsi="Times New Roman" w:cs="Times New Roman"/>
          <w:b/>
          <w:sz w:val="24"/>
          <w:szCs w:val="24"/>
        </w:rPr>
        <w:tab/>
        <w:t>Aquaculture</w:t>
      </w:r>
    </w:p>
    <w:p w14:paraId="23A6ECAB"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Aquaculture, is the farming of fish, crustaceans, mollusks, and other aquatic organisms, is increasingly influencing the financial performance of Nigeria’s shipping industry. As aquaculture expands rapidly to meet rising demand for fish and seafood, it generates significant cargo volumes that contribute directly to port activity and maritime logistics (Fasanya &amp; Olayemi, 2016). The transportation of fish feed, live aquatic stock, frozen seafood products, and aquaculture-related equipment enhances the flow of goods through ports, boosting revenue for shipping and logistics companies.</w:t>
      </w:r>
    </w:p>
    <w:p w14:paraId="55D222A1"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growth of aquaculture increases demand for specialized shipping services, particularly those involving cold chain logistics, live fish transport, and time-sensitive deliveries. This creates new market opportunities for shipping companies to diversify their service offerings and invest in </w:t>
      </w:r>
      <w:r w:rsidRPr="00EA38DE">
        <w:rPr>
          <w:rFonts w:ascii="Times New Roman" w:eastAsia="Times New Roman" w:hAnsi="Times New Roman" w:cs="Times New Roman"/>
          <w:sz w:val="24"/>
          <w:szCs w:val="24"/>
        </w:rPr>
        <w:lastRenderedPageBreak/>
        <w:t>refrigerated containers, handling infrastructure, and route optimization to accommodate perishable goods (Adegboyega &amp; Kuku, 2019). These activities not only improve port utilization rates but also increase shipping volumes and revenues.</w:t>
      </w:r>
    </w:p>
    <w:p w14:paraId="79875167" w14:textId="4979A9CC"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However, the shipping industry’s ability to capitalize on aquaculture’s growth depends on overcoming infrastructure and operational bottlenecks. Inadequate cold storage facilities, poor road-to-port connectivity, and inefficient logistics systems contribute to high post-harvest losses, especially for perishable aquaculture products</w:t>
      </w:r>
      <w:r w:rsidR="001E44DB"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(Nwaogwugwu, 2018). These inefficiencies can result in financial losses for both aquaculture producers and transporters, reducing the profitability of shipments and undermining investor confidence in expanding transport capacity. Rising costs of fuel and transportation, often driven by inflation and limited logistics infrastructure, further erode margins for shipping companies moving aquaculture products (Olawale &amp; Olatunji, 2020). These cost pressures may discourage investment in specialized shipping services for the aquaculture sector unless mitigated through targeted policy and infrastructure upgrades.</w:t>
      </w:r>
    </w:p>
    <w:p w14:paraId="574AD13B"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Investment in aquaculture infrastructure also influences shipping demand. When fish farmers gain better access to credit, modern production systems, and technical training, their output increases, which translates into higher demand for transportation and export logistics (Ogundele, 2020; Oluwatobi &amp; Olawale, 2021). Thus, investment in upstream aquaculture activities indirectly strengthens the financial performance of maritime logistics and shipping companies by stabilizing cargo flows and expanding the sector’s footprint in domestic and international trade.</w:t>
      </w:r>
    </w:p>
    <w:p w14:paraId="6C49A52A"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To maximize the positive impact of aquaculture on shipping, Nigeria should prioritize policies that improve market linkages, expand port and cold chain infrastructure, and support integrated logistics networks. Strengthening these connections would enhance shipping industry performance </w:t>
      </w:r>
      <w:r w:rsidRPr="00EA38DE">
        <w:rPr>
          <w:rFonts w:ascii="Times New Roman" w:eastAsia="Times New Roman" w:hAnsi="Times New Roman" w:cs="Times New Roman"/>
          <w:sz w:val="24"/>
          <w:szCs w:val="24"/>
        </w:rPr>
        <w:lastRenderedPageBreak/>
        <w:t>by reducing delays, increasing cargo turnover, and encouraging investment in value-added maritime services (Fasanya &amp; Olayemi, 2016; Adegboyega &amp; Kuku, 2019).</w:t>
      </w:r>
    </w:p>
    <w:p w14:paraId="60522934"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 conclusion, aquaculture is emerging as a strategic driver of growth in Nigeria’s shipping industry. By generating steady cargo volumes, stimulating demand for specialized logistics services, and creating economic activity around coastal ports, the sector offers a valuable opportunity to improve the financial performance and competitiveness of maritime transport networks.</w:t>
      </w:r>
    </w:p>
    <w:p w14:paraId="4B038DED" w14:textId="77777777" w:rsidR="004A41BF" w:rsidRPr="00EA38DE" w:rsidRDefault="004A41BF" w:rsidP="00FE6490">
      <w:pPr>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2.1.5.3</w:t>
      </w:r>
      <w:r w:rsidRPr="00EA38DE">
        <w:rPr>
          <w:rFonts w:ascii="Times New Roman" w:hAnsi="Times New Roman" w:cs="Times New Roman"/>
          <w:b/>
          <w:sz w:val="24"/>
          <w:szCs w:val="24"/>
        </w:rPr>
        <w:tab/>
        <w:t>Desalination</w:t>
      </w:r>
    </w:p>
    <w:p w14:paraId="6268955D" w14:textId="77777777" w:rsidR="004A41BF" w:rsidRPr="00EA38DE" w:rsidRDefault="004A41BF" w:rsidP="00FE6490">
      <w:pPr>
        <w:spacing w:after="120" w:line="480" w:lineRule="auto"/>
        <w:jc w:val="both"/>
        <w:rPr>
          <w:rFonts w:ascii="Times New Roman" w:hAnsi="Times New Roman" w:cs="Times New Roman"/>
          <w:b/>
          <w:sz w:val="24"/>
          <w:szCs w:val="24"/>
        </w:rPr>
      </w:pPr>
      <w:r w:rsidRPr="00EA38DE">
        <w:rPr>
          <w:rFonts w:ascii="Times New Roman" w:hAnsi="Times New Roman" w:cs="Times New Roman"/>
          <w:sz w:val="24"/>
          <w:szCs w:val="24"/>
        </w:rPr>
        <w:t>Desalination is the process of removing salt and other impurities from saline water typically seawater or brackish water to produce freshwater suitable for human consumption, industrial use, and agricultural purposes. It is a key technological solution for addressing water scarcity, particularly in coastal and regions where freshwater resources are limited or under increasing stress due to population growth, climate change, and pollution (Lattemann &amp; Höpner, 2008).</w:t>
      </w:r>
    </w:p>
    <w:p w14:paraId="6136E993"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Desalination plays an increasingly important role in supporting the operational efficiency and financial performance of the shipping industry, particularly in coastal and maritime economies like Nigeria. As a technology designed to convert seawater into potable water, desalination provides a reliable source of freshwater that is essential for various maritime operations, including crew consumption, vessel sanitation, ballast systems, and equipment maintenance (Ade &amp; Olowu, 2020).</w:t>
      </w:r>
    </w:p>
    <w:p w14:paraId="12AB8F9C" w14:textId="77777777" w:rsidR="004A41BF" w:rsidRPr="00EA38DE" w:rsidRDefault="004A41BF" w:rsidP="00FE6490">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Shipping companies operating in regions with limited access to clean freshwater supplies often face logistical and financial challenges in securing water for onboard use. Traditional methods involve refueling with freshwater at ports, which can be expensive and time-consuming, especially </w:t>
      </w:r>
      <w:r w:rsidRPr="00EA38DE">
        <w:rPr>
          <w:rFonts w:ascii="Times New Roman" w:eastAsia="Times New Roman" w:hAnsi="Times New Roman" w:cs="Times New Roman"/>
          <w:sz w:val="24"/>
          <w:szCs w:val="24"/>
        </w:rPr>
        <w:lastRenderedPageBreak/>
        <w:t>in areas where freshwater is scarce or supply is inconsistent. By integrating onboard desalination systems or utilizing desalination infrastructure at ports, shipping companies can significantly reduce the costs associated with freshwater procurement, thereby improving overall operational efficiency and financial performance (Uche &amp; Okonkwo, 2021).</w:t>
      </w:r>
    </w:p>
    <w:p w14:paraId="0B53E4D7" w14:textId="77777777" w:rsidR="00A84A5E" w:rsidRPr="00EA38DE" w:rsidRDefault="004A41BF" w:rsidP="00A84A5E">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Moreover, the availability of desalinated water at key maritime hubs enhances port service quality and reliability. Ports equipped with desalination infrastructure can offer value-added services to shipping companies, reducing turnaround times and minimizing disruptions caused by freshwater shortages. This added efficiency not only benefits individual shipping firms but also enhances the competitiveness of port facilities, which in turn supports greater trade volumes and improved revenue streams for port authorities and logistics firms (Ibrahim &amp; Nwachukwu, 2019). Nigeria's coastal regions especially cities such as Lagos, Port Harcourt, and Calabar face growing freshwater demand due to population growth, industrial expansion, and port-related activities. Unfortunately, these regions often suffer from inadequate freshwater supply and over-reliance on contaminated surface or underground water sources. The integration of desalination technology could alleviate water stress in these areas, providing reliable water sources for port operations, fisheries, and shipping industries, which are all critical components of the blue economy (Olaniyan &amp; Olutayo, 2019). </w:t>
      </w:r>
    </w:p>
    <w:p w14:paraId="57406DE3" w14:textId="385A024B" w:rsidR="004A41BF" w:rsidRPr="00EA38DE" w:rsidRDefault="004A41BF" w:rsidP="00A84A5E">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Desalination contributes to the financial performance of the shipping industry by improving operational efficiency at ports and supporting critical ancillary services like ship cleaning, cargo handling, and fish processing, all of which rely on reliable access to clean water. Furthermore, industries situated in free trade zones or coastal economic clusters benefit from enhanced water security, which boosts productivity and competitiveness (</w:t>
      </w:r>
      <w:r w:rsidR="004C469A" w:rsidRPr="00EA38DE">
        <w:rPr>
          <w:rFonts w:ascii="Times New Roman" w:eastAsia="Times New Roman" w:hAnsi="Times New Roman" w:cs="Times New Roman"/>
          <w:sz w:val="24"/>
          <w:szCs w:val="24"/>
        </w:rPr>
        <w:t>UNCTAD, 2019; Smith &amp; Rahman, 2020).</w:t>
      </w:r>
    </w:p>
    <w:p w14:paraId="5DC47428" w14:textId="2840872A" w:rsidR="004A41BF" w:rsidRPr="00EA38DE" w:rsidRDefault="004A41BF" w:rsidP="004E18DA">
      <w:pPr>
        <w:spacing w:before="100" w:beforeAutospacing="1"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However, the adoption of desalination in Nigeria is still in its infancy due to several constraints, including high capital costs, energy intensity, environmental concerns related to brine discharge, and lack of technical expertise. As noted by UNCTAD</w:t>
      </w:r>
      <w:r w:rsidR="0058585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(2020), the environmental sustainability of desalination efforts depends heavily on the use of renewable energy sources such as solar or wind power to minimize carbon footprints and reduce dependence on fossil fuels. In addition, exchange rate volatility poses a significant barrier to desalination infrastructure development in Nigeria. Desalination plants often rely on imported technology and components priced in foreign currency. Fluctuating exchange rates increase procurement and maintenance costs, making it more difficult for public and private stakeholders to invest in such projects (Okonkwo &amp; Eze, 2018). Stable exchange rate policies and access to foreign investment could therefore be critical in scaling up desalination efforts in support of Nigeria's maritime and blue economy goals. These costs can be a barrier for smaller shipping firms or ports with limited financial capacity. Nevertheless, when viewed through the lens of lifecycle cost savings and operational independence, desalination often presents a favorable return on investment, especially in regions where traditional freshwater supply chains are unreliable or overly expensive (Ade &amp; Olowu, 2020).</w:t>
      </w:r>
    </w:p>
    <w:p w14:paraId="54A90270" w14:textId="48F2D9DA" w:rsidR="004A41BF" w:rsidRPr="00EA38DE" w:rsidRDefault="004A41BF" w:rsidP="009269EB">
      <w:pPr>
        <w:spacing w:after="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 conclusion, desalination is a strategic enabler of financial and operational efficiency in the shipping industry. By reducing dependence on external freshwater sources and improving the reliability of port services, desalination supports cost savings, environmental compliance, and sustainable growth across maritime logistics networks. For countries like Nigeria with growing shipping activity and water-stressed coastal zones, investing in desalination can yield significant benefits for the financial performance and resilience of the maritime sector (Uche &amp; Okonkwo, 2021; Ibrahim &amp; Nwachukwu, 2019).</w:t>
      </w:r>
    </w:p>
    <w:p w14:paraId="279C69FF" w14:textId="77777777" w:rsidR="00DC0395" w:rsidRPr="00EA38DE" w:rsidRDefault="00DC0395" w:rsidP="00FE6490">
      <w:pPr>
        <w:spacing w:after="120" w:line="480" w:lineRule="auto"/>
        <w:jc w:val="both"/>
        <w:rPr>
          <w:rFonts w:ascii="Times New Roman" w:eastAsia="Times New Roman" w:hAnsi="Times New Roman" w:cs="Times New Roman"/>
          <w:sz w:val="24"/>
          <w:szCs w:val="24"/>
        </w:rPr>
      </w:pPr>
    </w:p>
    <w:p w14:paraId="72CF6FB5" w14:textId="70BB282F" w:rsidR="004A41BF" w:rsidRPr="00EA38DE" w:rsidRDefault="004A41BF" w:rsidP="00720DF0">
      <w:pPr>
        <w:spacing w:line="360" w:lineRule="auto"/>
        <w:ind w:left="720" w:hanging="720"/>
        <w:rPr>
          <w:rFonts w:ascii="Times New Roman" w:eastAsia="Times New Roman" w:hAnsi="Times New Roman" w:cs="Times New Roman"/>
          <w:b/>
          <w:bCs/>
          <w:sz w:val="24"/>
          <w:szCs w:val="24"/>
        </w:rPr>
      </w:pPr>
      <w:r w:rsidRPr="00EA38DE">
        <w:rPr>
          <w:rFonts w:ascii="Times New Roman" w:hAnsi="Times New Roman" w:cs="Times New Roman"/>
          <w:b/>
          <w:bCs/>
          <w:sz w:val="24"/>
          <w:szCs w:val="24"/>
        </w:rPr>
        <w:lastRenderedPageBreak/>
        <w:t>2.1.6</w:t>
      </w:r>
      <w:r w:rsidR="000E62F9" w:rsidRPr="00EA38DE">
        <w:rPr>
          <w:rFonts w:ascii="Times New Roman" w:hAnsi="Times New Roman" w:cs="Times New Roman"/>
          <w:b/>
          <w:bCs/>
          <w:sz w:val="24"/>
          <w:szCs w:val="24"/>
        </w:rPr>
        <w:tab/>
      </w:r>
      <w:r w:rsidR="00834304" w:rsidRPr="00EA38DE">
        <w:rPr>
          <w:rFonts w:ascii="Times New Roman" w:hAnsi="Times New Roman" w:cs="Times New Roman"/>
          <w:b/>
          <w:bCs/>
          <w:sz w:val="24"/>
          <w:szCs w:val="24"/>
        </w:rPr>
        <w:t>Exchange Rate Volatility</w:t>
      </w:r>
      <w:r w:rsidR="00A86547" w:rsidRPr="00EA38DE">
        <w:rPr>
          <w:rFonts w:ascii="Times New Roman" w:hAnsi="Times New Roman" w:cs="Times New Roman"/>
          <w:b/>
          <w:bCs/>
          <w:sz w:val="24"/>
          <w:szCs w:val="24"/>
        </w:rPr>
        <w:t>, Blue Economy</w:t>
      </w:r>
      <w:r w:rsidR="00414A25" w:rsidRPr="00EA38DE">
        <w:rPr>
          <w:rFonts w:ascii="Times New Roman" w:hAnsi="Times New Roman" w:cs="Times New Roman"/>
          <w:b/>
          <w:bCs/>
          <w:sz w:val="24"/>
          <w:szCs w:val="24"/>
        </w:rPr>
        <w:t>,</w:t>
      </w:r>
      <w:r w:rsidR="00834304" w:rsidRPr="00EA38DE">
        <w:rPr>
          <w:rFonts w:ascii="Times New Roman" w:hAnsi="Times New Roman" w:cs="Times New Roman"/>
          <w:b/>
          <w:bCs/>
          <w:sz w:val="24"/>
          <w:szCs w:val="24"/>
        </w:rPr>
        <w:t xml:space="preserve"> and Shipping Industry Financial Performance</w:t>
      </w:r>
    </w:p>
    <w:p w14:paraId="1AFD579C" w14:textId="7334DF27" w:rsidR="004A41BF" w:rsidRPr="00EA38DE" w:rsidRDefault="004A41BF" w:rsidP="00767B17">
      <w:pPr>
        <w:spacing w:line="480" w:lineRule="auto"/>
        <w:rPr>
          <w:rFonts w:ascii="Times New Roman" w:hAnsi="Times New Roman" w:cs="Times New Roman"/>
          <w:b/>
          <w:bCs/>
          <w:sz w:val="24"/>
          <w:szCs w:val="24"/>
        </w:rPr>
      </w:pPr>
      <w:r w:rsidRPr="00EA38DE">
        <w:rPr>
          <w:rFonts w:ascii="Times New Roman" w:hAnsi="Times New Roman" w:cs="Times New Roman"/>
          <w:b/>
          <w:bCs/>
          <w:sz w:val="24"/>
          <w:szCs w:val="24"/>
        </w:rPr>
        <w:t>2.1.</w:t>
      </w:r>
      <w:r w:rsidR="000E62F9" w:rsidRPr="00EA38DE">
        <w:rPr>
          <w:rFonts w:ascii="Times New Roman" w:eastAsiaTheme="majorEastAsia" w:hAnsi="Times New Roman" w:cs="Times New Roman"/>
          <w:b/>
          <w:bCs/>
          <w:sz w:val="24"/>
          <w:szCs w:val="24"/>
        </w:rPr>
        <w:t>6.1</w:t>
      </w:r>
      <w:r w:rsidR="000E62F9" w:rsidRPr="00EA38DE">
        <w:rPr>
          <w:rFonts w:ascii="Times New Roman" w:eastAsiaTheme="majorEastAsia" w:hAnsi="Times New Roman" w:cs="Times New Roman"/>
          <w:b/>
          <w:bCs/>
          <w:sz w:val="24"/>
          <w:szCs w:val="24"/>
        </w:rPr>
        <w:tab/>
      </w:r>
      <w:r w:rsidRPr="00EA38DE">
        <w:rPr>
          <w:rFonts w:ascii="Times New Roman" w:hAnsi="Times New Roman" w:cs="Times New Roman"/>
          <w:b/>
          <w:bCs/>
          <w:sz w:val="24"/>
          <w:szCs w:val="24"/>
        </w:rPr>
        <w:t>Exchange Rate Volatility and Container Throughput</w:t>
      </w:r>
    </w:p>
    <w:p w14:paraId="0416C209" w14:textId="07DC8878"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Exchange rate volatility adversely affects container throughput in Nigeria by increasing the cost of imports and disrupting international trade. Studies by </w:t>
      </w:r>
      <w:r w:rsidR="00030C0C" w:rsidRPr="00EA38DE">
        <w:rPr>
          <w:rFonts w:ascii="Times New Roman" w:hAnsi="Times New Roman" w:cs="Times New Roman"/>
          <w:sz w:val="24"/>
          <w:szCs w:val="24"/>
        </w:rPr>
        <w:t>(</w:t>
      </w:r>
      <w:r w:rsidRPr="00EA38DE">
        <w:rPr>
          <w:rFonts w:ascii="Times New Roman" w:hAnsi="Times New Roman" w:cs="Times New Roman"/>
          <w:sz w:val="24"/>
          <w:szCs w:val="24"/>
        </w:rPr>
        <w:t xml:space="preserve">Adewuyi </w:t>
      </w:r>
      <w:r w:rsidR="00585856" w:rsidRPr="00EA38DE">
        <w:rPr>
          <w:rFonts w:ascii="Times New Roman" w:hAnsi="Times New Roman" w:cs="Times New Roman"/>
          <w:sz w:val="24"/>
          <w:szCs w:val="24"/>
        </w:rPr>
        <w:t>&amp;</w:t>
      </w:r>
      <w:r w:rsidRPr="00EA38DE">
        <w:rPr>
          <w:rFonts w:ascii="Times New Roman" w:hAnsi="Times New Roman" w:cs="Times New Roman"/>
          <w:sz w:val="24"/>
          <w:szCs w:val="24"/>
        </w:rPr>
        <w:t xml:space="preserve"> Adefolami 2021)</w:t>
      </w:r>
      <w:r w:rsidR="00585856" w:rsidRPr="00EA38DE">
        <w:rPr>
          <w:rFonts w:ascii="Times New Roman" w:hAnsi="Times New Roman" w:cs="Times New Roman"/>
          <w:sz w:val="24"/>
          <w:szCs w:val="24"/>
        </w:rPr>
        <w:t xml:space="preserve">; </w:t>
      </w:r>
      <w:r w:rsidR="00030C0C" w:rsidRPr="00EA38DE">
        <w:rPr>
          <w:rFonts w:ascii="Times New Roman" w:hAnsi="Times New Roman" w:cs="Times New Roman"/>
          <w:sz w:val="24"/>
          <w:szCs w:val="24"/>
        </w:rPr>
        <w:t>(</w:t>
      </w:r>
      <w:r w:rsidRPr="00EA38DE">
        <w:rPr>
          <w:rFonts w:ascii="Times New Roman" w:hAnsi="Times New Roman" w:cs="Times New Roman"/>
          <w:sz w:val="24"/>
          <w:szCs w:val="24"/>
        </w:rPr>
        <w:t xml:space="preserve">Obadan </w:t>
      </w:r>
      <w:r w:rsidR="00585856" w:rsidRPr="00EA38DE">
        <w:rPr>
          <w:rFonts w:ascii="Times New Roman" w:hAnsi="Times New Roman" w:cs="Times New Roman"/>
          <w:sz w:val="24"/>
          <w:szCs w:val="24"/>
        </w:rPr>
        <w:t>&amp;</w:t>
      </w:r>
      <w:r w:rsidRPr="00EA38DE">
        <w:rPr>
          <w:rFonts w:ascii="Times New Roman" w:hAnsi="Times New Roman" w:cs="Times New Roman"/>
          <w:sz w:val="24"/>
          <w:szCs w:val="24"/>
        </w:rPr>
        <w:t xml:space="preserve"> Omoruyi 2021) reveal that currency instability reduces Twenty-Foot Equivalent Unit (TEU) volumes, delays infrastructure investment, and undermines port efficiency. </w:t>
      </w:r>
      <w:r w:rsidR="00067AE8" w:rsidRPr="00EA38DE">
        <w:rPr>
          <w:rFonts w:ascii="Times New Roman" w:hAnsi="Times New Roman" w:cs="Times New Roman"/>
          <w:sz w:val="24"/>
          <w:szCs w:val="24"/>
        </w:rPr>
        <w:t>Furthermore</w:t>
      </w:r>
      <w:r w:rsidRPr="00EA38DE">
        <w:rPr>
          <w:rFonts w:ascii="Times New Roman" w:hAnsi="Times New Roman" w:cs="Times New Roman"/>
          <w:sz w:val="24"/>
          <w:szCs w:val="24"/>
        </w:rPr>
        <w:t>, higher costs of imported logistics inputs (e.g., fuel and machinery) due to naira depreciation limit container-handling capacity (Chukwu &amp; Ibrahim, 2019). To improve throughput and port performance, exchange rate stabilization and better access to foreign exchange are essential.</w:t>
      </w:r>
    </w:p>
    <w:p w14:paraId="439D5C28" w14:textId="595118B6" w:rsidR="004A41BF" w:rsidRPr="00EA38DE" w:rsidRDefault="004A41BF" w:rsidP="00767B17">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2.1.6.2</w:t>
      </w:r>
      <w:r w:rsidR="00252AD8">
        <w:rPr>
          <w:rFonts w:ascii="Times New Roman" w:hAnsi="Times New Roman" w:cs="Times New Roman"/>
          <w:b/>
          <w:bCs/>
          <w:sz w:val="24"/>
          <w:szCs w:val="24"/>
        </w:rPr>
        <w:tab/>
      </w:r>
      <w:r w:rsidRPr="00EA38DE">
        <w:rPr>
          <w:rFonts w:ascii="Times New Roman" w:hAnsi="Times New Roman" w:cs="Times New Roman"/>
          <w:b/>
          <w:bCs/>
          <w:sz w:val="24"/>
          <w:szCs w:val="24"/>
        </w:rPr>
        <w:t>Exchange Rate Volatility and Port Revenue</w:t>
      </w:r>
    </w:p>
    <w:p w14:paraId="06E54A85" w14:textId="3494C33D"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Exchange rate volatility significantly impacts port revenue in Nigeria by increasing the costs of imported equipment, spare parts, and fuel needed for port operations, which can reduce efficiency and cargo throughput (Chukwu &amp; Ibrahim, 2019). Volatility in the exchange rate also discourage importers and exporters due to higher transaction costs and uncertainty, leading to decreased cargo volumes and lower income from port charges and customs duties (Adewuyi &amp; Adefolami, 2021). </w:t>
      </w:r>
      <w:r w:rsidR="00672034" w:rsidRPr="00EA38DE">
        <w:rPr>
          <w:rFonts w:ascii="Times New Roman" w:hAnsi="Times New Roman" w:cs="Times New Roman"/>
          <w:sz w:val="24"/>
          <w:szCs w:val="24"/>
        </w:rPr>
        <w:t>Furthermore</w:t>
      </w:r>
      <w:r w:rsidRPr="00EA38DE">
        <w:rPr>
          <w:rFonts w:ascii="Times New Roman" w:hAnsi="Times New Roman" w:cs="Times New Roman"/>
          <w:sz w:val="24"/>
          <w:szCs w:val="24"/>
        </w:rPr>
        <w:t>, unstable exchange rates disrupt consistent funding for port infrastructure projects, limiting modernization efforts and the ability to handle larger cargo volumes (Obadan &amp; Omoruyi, 2021). While</w:t>
      </w:r>
      <w:r w:rsidR="00067AE8" w:rsidRPr="00EA38DE">
        <w:rPr>
          <w:rFonts w:ascii="Times New Roman" w:hAnsi="Times New Roman" w:cs="Times New Roman"/>
          <w:sz w:val="24"/>
          <w:szCs w:val="24"/>
        </w:rPr>
        <w:t>,</w:t>
      </w:r>
      <w:r w:rsidRPr="00EA38DE">
        <w:rPr>
          <w:rFonts w:ascii="Times New Roman" w:hAnsi="Times New Roman" w:cs="Times New Roman"/>
          <w:sz w:val="24"/>
          <w:szCs w:val="24"/>
        </w:rPr>
        <w:t xml:space="preserve"> a depreciated naira may enhance export competitiveness and increase port activity, excessive exchange rate instability raises operational risks and costs, deterring sustained port revenue growth (Chukwu &amp; Ibrahim, 2019). Therefore, stabilizing exchange rates and improving foreign exchange policies are essential for protecting and boosting Nigeria’s port revenue (Chukwu &amp; Ibrahim, 2019; Adewuyi &amp; Adefolami, 2021; Obadan &amp; Omoruyi, 2021).</w:t>
      </w:r>
    </w:p>
    <w:p w14:paraId="51881601" w14:textId="01D141CA" w:rsidR="00637791" w:rsidRPr="00EA38DE" w:rsidRDefault="00FE6490" w:rsidP="00767B17">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lastRenderedPageBreak/>
        <w:t>2.1.6.3</w:t>
      </w:r>
      <w:r w:rsidRPr="00EA38DE">
        <w:rPr>
          <w:rFonts w:ascii="Times New Roman" w:hAnsi="Times New Roman" w:cs="Times New Roman"/>
          <w:b/>
          <w:bCs/>
          <w:sz w:val="24"/>
          <w:szCs w:val="24"/>
        </w:rPr>
        <w:tab/>
      </w:r>
      <w:r w:rsidR="004A41BF" w:rsidRPr="00EA38DE">
        <w:rPr>
          <w:rFonts w:ascii="Times New Roman" w:hAnsi="Times New Roman" w:cs="Times New Roman"/>
          <w:b/>
          <w:bCs/>
          <w:sz w:val="24"/>
          <w:szCs w:val="24"/>
        </w:rPr>
        <w:t>Exchange Rate Volatility and Shipping Cost</w:t>
      </w:r>
    </w:p>
    <w:p w14:paraId="33C04980" w14:textId="71312DAC" w:rsidR="004A41BF" w:rsidRPr="00EA38DE" w:rsidRDefault="004A41BF" w:rsidP="00767B17">
      <w:pPr>
        <w:spacing w:line="480" w:lineRule="auto"/>
        <w:jc w:val="both"/>
        <w:rPr>
          <w:rFonts w:ascii="Times New Roman" w:hAnsi="Times New Roman" w:cs="Times New Roman"/>
          <w:b/>
          <w:bCs/>
          <w:sz w:val="24"/>
          <w:szCs w:val="24"/>
        </w:rPr>
      </w:pPr>
      <w:r w:rsidRPr="00EA38DE">
        <w:rPr>
          <w:rFonts w:ascii="Times New Roman" w:hAnsi="Times New Roman" w:cs="Times New Roman"/>
          <w:sz w:val="24"/>
          <w:szCs w:val="24"/>
        </w:rPr>
        <w:t xml:space="preserve">Exchange rate volatility significantly impacts shipping costs in Nigeria by increasing the prices of essential imported inputs such as fuel, spare parts, and maintenance equipment. This rise in operational expenses often leads shipping firms to pass on higher freight charges to customers. Studies, including those by </w:t>
      </w:r>
      <w:r w:rsidR="00030C0C" w:rsidRPr="00EA38DE">
        <w:rPr>
          <w:rFonts w:ascii="Times New Roman" w:hAnsi="Times New Roman" w:cs="Times New Roman"/>
          <w:sz w:val="24"/>
          <w:szCs w:val="24"/>
        </w:rPr>
        <w:t>(</w:t>
      </w:r>
      <w:r w:rsidRPr="00EA38DE">
        <w:rPr>
          <w:rFonts w:ascii="Times New Roman" w:hAnsi="Times New Roman" w:cs="Times New Roman"/>
          <w:sz w:val="24"/>
          <w:szCs w:val="24"/>
        </w:rPr>
        <w:t xml:space="preserve">Chukwu </w:t>
      </w:r>
      <w:r w:rsidR="00030C0C" w:rsidRPr="00EA38DE">
        <w:rPr>
          <w:rFonts w:ascii="Times New Roman" w:hAnsi="Times New Roman" w:cs="Times New Roman"/>
          <w:sz w:val="24"/>
          <w:szCs w:val="24"/>
        </w:rPr>
        <w:t xml:space="preserve">&amp; </w:t>
      </w:r>
      <w:r w:rsidRPr="00EA38DE">
        <w:rPr>
          <w:rFonts w:ascii="Times New Roman" w:hAnsi="Times New Roman" w:cs="Times New Roman"/>
          <w:sz w:val="24"/>
          <w:szCs w:val="24"/>
        </w:rPr>
        <w:t>Ibrahim</w:t>
      </w:r>
      <w:r w:rsidR="002B17E4" w:rsidRPr="00EA38DE">
        <w:rPr>
          <w:rFonts w:ascii="Times New Roman" w:hAnsi="Times New Roman" w:cs="Times New Roman"/>
          <w:sz w:val="24"/>
          <w:szCs w:val="24"/>
        </w:rPr>
        <w:t>,</w:t>
      </w:r>
      <w:r w:rsidRPr="00EA38DE">
        <w:rPr>
          <w:rFonts w:ascii="Times New Roman" w:hAnsi="Times New Roman" w:cs="Times New Roman"/>
          <w:sz w:val="24"/>
          <w:szCs w:val="24"/>
        </w:rPr>
        <w:t xml:space="preserve"> 2019</w:t>
      </w:r>
      <w:r w:rsidR="004E1002" w:rsidRPr="00EA38DE">
        <w:rPr>
          <w:rFonts w:ascii="Times New Roman" w:hAnsi="Times New Roman" w:cs="Times New Roman"/>
          <w:sz w:val="24"/>
          <w:szCs w:val="24"/>
        </w:rPr>
        <w:t>;</w:t>
      </w:r>
      <w:r w:rsidR="00030C0C" w:rsidRPr="00EA38DE">
        <w:rPr>
          <w:rFonts w:ascii="Times New Roman" w:hAnsi="Times New Roman" w:cs="Times New Roman"/>
          <w:sz w:val="24"/>
          <w:szCs w:val="24"/>
        </w:rPr>
        <w:t xml:space="preserve"> </w:t>
      </w:r>
      <w:r w:rsidRPr="00EA38DE">
        <w:rPr>
          <w:rFonts w:ascii="Times New Roman" w:hAnsi="Times New Roman" w:cs="Times New Roman"/>
          <w:sz w:val="24"/>
          <w:szCs w:val="24"/>
        </w:rPr>
        <w:t xml:space="preserve">Adewuyi </w:t>
      </w:r>
      <w:r w:rsidR="00030C0C" w:rsidRPr="00EA38DE">
        <w:rPr>
          <w:rFonts w:ascii="Times New Roman" w:hAnsi="Times New Roman" w:cs="Times New Roman"/>
          <w:sz w:val="24"/>
          <w:szCs w:val="24"/>
        </w:rPr>
        <w:t>&amp;</w:t>
      </w:r>
      <w:r w:rsidRPr="00EA38DE">
        <w:rPr>
          <w:rFonts w:ascii="Times New Roman" w:hAnsi="Times New Roman" w:cs="Times New Roman"/>
          <w:sz w:val="24"/>
          <w:szCs w:val="24"/>
        </w:rPr>
        <w:t xml:space="preserve"> Adefolami</w:t>
      </w:r>
      <w:r w:rsidR="002B17E4" w:rsidRPr="00EA38DE">
        <w:rPr>
          <w:rFonts w:ascii="Times New Roman" w:hAnsi="Times New Roman" w:cs="Times New Roman"/>
          <w:sz w:val="24"/>
          <w:szCs w:val="24"/>
        </w:rPr>
        <w:t>,</w:t>
      </w:r>
      <w:r w:rsidRPr="00EA38DE">
        <w:rPr>
          <w:rFonts w:ascii="Times New Roman" w:hAnsi="Times New Roman" w:cs="Times New Roman"/>
          <w:sz w:val="24"/>
          <w:szCs w:val="24"/>
        </w:rPr>
        <w:t xml:space="preserve"> 2021), confirm that both short-term shocks and long-term currency depreciation contribute to surging shipping expenses. </w:t>
      </w:r>
      <w:r w:rsidR="0022680C" w:rsidRPr="00EA38DE">
        <w:rPr>
          <w:rFonts w:ascii="Times New Roman" w:hAnsi="Times New Roman" w:cs="Times New Roman"/>
          <w:sz w:val="24"/>
          <w:szCs w:val="24"/>
        </w:rPr>
        <w:t>Similarly</w:t>
      </w:r>
      <w:r w:rsidRPr="00EA38DE">
        <w:rPr>
          <w:rFonts w:ascii="Times New Roman" w:hAnsi="Times New Roman" w:cs="Times New Roman"/>
          <w:sz w:val="24"/>
          <w:szCs w:val="24"/>
        </w:rPr>
        <w:t>, companies adopt costly risk mitigation strategies like currency hedging, which further elevate costs and reduce investment incentives in shipping infrastructure. Overall, stabilizing exchange rates and improving hedging options are crucial to controlling shipping costs and supporting the sector's growth in Nigeria.</w:t>
      </w:r>
    </w:p>
    <w:p w14:paraId="42E85584" w14:textId="75C3F999" w:rsidR="004A41BF" w:rsidRPr="00EA38DE" w:rsidRDefault="004A41BF" w:rsidP="00767B17">
      <w:pPr>
        <w:spacing w:line="480" w:lineRule="auto"/>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2.1.6.4</w:t>
      </w:r>
      <w:r w:rsidR="00FE6490" w:rsidRPr="00EA38DE">
        <w:rPr>
          <w:rFonts w:ascii="Times New Roman" w:eastAsia="Times New Roman" w:hAnsi="Times New Roman" w:cs="Times New Roman"/>
          <w:b/>
          <w:bCs/>
          <w:sz w:val="24"/>
          <w:szCs w:val="24"/>
        </w:rPr>
        <w:tab/>
      </w:r>
      <w:r w:rsidRPr="00EA38DE">
        <w:rPr>
          <w:rFonts w:ascii="Times New Roman" w:eastAsia="Times New Roman" w:hAnsi="Times New Roman" w:cs="Times New Roman"/>
          <w:b/>
          <w:bCs/>
          <w:sz w:val="24"/>
          <w:szCs w:val="24"/>
        </w:rPr>
        <w:t xml:space="preserve">Fisheries and Container Throughput </w:t>
      </w:r>
    </w:p>
    <w:p w14:paraId="45C7520F" w14:textId="5C87669A"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The fisheries sector plays a vital role in driving container throughput revenue by increasing demand for specialized refrigerated containers and time-sensitive logistics, especially in coastal economies like Nigeria. Rising fish production and aquaculture exports have led to higher cargo volumes at Nigerian ports, positively impacting container throughput and associated port revenues from handling charges and tariffs (Eze &amp; Ugochukwu, 2021; Obioma &amp; Bassey, 2020). However, inadequate port infrastructure such as limited cold storage and slow customs processing restricts the sector’s full revenue potential (</w:t>
      </w:r>
      <w:r w:rsidR="008B7891" w:rsidRPr="00EA38DE">
        <w:rPr>
          <w:rFonts w:ascii="Times New Roman" w:hAnsi="Times New Roman" w:cs="Times New Roman"/>
          <w:sz w:val="24"/>
          <w:szCs w:val="24"/>
        </w:rPr>
        <w:t>Adewumi</w:t>
      </w:r>
      <w:r w:rsidR="002B17E4" w:rsidRPr="00EA38DE">
        <w:rPr>
          <w:rFonts w:ascii="Times New Roman" w:hAnsi="Times New Roman" w:cs="Times New Roman"/>
          <w:sz w:val="24"/>
          <w:szCs w:val="24"/>
        </w:rPr>
        <w:t xml:space="preserve"> et al.</w:t>
      </w:r>
      <w:r w:rsidR="00767B17" w:rsidRPr="00EA38DE">
        <w:rPr>
          <w:rFonts w:ascii="Times New Roman" w:hAnsi="Times New Roman" w:cs="Times New Roman"/>
          <w:sz w:val="24"/>
          <w:szCs w:val="24"/>
        </w:rPr>
        <w:t>,</w:t>
      </w:r>
      <w:r w:rsidR="002B17E4" w:rsidRPr="00EA38DE">
        <w:rPr>
          <w:rFonts w:ascii="Times New Roman" w:hAnsi="Times New Roman" w:cs="Times New Roman"/>
          <w:sz w:val="24"/>
          <w:szCs w:val="24"/>
        </w:rPr>
        <w:t xml:space="preserve"> </w:t>
      </w:r>
      <w:r w:rsidRPr="00EA38DE">
        <w:rPr>
          <w:rFonts w:ascii="Times New Roman" w:eastAsia="Times New Roman" w:hAnsi="Times New Roman" w:cs="Times New Roman"/>
          <w:sz w:val="24"/>
          <w:szCs w:val="24"/>
        </w:rPr>
        <w:t>2023). Investments in fisheries infrastructure, including cold chain facilities and processing hubs, significantly boost container throughput by strengthening the linkages between fisheries production and maritime logistics (Ibe &amp; Nwaogu, 2023). To fully harness fisheries-related container revenue, improvements in port modernization, export facilitation, and exchange rate stability are essential.</w:t>
      </w:r>
    </w:p>
    <w:p w14:paraId="0AA3E7CA" w14:textId="77777777" w:rsidR="004A41BF" w:rsidRPr="00EA38DE" w:rsidRDefault="004A41BF" w:rsidP="00767B17">
      <w:pPr>
        <w:spacing w:line="480" w:lineRule="auto"/>
        <w:rPr>
          <w:rFonts w:ascii="Times New Roman" w:hAnsi="Times New Roman" w:cs="Times New Roman"/>
          <w:b/>
          <w:bCs/>
          <w:sz w:val="24"/>
          <w:szCs w:val="24"/>
        </w:rPr>
      </w:pPr>
      <w:r w:rsidRPr="00EA38DE">
        <w:rPr>
          <w:rFonts w:ascii="Times New Roman" w:hAnsi="Times New Roman" w:cs="Times New Roman"/>
          <w:b/>
          <w:bCs/>
          <w:sz w:val="24"/>
          <w:szCs w:val="24"/>
        </w:rPr>
        <w:lastRenderedPageBreak/>
        <w:t>2.1.</w:t>
      </w:r>
      <w:r w:rsidRPr="00EA38DE">
        <w:rPr>
          <w:rFonts w:ascii="Times New Roman" w:eastAsiaTheme="majorEastAsia" w:hAnsi="Times New Roman" w:cs="Times New Roman"/>
          <w:b/>
          <w:bCs/>
          <w:sz w:val="24"/>
          <w:szCs w:val="24"/>
        </w:rPr>
        <w:t>6.5</w:t>
      </w:r>
      <w:r w:rsidRPr="00EA38DE">
        <w:rPr>
          <w:rFonts w:ascii="Times New Roman" w:hAnsi="Times New Roman" w:cs="Times New Roman"/>
          <w:b/>
          <w:bCs/>
          <w:sz w:val="24"/>
          <w:szCs w:val="24"/>
        </w:rPr>
        <w:t xml:space="preserve"> Fisheries and Port Revenue </w:t>
      </w:r>
    </w:p>
    <w:p w14:paraId="4CFFD7CB" w14:textId="659DB608"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fisheries sector significantly drives port revenue in Nigeria by increasing cargo volumes through fish product imports and exports, which generate income from port charges, customs duties, and logistics services. Studies such as</w:t>
      </w:r>
      <w:r w:rsidR="0022680C" w:rsidRPr="00EA38DE">
        <w:rPr>
          <w:rFonts w:ascii="Times New Roman" w:hAnsi="Times New Roman" w:cs="Times New Roman"/>
          <w:sz w:val="24"/>
          <w:szCs w:val="24"/>
        </w:rPr>
        <w:t>,</w:t>
      </w:r>
      <w:r w:rsidRPr="00EA38DE">
        <w:rPr>
          <w:rFonts w:ascii="Times New Roman" w:hAnsi="Times New Roman" w:cs="Times New Roman"/>
          <w:sz w:val="24"/>
          <w:szCs w:val="24"/>
        </w:rPr>
        <w:t xml:space="preserve"> </w:t>
      </w:r>
      <w:r w:rsidR="00030C0C" w:rsidRPr="00EA38DE">
        <w:rPr>
          <w:rFonts w:ascii="Times New Roman" w:hAnsi="Times New Roman" w:cs="Times New Roman"/>
          <w:sz w:val="24"/>
          <w:szCs w:val="24"/>
        </w:rPr>
        <w:t>(</w:t>
      </w:r>
      <w:r w:rsidRPr="00EA38DE">
        <w:rPr>
          <w:rFonts w:ascii="Times New Roman" w:hAnsi="Times New Roman" w:cs="Times New Roman"/>
          <w:sz w:val="24"/>
          <w:szCs w:val="24"/>
        </w:rPr>
        <w:t xml:space="preserve">Obioma </w:t>
      </w:r>
      <w:r w:rsidR="009D18F6" w:rsidRPr="00EA38DE">
        <w:rPr>
          <w:rFonts w:ascii="Times New Roman" w:hAnsi="Times New Roman" w:cs="Times New Roman"/>
          <w:sz w:val="24"/>
          <w:szCs w:val="24"/>
        </w:rPr>
        <w:t>&amp;</w:t>
      </w:r>
      <w:r w:rsidRPr="00EA38DE">
        <w:rPr>
          <w:rFonts w:ascii="Times New Roman" w:hAnsi="Times New Roman" w:cs="Times New Roman"/>
          <w:sz w:val="24"/>
          <w:szCs w:val="24"/>
        </w:rPr>
        <w:t xml:space="preserve"> Bassey</w:t>
      </w:r>
      <w:r w:rsidR="00767B17" w:rsidRPr="00EA38DE">
        <w:rPr>
          <w:rFonts w:ascii="Times New Roman" w:hAnsi="Times New Roman" w:cs="Times New Roman"/>
          <w:sz w:val="24"/>
          <w:szCs w:val="24"/>
        </w:rPr>
        <w:t>,</w:t>
      </w:r>
      <w:r w:rsidRPr="00EA38DE">
        <w:rPr>
          <w:rFonts w:ascii="Times New Roman" w:hAnsi="Times New Roman" w:cs="Times New Roman"/>
          <w:sz w:val="24"/>
          <w:szCs w:val="24"/>
        </w:rPr>
        <w:t xml:space="preserve"> 2020) found that a 1% rise in marine fish output led to a 0.4% increase in seafood container shipments, boosting port throughput and revenue. </w:t>
      </w:r>
      <w:r w:rsidR="00030C0C" w:rsidRPr="00EA38DE">
        <w:rPr>
          <w:rFonts w:ascii="Times New Roman" w:hAnsi="Times New Roman" w:cs="Times New Roman"/>
          <w:sz w:val="24"/>
          <w:szCs w:val="24"/>
        </w:rPr>
        <w:t>(</w:t>
      </w:r>
      <w:r w:rsidRPr="00EA38DE">
        <w:rPr>
          <w:rFonts w:ascii="Times New Roman" w:hAnsi="Times New Roman" w:cs="Times New Roman"/>
          <w:sz w:val="24"/>
          <w:szCs w:val="24"/>
        </w:rPr>
        <w:t xml:space="preserve">Ekanem </w:t>
      </w:r>
      <w:r w:rsidR="009D18F6" w:rsidRPr="00EA38DE">
        <w:rPr>
          <w:rFonts w:ascii="Times New Roman" w:hAnsi="Times New Roman" w:cs="Times New Roman"/>
          <w:sz w:val="24"/>
          <w:szCs w:val="24"/>
        </w:rPr>
        <w:t>&amp;</w:t>
      </w:r>
      <w:r w:rsidRPr="00EA38DE">
        <w:rPr>
          <w:rFonts w:ascii="Times New Roman" w:hAnsi="Times New Roman" w:cs="Times New Roman"/>
          <w:sz w:val="24"/>
          <w:szCs w:val="24"/>
        </w:rPr>
        <w:t xml:space="preserve"> Bako</w:t>
      </w:r>
      <w:r w:rsidR="00767B17" w:rsidRPr="00EA38DE">
        <w:rPr>
          <w:rFonts w:ascii="Times New Roman" w:hAnsi="Times New Roman" w:cs="Times New Roman"/>
          <w:sz w:val="24"/>
          <w:szCs w:val="24"/>
        </w:rPr>
        <w:t>,</w:t>
      </w:r>
      <w:r w:rsidRPr="00EA38DE">
        <w:rPr>
          <w:rFonts w:ascii="Times New Roman" w:hAnsi="Times New Roman" w:cs="Times New Roman"/>
          <w:sz w:val="24"/>
          <w:szCs w:val="24"/>
        </w:rPr>
        <w:t xml:space="preserve"> 2021) also highlighted fisheries’ substantial economic contribution, including employment and over ₦25 billion annually in customs and port fees. However, inadequate port infrastructure, inefficient customs processes, and limited cold storage hinder growth. Exchange rate volatility further raises operational costs and input prices, constraining fisheries trade and port activity (Chukwu &amp; Ibrahim, 2019). To fully realize fisheries’ revenue potential, improvements in port facilities, customs efficiency, and macroeconomic stability are essential.</w:t>
      </w:r>
    </w:p>
    <w:p w14:paraId="0E06756B" w14:textId="77777777" w:rsidR="004A41BF" w:rsidRPr="00EA38DE" w:rsidRDefault="004A41BF" w:rsidP="00767B17">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2.1.</w:t>
      </w:r>
      <w:r w:rsidRPr="00EA38DE">
        <w:rPr>
          <w:rFonts w:ascii="Times New Roman" w:eastAsiaTheme="majorEastAsia" w:hAnsi="Times New Roman" w:cs="Times New Roman"/>
          <w:b/>
          <w:bCs/>
          <w:sz w:val="24"/>
          <w:szCs w:val="24"/>
        </w:rPr>
        <w:t>6.6</w:t>
      </w:r>
      <w:r w:rsidRPr="00EA38DE">
        <w:rPr>
          <w:rFonts w:ascii="Times New Roman" w:hAnsi="Times New Roman" w:cs="Times New Roman"/>
          <w:b/>
          <w:bCs/>
          <w:sz w:val="24"/>
          <w:szCs w:val="24"/>
        </w:rPr>
        <w:t xml:space="preserve"> Fisheries and Shipping Cost </w:t>
      </w:r>
    </w:p>
    <w:p w14:paraId="28D34837" w14:textId="1BC428F1"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fisheries sector significantly influences shipping cost revenue through its demand for maritime logistics, especially for transporting perishable fish products that require specialized cold-chain services. In Nigeria, growth in both marine capture and aquaculture production has driven higher volumes of refrigerated cargo, leading to increased freight charges and shipping company revenues (Eze &amp; Ugochukwu, 2021; Onuoha &amp; Okonkwo, 2018). However, inadequate fisheries infrastructure, fragmented cold-chain logistics, and energy constraints limit the full potential of revenue generation from fisheries-related shipping activities (</w:t>
      </w:r>
      <w:r w:rsidR="00767B17" w:rsidRPr="00EA38DE">
        <w:rPr>
          <w:rFonts w:ascii="Times New Roman" w:hAnsi="Times New Roman" w:cs="Times New Roman"/>
          <w:sz w:val="24"/>
          <w:szCs w:val="24"/>
        </w:rPr>
        <w:t>Adewuyi</w:t>
      </w:r>
      <w:r w:rsidR="008B7891" w:rsidRPr="00EA38DE">
        <w:rPr>
          <w:rFonts w:ascii="Times New Roman" w:hAnsi="Times New Roman" w:cs="Times New Roman"/>
          <w:sz w:val="24"/>
          <w:szCs w:val="24"/>
        </w:rPr>
        <w:t xml:space="preserve"> </w:t>
      </w:r>
      <w:r w:rsidR="004E1002" w:rsidRPr="00EA38DE">
        <w:rPr>
          <w:rFonts w:ascii="Times New Roman" w:hAnsi="Times New Roman" w:cs="Times New Roman"/>
          <w:sz w:val="24"/>
          <w:szCs w:val="24"/>
        </w:rPr>
        <w:t>et al.</w:t>
      </w:r>
      <w:r w:rsidR="008B7891" w:rsidRPr="00EA38DE">
        <w:rPr>
          <w:rFonts w:ascii="Times New Roman" w:hAnsi="Times New Roman" w:cs="Times New Roman"/>
          <w:sz w:val="24"/>
          <w:szCs w:val="24"/>
        </w:rPr>
        <w:t xml:space="preserve">, </w:t>
      </w:r>
      <w:r w:rsidRPr="00EA38DE">
        <w:rPr>
          <w:rFonts w:ascii="Times New Roman" w:hAnsi="Times New Roman" w:cs="Times New Roman"/>
          <w:sz w:val="24"/>
          <w:szCs w:val="24"/>
        </w:rPr>
        <w:t xml:space="preserve">2022). </w:t>
      </w:r>
      <w:r w:rsidR="0022680C" w:rsidRPr="00EA38DE">
        <w:rPr>
          <w:rFonts w:ascii="Times New Roman" w:hAnsi="Times New Roman" w:cs="Times New Roman"/>
          <w:sz w:val="24"/>
          <w:szCs w:val="24"/>
        </w:rPr>
        <w:t>Also</w:t>
      </w:r>
      <w:r w:rsidRPr="00EA38DE">
        <w:rPr>
          <w:rFonts w:ascii="Times New Roman" w:hAnsi="Times New Roman" w:cs="Times New Roman"/>
          <w:sz w:val="24"/>
          <w:szCs w:val="24"/>
        </w:rPr>
        <w:t xml:space="preserve">, exchange rate volatility raises production and shipping costs, which impacts freight rates and the competitiveness of Nigerian shipping firms in global markets (Chukwu &amp; Ibrahim, 2019). Overall, </w:t>
      </w:r>
      <w:r w:rsidRPr="00EA38DE">
        <w:rPr>
          <w:rFonts w:ascii="Times New Roman" w:hAnsi="Times New Roman" w:cs="Times New Roman"/>
          <w:sz w:val="24"/>
          <w:szCs w:val="24"/>
        </w:rPr>
        <w:lastRenderedPageBreak/>
        <w:t>while</w:t>
      </w:r>
      <w:r w:rsidR="0022680C" w:rsidRPr="00EA38DE">
        <w:rPr>
          <w:rFonts w:ascii="Times New Roman" w:hAnsi="Times New Roman" w:cs="Times New Roman"/>
          <w:sz w:val="24"/>
          <w:szCs w:val="24"/>
        </w:rPr>
        <w:t>,</w:t>
      </w:r>
      <w:r w:rsidRPr="00EA38DE">
        <w:rPr>
          <w:rFonts w:ascii="Times New Roman" w:hAnsi="Times New Roman" w:cs="Times New Roman"/>
          <w:sz w:val="24"/>
          <w:szCs w:val="24"/>
        </w:rPr>
        <w:t xml:space="preserve"> fisheries growth can boost shipping revenues, systemic inefficiencies and macroeconomic instability pose significant challenges.</w:t>
      </w:r>
    </w:p>
    <w:p w14:paraId="4C861E40" w14:textId="77777777" w:rsidR="004A41BF" w:rsidRPr="00EA38DE" w:rsidRDefault="004A41BF" w:rsidP="00767B17">
      <w:pPr>
        <w:spacing w:line="480" w:lineRule="auto"/>
        <w:rPr>
          <w:rFonts w:ascii="Times New Roman" w:eastAsia="Times New Roman" w:hAnsi="Times New Roman" w:cs="Times New Roman"/>
          <w:sz w:val="24"/>
          <w:szCs w:val="24"/>
        </w:rPr>
      </w:pPr>
      <w:r w:rsidRPr="00EA38DE">
        <w:rPr>
          <w:rFonts w:ascii="Times New Roman" w:eastAsia="Times New Roman" w:hAnsi="Times New Roman" w:cs="Times New Roman"/>
          <w:b/>
          <w:bCs/>
          <w:sz w:val="24"/>
          <w:szCs w:val="24"/>
        </w:rPr>
        <w:t xml:space="preserve">2.1.6.7 Aquaculture and Container Throughput </w:t>
      </w:r>
    </w:p>
    <w:p w14:paraId="69DED57D" w14:textId="77777777" w:rsidR="00767B17" w:rsidRPr="00EA38DE" w:rsidRDefault="004A41BF" w:rsidP="00767B17">
      <w:pPr>
        <w:spacing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Aquaculture is a key driver of container throughput revenue at Nigerian ports, due to increased demand for refrigerated containers used to transport perishable fish products. Studies by </w:t>
      </w:r>
      <w:r w:rsidR="009F3B23"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Onuoha </w:t>
      </w:r>
      <w:r w:rsidR="004E1002"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Okonkwo 2018</w:t>
      </w:r>
      <w:r w:rsidR="004E1002"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Ibe </w:t>
      </w:r>
      <w:r w:rsidR="004E1002"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Nwaogu 2023) confirm a positive correlation between aquaculture growth and container volumes, particularly where cold storage and processing infrastructure are present. However, port congestion, limited cold chain capacity, and exchange rate volatility hinder the full realization of revenue potential. Addressing these infrastructural and macroeconomic challenges is crucial to maximizing aquaculture’s contribution to port throughput and associated revenues</w:t>
      </w:r>
      <w:r w:rsidR="00D5177F" w:rsidRPr="00EA38DE">
        <w:rPr>
          <w:rFonts w:ascii="Times New Roman" w:eastAsia="Times New Roman" w:hAnsi="Times New Roman" w:cs="Times New Roman"/>
          <w:sz w:val="24"/>
          <w:szCs w:val="24"/>
        </w:rPr>
        <w:t xml:space="preserve"> </w:t>
      </w:r>
      <w:r w:rsidR="00672034" w:rsidRPr="00EA38DE">
        <w:rPr>
          <w:rFonts w:ascii="Times New Roman" w:hAnsi="Times New Roman" w:cs="Times New Roman"/>
          <w:sz w:val="24"/>
          <w:szCs w:val="24"/>
        </w:rPr>
        <w:t>(</w:t>
      </w:r>
      <w:r w:rsidR="00D5177F" w:rsidRPr="00EA38DE">
        <w:rPr>
          <w:rFonts w:ascii="Times New Roman" w:hAnsi="Times New Roman" w:cs="Times New Roman"/>
          <w:sz w:val="24"/>
          <w:szCs w:val="24"/>
        </w:rPr>
        <w:t>FAO, 2022</w:t>
      </w:r>
      <w:r w:rsidR="00672034" w:rsidRPr="00EA38DE">
        <w:rPr>
          <w:rFonts w:ascii="Times New Roman" w:hAnsi="Times New Roman" w:cs="Times New Roman"/>
          <w:sz w:val="24"/>
          <w:szCs w:val="24"/>
        </w:rPr>
        <w:t>)</w:t>
      </w:r>
      <w:r w:rsidR="00D5177F" w:rsidRPr="00EA38DE">
        <w:rPr>
          <w:rFonts w:ascii="Times New Roman" w:hAnsi="Times New Roman" w:cs="Times New Roman"/>
          <w:sz w:val="24"/>
          <w:szCs w:val="24"/>
        </w:rPr>
        <w:t>.</w:t>
      </w:r>
    </w:p>
    <w:p w14:paraId="03E492D6" w14:textId="77777777" w:rsidR="00767B17" w:rsidRPr="00EA38DE" w:rsidRDefault="004A41BF" w:rsidP="00767B17">
      <w:pPr>
        <w:spacing w:line="480" w:lineRule="auto"/>
        <w:jc w:val="both"/>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 xml:space="preserve">2.1.6.8 Aquaculture and Port Revenue </w:t>
      </w:r>
    </w:p>
    <w:p w14:paraId="4C4A2C55" w14:textId="53B1C4B9"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Aquaculture significantly boosts port revenue in Nigeria by increasing demand for containerized transport, especially refrigerated containers, and generating income from handling charges, customs duties, and storage fees. Studies by </w:t>
      </w:r>
      <w:r w:rsidR="009F3B23"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Eze </w:t>
      </w:r>
      <w:r w:rsidR="0033302F"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Uchenna 2021</w:t>
      </w:r>
      <w:r w:rsidR="00F10E21"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 xml:space="preserve">Chukwu </w:t>
      </w:r>
      <w:r w:rsidR="00A951D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Adebayo 2021) demonstrate a strong positive link between aquaculture exports and port throughput, with ports equipped with cold storage and efficient customs processing seeing higher revenue. </w:t>
      </w:r>
      <w:r w:rsidR="009F3B23"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Ekanem </w:t>
      </w:r>
      <w:r w:rsidR="00A951D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Bako 2021) quantified this impact, showing substantial customs and service charge revenues from aquaculture cargo. However, infrastructural deficits like inadequate cold chain facilities and slow inspection processes, highlighted by Adewumi et al. (2023), hinder the sector’s full revenue potential. To maximize port income from aquaculture, investments in cold logistics, automation, and digital customs, alongside coordinated policies among key agencies, are essential.</w:t>
      </w:r>
    </w:p>
    <w:p w14:paraId="54939E8E" w14:textId="21C4BD2F" w:rsidR="004A41BF" w:rsidRPr="00EA38DE" w:rsidRDefault="004A41BF" w:rsidP="00767B17">
      <w:pPr>
        <w:spacing w:line="480" w:lineRule="auto"/>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lastRenderedPageBreak/>
        <w:t>2.1.6.9 Aquaculture and Shipping Cost</w:t>
      </w:r>
    </w:p>
    <w:p w14:paraId="3E369A15" w14:textId="3D24653A"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Aquaculture expansion in Nigeria drives demand for specialized shipping services, particularly refrigerated containers and cold chain logistics, boosting shipping companies’ revenues. Onuoha </w:t>
      </w:r>
      <w:r w:rsidR="00A951D7" w:rsidRPr="00EA38DE">
        <w:rPr>
          <w:rFonts w:ascii="Times New Roman" w:eastAsia="Times New Roman" w:hAnsi="Times New Roman" w:cs="Times New Roman"/>
          <w:sz w:val="24"/>
          <w:szCs w:val="24"/>
        </w:rPr>
        <w:t xml:space="preserve">&amp; </w:t>
      </w:r>
      <w:r w:rsidRPr="00EA38DE">
        <w:rPr>
          <w:rFonts w:ascii="Times New Roman" w:eastAsia="Times New Roman" w:hAnsi="Times New Roman" w:cs="Times New Roman"/>
          <w:sz w:val="24"/>
          <w:szCs w:val="24"/>
        </w:rPr>
        <w:t xml:space="preserve">Okonkwo (2018) found a strong positive link between aquaculture output and shipping earnings, emphasizing the importance of cold chain services for product quality and higher freight charges. </w:t>
      </w:r>
      <w:r w:rsidR="008B7891" w:rsidRPr="00EA38DE">
        <w:rPr>
          <w:rStyle w:val="Strong"/>
          <w:rFonts w:ascii="Times New Roman" w:hAnsi="Times New Roman" w:cs="Times New Roman"/>
          <w:b w:val="0"/>
          <w:sz w:val="24"/>
          <w:szCs w:val="24"/>
        </w:rPr>
        <w:t xml:space="preserve">Abila, </w:t>
      </w:r>
      <w:r w:rsidR="00A951D7" w:rsidRPr="00EA38DE">
        <w:rPr>
          <w:rStyle w:val="Strong"/>
          <w:rFonts w:ascii="Times New Roman" w:hAnsi="Times New Roman" w:cs="Times New Roman"/>
          <w:b w:val="0"/>
          <w:sz w:val="24"/>
          <w:szCs w:val="24"/>
        </w:rPr>
        <w:t>et al.</w:t>
      </w:r>
      <w:r w:rsidR="008B7891" w:rsidRPr="00EA38DE">
        <w:rPr>
          <w:rStyle w:val="Strong"/>
          <w:rFonts w:ascii="Times New Roman" w:hAnsi="Times New Roman" w:cs="Times New Roman"/>
          <w:b w:val="0"/>
          <w:sz w:val="24"/>
          <w:szCs w:val="24"/>
        </w:rPr>
        <w:t xml:space="preserve"> (2021)</w:t>
      </w:r>
      <w:r w:rsidRPr="00EA38DE">
        <w:rPr>
          <w:rFonts w:ascii="Times New Roman" w:eastAsia="Times New Roman" w:hAnsi="Times New Roman" w:cs="Times New Roman"/>
          <w:sz w:val="24"/>
          <w:szCs w:val="24"/>
        </w:rPr>
        <w:t xml:space="preserve"> confirmed increased demand for specialized vessels in West Africa but noted that exchange rate volatility raises input costs such as fuel and maintenance. Chukwu </w:t>
      </w:r>
      <w:r w:rsidR="00A951D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Ibrahim (2019) highlighted how currency </w:t>
      </w:r>
      <w:r w:rsidR="00F320C0"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and port congestion increase operational expenses, pushing shipping firms to raise charges, which can hurt competitiveness. Adekunle </w:t>
      </w:r>
      <w:r w:rsidR="00A951D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Eyo (2022) also found that fuel price shocks and port inefficiencies inflate costs, though long-term aquaculture growth benefits shipping profitability. </w:t>
      </w:r>
      <w:r w:rsidR="00D571ED" w:rsidRPr="00EA38DE">
        <w:rPr>
          <w:rFonts w:ascii="Times New Roman" w:eastAsia="Times New Roman" w:hAnsi="Times New Roman" w:cs="Times New Roman"/>
          <w:sz w:val="24"/>
          <w:szCs w:val="24"/>
        </w:rPr>
        <w:t>Gen</w:t>
      </w:r>
      <w:r w:rsidRPr="00EA38DE">
        <w:rPr>
          <w:rFonts w:ascii="Times New Roman" w:eastAsia="Times New Roman" w:hAnsi="Times New Roman" w:cs="Times New Roman"/>
          <w:sz w:val="24"/>
          <w:szCs w:val="24"/>
        </w:rPr>
        <w:t>erall</w:t>
      </w:r>
      <w:r w:rsidR="00D571ED" w:rsidRPr="00EA38DE">
        <w:rPr>
          <w:rFonts w:ascii="Times New Roman" w:eastAsia="Times New Roman" w:hAnsi="Times New Roman" w:cs="Times New Roman"/>
          <w:sz w:val="24"/>
          <w:szCs w:val="24"/>
        </w:rPr>
        <w:t>y</w:t>
      </w:r>
      <w:r w:rsidRPr="00EA38DE">
        <w:rPr>
          <w:rFonts w:ascii="Times New Roman" w:eastAsia="Times New Roman" w:hAnsi="Times New Roman" w:cs="Times New Roman"/>
          <w:sz w:val="24"/>
          <w:szCs w:val="24"/>
        </w:rPr>
        <w:t>, while aquaculture growth boosts shipping revenues, managing exchange rate risks, infrastructure, and logistics efficiency is essential to control shipping costs and sustain profitability.</w:t>
      </w:r>
    </w:p>
    <w:p w14:paraId="4FC1F211" w14:textId="7C68F52A" w:rsidR="004A41BF" w:rsidRPr="00EA38DE" w:rsidRDefault="00767B17"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
          <w:bCs/>
          <w:sz w:val="24"/>
          <w:szCs w:val="24"/>
        </w:rPr>
        <w:t>2.1.7</w:t>
      </w:r>
      <w:r w:rsidRPr="00EA38DE">
        <w:rPr>
          <w:rFonts w:ascii="Times New Roman" w:eastAsia="Times New Roman" w:hAnsi="Times New Roman" w:cs="Times New Roman"/>
          <w:b/>
          <w:bCs/>
          <w:sz w:val="24"/>
          <w:szCs w:val="24"/>
        </w:rPr>
        <w:tab/>
      </w:r>
      <w:r w:rsidR="004A41BF" w:rsidRPr="00EA38DE">
        <w:rPr>
          <w:rFonts w:ascii="Times New Roman" w:eastAsia="Times New Roman" w:hAnsi="Times New Roman" w:cs="Times New Roman"/>
          <w:b/>
          <w:bCs/>
          <w:sz w:val="24"/>
          <w:szCs w:val="24"/>
        </w:rPr>
        <w:t xml:space="preserve">Desalination and Container Throughput </w:t>
      </w:r>
    </w:p>
    <w:p w14:paraId="5E70593B" w14:textId="477871A4"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Desalination is an emerging blue economy subsector that positively contributes to container throughput revenue in Nigeria by increasing demand for the importation of specialized equipment via containerized shipping. </w:t>
      </w:r>
      <w:r w:rsidR="008B7891" w:rsidRPr="00EA38DE">
        <w:rPr>
          <w:rFonts w:ascii="Times New Roman" w:eastAsia="Times New Roman" w:hAnsi="Times New Roman" w:cs="Times New Roman"/>
          <w:sz w:val="24"/>
          <w:szCs w:val="24"/>
        </w:rPr>
        <w:t xml:space="preserve">Okoro </w:t>
      </w:r>
      <w:r w:rsidR="00A951D7" w:rsidRPr="00EA38DE">
        <w:rPr>
          <w:rFonts w:ascii="Times New Roman" w:eastAsia="Times New Roman" w:hAnsi="Times New Roman" w:cs="Times New Roman"/>
          <w:sz w:val="24"/>
          <w:szCs w:val="24"/>
        </w:rPr>
        <w:t>et al.</w:t>
      </w:r>
      <w:r w:rsidR="008B7891" w:rsidRPr="00EA38DE">
        <w:rPr>
          <w:rFonts w:ascii="Times New Roman" w:eastAsia="Times New Roman" w:hAnsi="Times New Roman" w:cs="Times New Roman"/>
          <w:sz w:val="24"/>
          <w:szCs w:val="24"/>
        </w:rPr>
        <w:t xml:space="preserve"> (2022)</w:t>
      </w:r>
      <w:r w:rsidR="00093871"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Eze </w:t>
      </w:r>
      <w:r w:rsidR="00093871" w:rsidRPr="00EA38DE">
        <w:rPr>
          <w:rFonts w:ascii="Times New Roman" w:eastAsia="Times New Roman" w:hAnsi="Times New Roman" w:cs="Times New Roman"/>
          <w:sz w:val="24"/>
          <w:szCs w:val="24"/>
        </w:rPr>
        <w:t xml:space="preserve">&amp; </w:t>
      </w:r>
      <w:r w:rsidRPr="00EA38DE">
        <w:rPr>
          <w:rFonts w:ascii="Times New Roman" w:eastAsia="Times New Roman" w:hAnsi="Times New Roman" w:cs="Times New Roman"/>
          <w:sz w:val="24"/>
          <w:szCs w:val="24"/>
        </w:rPr>
        <w:t>Onyekachi (2023) highlight that over 85% of desalination imports use sea freight, with a strong correlation between desalination activity and container traffic at key ports. However, infrastructural bottlenecks, energy costs, and exchange rate volatility pose constraints. Enhancing port infrastructure and ensuring macroeconomic stability are key to unlocking the full revenue potential of desalination-related shipping.</w:t>
      </w:r>
    </w:p>
    <w:p w14:paraId="5417B662" w14:textId="77777777" w:rsidR="008451D7" w:rsidRPr="00EA38DE" w:rsidRDefault="008451D7" w:rsidP="00767B17">
      <w:pPr>
        <w:spacing w:line="480" w:lineRule="auto"/>
        <w:jc w:val="both"/>
        <w:rPr>
          <w:rFonts w:ascii="Times New Roman" w:eastAsia="Times New Roman" w:hAnsi="Times New Roman" w:cs="Times New Roman"/>
          <w:sz w:val="24"/>
          <w:szCs w:val="24"/>
        </w:rPr>
      </w:pPr>
    </w:p>
    <w:p w14:paraId="07169180" w14:textId="77777777" w:rsidR="002B0CDF" w:rsidRPr="00EA38DE" w:rsidRDefault="004A41BF" w:rsidP="00767B17">
      <w:pPr>
        <w:spacing w:line="480" w:lineRule="auto"/>
        <w:rPr>
          <w:rFonts w:ascii="Times New Roman" w:eastAsia="Times New Roman" w:hAnsi="Times New Roman" w:cs="Times New Roman"/>
          <w:sz w:val="24"/>
          <w:szCs w:val="24"/>
        </w:rPr>
      </w:pPr>
      <w:r w:rsidRPr="00EA38DE">
        <w:rPr>
          <w:rFonts w:ascii="Times New Roman" w:eastAsia="Times New Roman" w:hAnsi="Times New Roman" w:cs="Times New Roman"/>
          <w:b/>
          <w:bCs/>
          <w:sz w:val="24"/>
          <w:szCs w:val="24"/>
        </w:rPr>
        <w:lastRenderedPageBreak/>
        <w:t>2.1.7.1 Desalination and Port Revenue</w:t>
      </w:r>
    </w:p>
    <w:p w14:paraId="034707DC" w14:textId="1EF0631A" w:rsidR="003E7C56"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Desalination contributes to port revenue in Nigeria through increased imports of specialized equipment and materials that drive container handling, storage, and customs processing. Studies by Okoro et al. (2022)</w:t>
      </w:r>
      <w:r w:rsidR="00093871"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Eze </w:t>
      </w:r>
      <w:r w:rsidR="00093871"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Onyekachi (2023) show a positive correlation between desalination imports and port revenue, with a 1% increase in imports linked to a 0.5% rise in revenue. </w:t>
      </w:r>
      <w:r w:rsidR="00D5177F" w:rsidRPr="00EA38DE">
        <w:rPr>
          <w:rFonts w:ascii="Times New Roman" w:hAnsi="Times New Roman" w:cs="Times New Roman"/>
          <w:sz w:val="24"/>
          <w:szCs w:val="24"/>
        </w:rPr>
        <w:t>However, infrastructural constraints, exchange rate volatility, and high energy costs limit the sector's full potential. Improving port facilities and ensuring macroeconomic stability are necessary to maximize desalination’s contribution to port income (Lattemann &amp; Höpner, 2008)</w:t>
      </w:r>
      <w:r w:rsidR="003E7C56" w:rsidRPr="00EA38DE">
        <w:rPr>
          <w:rFonts w:ascii="Times New Roman" w:hAnsi="Times New Roman" w:cs="Times New Roman"/>
          <w:sz w:val="24"/>
          <w:szCs w:val="24"/>
        </w:rPr>
        <w:t>.</w:t>
      </w:r>
    </w:p>
    <w:p w14:paraId="7BFEB859" w14:textId="7CF99EB4"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
          <w:bCs/>
          <w:sz w:val="24"/>
          <w:szCs w:val="24"/>
        </w:rPr>
        <w:t xml:space="preserve">2.1.7.2 Desalination and Shipping Cost </w:t>
      </w:r>
    </w:p>
    <w:p w14:paraId="687284B4" w14:textId="77777777" w:rsidR="00A86547" w:rsidRPr="00EA38DE" w:rsidRDefault="004A41BF" w:rsidP="00A8654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Desalination within the blue economy drives demand for specialized maritime logistics, such as temperature-controlled containers and timely deliveries, which command higher shipping costs and revenue. Eze </w:t>
      </w:r>
      <w:r w:rsidR="00093871" w:rsidRPr="00EA38DE">
        <w:rPr>
          <w:rFonts w:ascii="Times New Roman" w:eastAsia="Times New Roman" w:hAnsi="Times New Roman" w:cs="Times New Roman"/>
          <w:sz w:val="24"/>
          <w:szCs w:val="24"/>
        </w:rPr>
        <w:t xml:space="preserve">&amp; </w:t>
      </w:r>
      <w:r w:rsidRPr="00EA38DE">
        <w:rPr>
          <w:rFonts w:ascii="Times New Roman" w:eastAsia="Times New Roman" w:hAnsi="Times New Roman" w:cs="Times New Roman"/>
          <w:sz w:val="24"/>
          <w:szCs w:val="24"/>
        </w:rPr>
        <w:t xml:space="preserve">Onyekachi (2023) found that rising desalination imports increase container throughput and premium shipping charges. Okoro et al. (2022) emphasized that about 85% of desalination equipment is imported via sea freight, underscoring the sector’s reliance on maritime transport with higher operational costs but also higher freight rates. However, Adekoya </w:t>
      </w:r>
      <w:r w:rsidR="00093871" w:rsidRPr="00EA38DE">
        <w:rPr>
          <w:rFonts w:ascii="Times New Roman" w:eastAsia="Times New Roman" w:hAnsi="Times New Roman" w:cs="Times New Roman"/>
          <w:sz w:val="24"/>
          <w:szCs w:val="24"/>
        </w:rPr>
        <w:t xml:space="preserve">&amp; </w:t>
      </w:r>
      <w:r w:rsidRPr="00EA38DE">
        <w:rPr>
          <w:rFonts w:ascii="Times New Roman" w:eastAsia="Times New Roman" w:hAnsi="Times New Roman" w:cs="Times New Roman"/>
          <w:sz w:val="24"/>
          <w:szCs w:val="24"/>
        </w:rPr>
        <w:t xml:space="preserve">Olubunmi (2022) noted that energy shortages and exchange rate volatility raise operational expenses, pushing freight charges up and affecting affordability. Adewuyi </w:t>
      </w:r>
      <w:r w:rsidR="00093871"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Otubu (2021) showed that desalination investments create significant shipping contracts but stressed that exchange rate stability is vital to controlling shipping costs. </w:t>
      </w:r>
      <w:r w:rsidR="00CB015D" w:rsidRPr="00EA38DE">
        <w:rPr>
          <w:rFonts w:ascii="Times New Roman" w:eastAsia="Times New Roman" w:hAnsi="Times New Roman" w:cs="Times New Roman"/>
          <w:sz w:val="24"/>
          <w:szCs w:val="24"/>
        </w:rPr>
        <w:t>Essentia</w:t>
      </w:r>
      <w:r w:rsidRPr="00EA38DE">
        <w:rPr>
          <w:rFonts w:ascii="Times New Roman" w:eastAsia="Times New Roman" w:hAnsi="Times New Roman" w:cs="Times New Roman"/>
          <w:sz w:val="24"/>
          <w:szCs w:val="24"/>
        </w:rPr>
        <w:t>ll</w:t>
      </w:r>
      <w:r w:rsidR="00CB015D" w:rsidRPr="00EA38DE">
        <w:rPr>
          <w:rFonts w:ascii="Times New Roman" w:eastAsia="Times New Roman" w:hAnsi="Times New Roman" w:cs="Times New Roman"/>
          <w:sz w:val="24"/>
          <w:szCs w:val="24"/>
        </w:rPr>
        <w:t>y</w:t>
      </w:r>
      <w:r w:rsidRPr="00EA38DE">
        <w:rPr>
          <w:rFonts w:ascii="Times New Roman" w:eastAsia="Times New Roman" w:hAnsi="Times New Roman" w:cs="Times New Roman"/>
          <w:sz w:val="24"/>
          <w:szCs w:val="24"/>
        </w:rPr>
        <w:t xml:space="preserve">, desalination boosts shipping cost revenue through specialized service demand, but energy and currency </w:t>
      </w:r>
      <w:r w:rsidR="00CB015D"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moderate these gains.</w:t>
      </w:r>
      <w:bookmarkStart w:id="4" w:name="_Hlk201705709"/>
    </w:p>
    <w:p w14:paraId="5DE8FAC8" w14:textId="77777777" w:rsidR="008451D7" w:rsidRPr="00EA38DE" w:rsidRDefault="008451D7">
      <w:pPr>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br w:type="page"/>
      </w:r>
    </w:p>
    <w:p w14:paraId="7862EF38" w14:textId="779B4599" w:rsidR="004A41BF" w:rsidRPr="00EA38DE" w:rsidRDefault="004A41BF" w:rsidP="00A8654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
          <w:bCs/>
          <w:sz w:val="24"/>
          <w:szCs w:val="24"/>
        </w:rPr>
        <w:lastRenderedPageBreak/>
        <w:t>2.1.</w:t>
      </w:r>
      <w:r w:rsidR="008451D7" w:rsidRPr="00EA38DE">
        <w:rPr>
          <w:rFonts w:ascii="Times New Roman" w:eastAsia="Times New Roman" w:hAnsi="Times New Roman" w:cs="Times New Roman"/>
          <w:b/>
          <w:bCs/>
          <w:sz w:val="24"/>
          <w:szCs w:val="24"/>
        </w:rPr>
        <w:t>8</w:t>
      </w:r>
      <w:r w:rsidR="008451D7" w:rsidRPr="00EA38DE">
        <w:rPr>
          <w:rFonts w:ascii="Times New Roman" w:eastAsia="Times New Roman" w:hAnsi="Times New Roman" w:cs="Times New Roman"/>
          <w:b/>
          <w:bCs/>
          <w:sz w:val="24"/>
          <w:szCs w:val="24"/>
        </w:rPr>
        <w:tab/>
      </w:r>
      <w:r w:rsidRPr="00EA38DE">
        <w:rPr>
          <w:rFonts w:ascii="Times New Roman" w:eastAsia="Times New Roman" w:hAnsi="Times New Roman" w:cs="Times New Roman"/>
          <w:b/>
          <w:bCs/>
          <w:sz w:val="24"/>
          <w:szCs w:val="24"/>
        </w:rPr>
        <w:t>The Nigeria Blue Economy Initiative</w:t>
      </w:r>
    </w:p>
    <w:p w14:paraId="1DB793B5" w14:textId="0DC43424" w:rsidR="001A483E" w:rsidRPr="00EA38DE" w:rsidRDefault="004A41BF" w:rsidP="00767B17">
      <w:pPr>
        <w:spacing w:line="480" w:lineRule="auto"/>
        <w:jc w:val="both"/>
        <w:outlineLvl w:val="2"/>
        <w:rPr>
          <w:rFonts w:ascii="Times New Roman" w:eastAsia="Times New Roman" w:hAnsi="Times New Roman" w:cs="Times New Roman"/>
          <w:b/>
          <w:bCs/>
          <w:sz w:val="24"/>
          <w:szCs w:val="24"/>
        </w:rPr>
      </w:pPr>
      <w:r w:rsidRPr="00EA38DE">
        <w:rPr>
          <w:rFonts w:ascii="Times New Roman" w:eastAsia="Times New Roman" w:hAnsi="Times New Roman" w:cs="Times New Roman"/>
          <w:sz w:val="24"/>
          <w:szCs w:val="24"/>
        </w:rPr>
        <w:t>The blue economy concept has gained global recognition as a sustainable development framework that harnesses oceanic and marine resources to promote economic growth, environmental health, and social equity. For Nigeria, the blue economy presents a strategic avenue to diversify its economy, create employment, and enhance maritime sector performance, especially as the country seeks to reduce its dependence on oil revenues (Gambo &amp; Shehu, 2021). Nigeria’s geographic advantage, with approximately 853 kilometers of coastline along the Gulf of Guinea and extensive inland waterways, positions it uniquely to capitalize on marine resources spanning fisheries, shipping, aquaculture, marine tourism, offshore energy, and port services. Recognizing this potential, the Nigerian government has prioritized the blue economy in its national development agenda, aligning policy initiatives to foster sustainable maritime growth (NIMASA, 2023). A significant milestone in Nigeria’s blue economy evolution is the establishment of the Ministry of Marine and Blue Economy. This ministry provides dedicated governance and coordination across various marine sectors, reflecting the government's commitment to developing a cohesive and sustainable blue economy strategy (Federal Ministry of Marine and Blue Economy, 2024).</w:t>
      </w:r>
    </w:p>
    <w:p w14:paraId="7DD1BF32" w14:textId="64F6EF5F" w:rsidR="004A41BF" w:rsidRPr="00EA38DE" w:rsidRDefault="006E1C9A" w:rsidP="00767B17">
      <w:pPr>
        <w:spacing w:line="480" w:lineRule="auto"/>
        <w:jc w:val="both"/>
        <w:outlineLvl w:val="2"/>
        <w:rPr>
          <w:rFonts w:ascii="Times New Roman" w:eastAsia="Times New Roman" w:hAnsi="Times New Roman" w:cs="Times New Roman"/>
          <w:b/>
          <w:bCs/>
          <w:sz w:val="24"/>
          <w:szCs w:val="24"/>
        </w:rPr>
      </w:pPr>
      <w:r w:rsidRPr="00EA38DE">
        <w:rPr>
          <w:rFonts w:ascii="Times New Roman" w:eastAsia="Times New Roman" w:hAnsi="Times New Roman" w:cs="Times New Roman"/>
          <w:sz w:val="24"/>
          <w:szCs w:val="24"/>
        </w:rPr>
        <w:t>Similarly</w:t>
      </w:r>
      <w:r w:rsidR="004A41BF" w:rsidRPr="00EA38DE">
        <w:rPr>
          <w:rFonts w:ascii="Times New Roman" w:eastAsia="Times New Roman" w:hAnsi="Times New Roman" w:cs="Times New Roman"/>
          <w:sz w:val="24"/>
          <w:szCs w:val="24"/>
        </w:rPr>
        <w:t xml:space="preserve">, the Nigerian Maritime Administration and Safety Agency (NIMASA) has formulated a comprehensive Blue Economy Policy and Strategy. This policy articulates priorities such as sustainable shipping practices, maritime security, environmental protection, and capacity building in line with international frameworks like the African Union’s Blue Economy Strategy (2020) and global maritime conventions (NIMASA, 2023; African Union Commission, 2020). The integration of the blue economy into Nigeria’s National Development Plan (2021–2025) further underscores the government’s commitment to leveraging marine sectors for economic diversification and inclusive growth (Federal Government of Nigeria, 2021). The Nigeria Blue Economy Initiative is </w:t>
      </w:r>
      <w:r w:rsidR="004A41BF" w:rsidRPr="00EA38DE">
        <w:rPr>
          <w:rFonts w:ascii="Times New Roman" w:eastAsia="Times New Roman" w:hAnsi="Times New Roman" w:cs="Times New Roman"/>
          <w:sz w:val="24"/>
          <w:szCs w:val="24"/>
        </w:rPr>
        <w:lastRenderedPageBreak/>
        <w:t>centered on several key objectives. First, it aims to drive economic diversification by reducing reliance on oil and expanding maritime sectors such as fisheries, aquaculture, shipping, and marine tourism, thereby making a significant contribution to GDP growth (Olajide &amp; Oladipo, 2021). Secondly, the initiative emphasizes environmental sustainability through the implementation of conservation strategies to protect marine biodiversity and reduce pollution, in accordance with international agreements like UNCLOS and MARPOL (</w:t>
      </w:r>
      <w:r w:rsidR="009A2689" w:rsidRPr="00EA38DE">
        <w:rPr>
          <w:rFonts w:ascii="Times New Roman" w:eastAsia="Times New Roman" w:hAnsi="Times New Roman" w:cs="Times New Roman"/>
          <w:sz w:val="24"/>
          <w:szCs w:val="24"/>
        </w:rPr>
        <w:t>Adebayo</w:t>
      </w:r>
      <w:r w:rsidR="008B7891" w:rsidRPr="00EA38DE">
        <w:rPr>
          <w:rFonts w:ascii="Times New Roman" w:eastAsia="Times New Roman" w:hAnsi="Times New Roman" w:cs="Times New Roman"/>
          <w:sz w:val="24"/>
          <w:szCs w:val="24"/>
        </w:rPr>
        <w:t xml:space="preserve"> </w:t>
      </w:r>
      <w:r w:rsidR="00093871" w:rsidRPr="00EA38DE">
        <w:rPr>
          <w:rFonts w:ascii="Times New Roman" w:eastAsia="Times New Roman" w:hAnsi="Times New Roman" w:cs="Times New Roman"/>
          <w:sz w:val="24"/>
          <w:szCs w:val="24"/>
        </w:rPr>
        <w:t>et al.</w:t>
      </w:r>
      <w:r w:rsidR="009A2689" w:rsidRPr="00EA38DE">
        <w:rPr>
          <w:rFonts w:ascii="Times New Roman" w:eastAsia="Times New Roman" w:hAnsi="Times New Roman" w:cs="Times New Roman"/>
          <w:sz w:val="24"/>
          <w:szCs w:val="24"/>
        </w:rPr>
        <w:t>,</w:t>
      </w:r>
      <w:r w:rsidR="008B7891" w:rsidRPr="00EA38DE">
        <w:rPr>
          <w:rFonts w:ascii="Times New Roman" w:eastAsia="Times New Roman" w:hAnsi="Times New Roman" w:cs="Times New Roman"/>
          <w:sz w:val="24"/>
          <w:szCs w:val="24"/>
        </w:rPr>
        <w:t xml:space="preserve"> </w:t>
      </w:r>
      <w:r w:rsidR="004A41BF" w:rsidRPr="00EA38DE">
        <w:rPr>
          <w:rFonts w:ascii="Times New Roman" w:eastAsia="Times New Roman" w:hAnsi="Times New Roman" w:cs="Times New Roman"/>
          <w:sz w:val="24"/>
          <w:szCs w:val="24"/>
        </w:rPr>
        <w:t xml:space="preserve">2022). Third, it promotes social inclusion and community development by empowering coastal communities through skills training, equitable resource management, and job creation in maritime industries (Ibe, 2023). </w:t>
      </w:r>
      <w:r w:rsidRPr="00EA38DE">
        <w:rPr>
          <w:rFonts w:ascii="Times New Roman" w:eastAsia="Times New Roman" w:hAnsi="Times New Roman" w:cs="Times New Roman"/>
          <w:sz w:val="24"/>
          <w:szCs w:val="24"/>
        </w:rPr>
        <w:t>Besides</w:t>
      </w:r>
      <w:r w:rsidR="004A41BF" w:rsidRPr="00EA38DE">
        <w:rPr>
          <w:rFonts w:ascii="Times New Roman" w:eastAsia="Times New Roman" w:hAnsi="Times New Roman" w:cs="Times New Roman"/>
          <w:sz w:val="24"/>
          <w:szCs w:val="24"/>
        </w:rPr>
        <w:t>, the initiative focuses on enhancing maritime security and governance by strengthening regulatory frameworks and enforcement to combat piracy, illegal fishing, and other maritime crimes, ensuring safe and secure operations (Obi &amp; Olayinka, 2020). Lastly, it seeks to foster regional and international collaboration by deepening cooperation with Gulf of Guinea nations and engaging global partners to improve maritime governance and sustainable resource management (African Union Commission, 2020).</w:t>
      </w:r>
    </w:p>
    <w:p w14:paraId="72A0D3CD" w14:textId="77777777"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Shipping and Port Services play a vital role as Nigeria’s ports serve as major gateways for international trade. Ongoing modernization efforts aim to boost efficiency, alleviate congestion, and attract foreign investments (World Bank, 2019). Given that over 90% of global trade is conducted via sea, shipping remains a cornerstone of the blue economy with immense economic significance (IMO, 2020). Fisheries and Aquaculture are critical for providing employment and ensuring food security. The initiative prioritizes sustainable fisheries management and the development of aquaculture to address overfishing and promote resource renewal (FAO, 2022). Offshore Energy represents an emerging opportunity beyond traditional oil, as Nigeria explores renewable sources such as offshore wind and tidal power, aligning with the global shift toward </w:t>
      </w:r>
      <w:r w:rsidRPr="00EA38DE">
        <w:rPr>
          <w:rFonts w:ascii="Times New Roman" w:eastAsia="Times New Roman" w:hAnsi="Times New Roman" w:cs="Times New Roman"/>
          <w:sz w:val="24"/>
          <w:szCs w:val="24"/>
        </w:rPr>
        <w:lastRenderedPageBreak/>
        <w:t>clean energy (Olajide &amp; Oladipo, 2021). Marine Tourism and Recreation offer promising avenues for economic diversification, provided that development is environmentally sustainable and incorporates community engagement (Gambo &amp; Shehu, 2021). Desalination and Water Security are essential for addressing freshwater shortages in coastal areas. Implementing desalination technologies supports both industrial operations and community needs, thereby enhancing resilience and sustainability (FAO, 2022).</w:t>
      </w:r>
    </w:p>
    <w:p w14:paraId="1EEA5C61" w14:textId="726869E4"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Despite these promising opportunities, several challenges hinder the full realization of Nigeria’s blue economy potential. Infrastructure deficits, including aging port facilities, insufficient cold storage for fisheries, and limited research infrastructure, constrain sectoral growth (Akanbi &amp; Adetunji, 2021). Regulatory overlaps and limited institutional capacity, caused by multiple agencies with intersecting mandates, impede effective governance and enforcement</w:t>
      </w:r>
      <w:r w:rsidR="00093871"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w:t>
      </w:r>
      <w:r w:rsidR="008B7891" w:rsidRPr="00EA38DE">
        <w:rPr>
          <w:rFonts w:ascii="Times New Roman" w:eastAsia="Times New Roman" w:hAnsi="Times New Roman" w:cs="Times New Roman"/>
          <w:sz w:val="24"/>
          <w:szCs w:val="24"/>
        </w:rPr>
        <w:t>Eze,</w:t>
      </w:r>
      <w:r w:rsidR="00093871" w:rsidRPr="00EA38DE">
        <w:rPr>
          <w:rFonts w:ascii="Times New Roman" w:eastAsia="Times New Roman" w:hAnsi="Times New Roman" w:cs="Times New Roman"/>
          <w:sz w:val="24"/>
          <w:szCs w:val="24"/>
        </w:rPr>
        <w:t xml:space="preserve"> et al. (</w:t>
      </w:r>
      <w:r w:rsidRPr="00EA38DE">
        <w:rPr>
          <w:rFonts w:ascii="Times New Roman" w:eastAsia="Times New Roman" w:hAnsi="Times New Roman" w:cs="Times New Roman"/>
          <w:sz w:val="24"/>
          <w:szCs w:val="24"/>
        </w:rPr>
        <w:t>2022). Furthermore, environmental degradation manifested through pollution, oil spills, and coastal erosion poses significant threats to marine ecosystems vital for sustainable economic activities (Adebayo et al., 2022). Finally, macroeconomic risks such as exchange rate volatility and inflation elevate operational costs for shipping and marine businesses, thereby diminishing investment appeal (Adeniran &amp; Akinwale, 2021).</w:t>
      </w:r>
    </w:p>
    <w:p w14:paraId="1FE6C749" w14:textId="52BBD148" w:rsidR="004A41BF" w:rsidRPr="00EA38DE" w:rsidRDefault="004A41BF" w:rsidP="00767B17">
      <w:pPr>
        <w:spacing w:line="480" w:lineRule="auto"/>
        <w:jc w:val="both"/>
        <w:outlineLvl w:val="2"/>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2.1.</w:t>
      </w:r>
      <w:r w:rsidR="008451D7" w:rsidRPr="00EA38DE">
        <w:rPr>
          <w:rFonts w:ascii="Times New Roman" w:eastAsia="Times New Roman" w:hAnsi="Times New Roman" w:cs="Times New Roman"/>
          <w:b/>
          <w:bCs/>
          <w:sz w:val="24"/>
          <w:szCs w:val="24"/>
        </w:rPr>
        <w:t>8.1</w:t>
      </w:r>
      <w:r w:rsidR="00A45497" w:rsidRPr="00EA38DE">
        <w:rPr>
          <w:rFonts w:ascii="Times New Roman" w:eastAsia="Times New Roman" w:hAnsi="Times New Roman" w:cs="Times New Roman"/>
          <w:b/>
          <w:bCs/>
          <w:sz w:val="24"/>
          <w:szCs w:val="24"/>
        </w:rPr>
        <w:tab/>
      </w:r>
      <w:r w:rsidRPr="00EA38DE">
        <w:rPr>
          <w:rFonts w:ascii="Times New Roman" w:eastAsia="Times New Roman" w:hAnsi="Times New Roman" w:cs="Times New Roman"/>
          <w:b/>
          <w:bCs/>
          <w:sz w:val="24"/>
          <w:szCs w:val="24"/>
        </w:rPr>
        <w:t>Harnessing Opportunities in the Blue Economy</w:t>
      </w:r>
    </w:p>
    <w:p w14:paraId="73781162" w14:textId="5B73D2F8"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blue economy represents a transformative framework for leveraging marine and aquatic resources to drive sustainable economic growth, social development, and environmental stewardship. Globally, the blue economy has emerged as a vital engine for innovation and investment, with countries recognizing the vast potential embedded in oceans, seas, and inland waters (World Bank, 2017). For Nigeria, a country endowed with rich coastal and marine ecosystems, the blue economy offers unparalleled opportunities to diversify the economy, create </w:t>
      </w:r>
      <w:r w:rsidRPr="00EA38DE">
        <w:rPr>
          <w:rFonts w:ascii="Times New Roman" w:eastAsia="Times New Roman" w:hAnsi="Times New Roman" w:cs="Times New Roman"/>
          <w:sz w:val="24"/>
          <w:szCs w:val="24"/>
        </w:rPr>
        <w:lastRenderedPageBreak/>
        <w:t>jobs, and improve livelihoods especially in the face of fluctuating oil revenues and exchange rate volatility. One of the primary opportunities presented by the blue economy is its capacity to diversify Nigeria’s economy beyond oil dependence. The maritime sectors including shipping, fisheries, aquaculture, maritime transport, offshore energy, and coastal tourism offer vast untapped potential for GDP growth</w:t>
      </w:r>
      <w:r w:rsidR="001E44DB"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(Olajide &amp; Oladipo, 2021). According to the Nigerian Maritime Administration and Safety Agency (NIMASA, 2023), sustainable exploitation of these sectors can contribute significantly to national income, foreign exchange earnings, and industrial development. Shipping, in particular, plays a critical role in Nigeria’s international trade, given that over 90% of global trade is conducted via maritime routes (International Maritime Organization [IMO], 2020). Enhancing shipping capacity and port infrastructure can thus improve trade efficiency, reduce logistics costs, and stimulate export competitiveness. Furthermore, expanding aquaculture and fisheries presents food security benefits while generating employment for coastal communities (FAO, 2022).</w:t>
      </w:r>
    </w:p>
    <w:p w14:paraId="603FE2F2" w14:textId="77777777"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blue economy also offers significant potential for employment generation and social empowerment. Fisheries and aquaculture are labor-intensive sectors that support millions of livelihoods worldwide. In Nigeria, coastal populations, including vulnerable groups such as women and youth, can benefit from skill development, entrepreneurship, and access to blue economy value chains (Ibe, 2023). Initiatives aimed at building capacity in sustainable fishing practices, marine technology, and eco-tourism can drive inclusive growth and reduce poverty in coastal regions (Akanbi &amp; Adetunji, 2021). Moreover, the blue economy promotes equitable resource governance, ensuring that local communities have a say in managing marine resources and benefit fairly from economic activities. This social dimension is essential for mitigating </w:t>
      </w:r>
      <w:r w:rsidRPr="00EA38DE">
        <w:rPr>
          <w:rFonts w:ascii="Times New Roman" w:eastAsia="Times New Roman" w:hAnsi="Times New Roman" w:cs="Times New Roman"/>
          <w:sz w:val="24"/>
          <w:szCs w:val="24"/>
        </w:rPr>
        <w:lastRenderedPageBreak/>
        <w:t>conflicts, preserving traditional livelihoods, and fostering community resilience (Gambo &amp; Shehu, 2021).</w:t>
      </w:r>
    </w:p>
    <w:p w14:paraId="0DF251FB" w14:textId="2ACCE8E5"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Sustainable management of marine ecosystems is a cornerstone of the blue economy. Nigeria’s initiative seeks to align economic development with conservation efforts by adhering to international environmental protocols such as the United Nations Convention on the Law of the Sea (UNCLOS) and the International Convention for the Prevention of Pollution from Ships (MARPOL) (Adebayo et al., 2022). Protecting biodiversity, combating marine pollution, and promoting sustainable fishing practices help maintain ecosystem services vital for fisheries productivity and climate regulation. Climate change poses a significant threat to Nigeria’s coastal zones through sea-level rise, coastal erosion, and extreme weather events. The blue economy framework incorporates adaptive strategies, such as investment in resilient infrastructure, coastal habitat restoration, and disaster risk reduction, to safeguard marine and coastal assets</w:t>
      </w:r>
      <w:r w:rsidR="009929D1" w:rsidRPr="00EA38DE">
        <w:rPr>
          <w:rFonts w:ascii="Times New Roman" w:eastAsia="Times New Roman" w:hAnsi="Times New Roman" w:cs="Times New Roman"/>
          <w:sz w:val="24"/>
          <w:szCs w:val="24"/>
        </w:rPr>
        <w:t>, (</w:t>
      </w:r>
      <w:r w:rsidRPr="00EA38DE">
        <w:rPr>
          <w:rFonts w:ascii="Times New Roman" w:eastAsia="Times New Roman" w:hAnsi="Times New Roman" w:cs="Times New Roman"/>
          <w:sz w:val="24"/>
          <w:szCs w:val="24"/>
        </w:rPr>
        <w:t>United Nations Development Programme</w:t>
      </w:r>
      <w:r w:rsidR="009929D1"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UNDP, 2021).</w:t>
      </w:r>
    </w:p>
    <w:p w14:paraId="243FCB86" w14:textId="77777777"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Harnessing blue economy opportunities also involves leveraging technology and infrastructure development. Modernizing ports with digital systems, implementing automated cargo handling, and adopting green shipping technologies enhance operational efficiency and reduce environmental footprints (World Bank, 2019). Investment in renewable offshore energy such as wind, wave, and tidal power presents new avenues for clean energy generation while supporting national energy transition goals (Olajide &amp; Oladipo, 2021). Desalination technologies, for example, can address freshwater scarcity challenges in coastal cities and support industrial activities reliant on water security (FAO, 2022). Furthermore, integrated maritime spatial planning and data sharing promote effective governance and optimize resource allocation across competing uses (Gambo &amp; Shehu, 2021). For Nigeria to fully harness these opportunities, robust policy </w:t>
      </w:r>
      <w:r w:rsidRPr="00EA38DE">
        <w:rPr>
          <w:rFonts w:ascii="Times New Roman" w:eastAsia="Times New Roman" w:hAnsi="Times New Roman" w:cs="Times New Roman"/>
          <w:sz w:val="24"/>
          <w:szCs w:val="24"/>
        </w:rPr>
        <w:lastRenderedPageBreak/>
        <w:t>frameworks and institutional capacities are essential. Coordinated governance mechanisms involving federal, state, and local agencies ensure effective regulation, investment coordination, and stakeholder engagement (NIMASA, 2023). Public-private partnerships can mobilize finance and expertise for large-scale infrastructure and innovation projects. Regional cooperation within the Gulf of Guinea and adherence to frameworks such as the Yaoundé Code of Conduct enhance maritime security and resource management, further unlocking blue economy potential (African Union Commission, 2020).</w:t>
      </w:r>
    </w:p>
    <w:p w14:paraId="3E6F9624" w14:textId="48F395A1"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While</w:t>
      </w:r>
      <w:r w:rsidR="006E1C9A"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opportunities abound, Nigeria’s blue economy is constrained by several challenges, including inadequate infrastructure, regulatory fragmentation, environmental degradation, and macroeconomic risks such as exchange rate volatility. The latter affects the cost of importing vessels, equipment, and fuel, impacting shipping firms’ profitability and investment capacity (Adeniran &amp; Akinwale, 2021). Addressing these constraints through targeted reforms, capacity building, and financial stability measures is crucial.</w:t>
      </w:r>
    </w:p>
    <w:bookmarkEnd w:id="4"/>
    <w:p w14:paraId="59DFC156" w14:textId="0A5886BC" w:rsidR="004A41BF" w:rsidRPr="00EA38DE" w:rsidRDefault="004A41BF" w:rsidP="00767B17">
      <w:pPr>
        <w:spacing w:line="480" w:lineRule="auto"/>
        <w:jc w:val="both"/>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2.1.8</w:t>
      </w:r>
      <w:r w:rsidR="008451D7" w:rsidRPr="00EA38DE">
        <w:rPr>
          <w:rFonts w:ascii="Times New Roman" w:eastAsia="Times New Roman" w:hAnsi="Times New Roman" w:cs="Times New Roman"/>
          <w:b/>
          <w:bCs/>
          <w:sz w:val="24"/>
          <w:szCs w:val="24"/>
        </w:rPr>
        <w:t>.2</w:t>
      </w:r>
      <w:r w:rsidRPr="00EA38DE">
        <w:rPr>
          <w:rFonts w:ascii="Times New Roman" w:eastAsia="Times New Roman" w:hAnsi="Times New Roman" w:cs="Times New Roman"/>
          <w:b/>
          <w:bCs/>
          <w:sz w:val="24"/>
          <w:szCs w:val="24"/>
        </w:rPr>
        <w:tab/>
        <w:t>The Blue Economy and Maritime Development</w:t>
      </w:r>
    </w:p>
    <w:p w14:paraId="7808ED69" w14:textId="213A196A"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the context of developing countries like Nigeria, the blue economy is seen as a transformative pathway to diversify the economy, reduce dependency on oil, and stimulate growth in underutilized sectors such as shipping, aquaculture, and marine biotechnology (NIMASA, 2022). Nigeria, with its extensive coastline, inland waterways, and access to the Atlantic Ocean, is strategically positioned to benefit immensely from blue economy initiatives. However, actual development in this domain remains limited, with numerous structural, financial, and policy barriers hindering progress (Nwokedi, 2020). Maritime transport is a cornerstone of the blue economy, and its development has profound implications for national trade competitiveness and regional integration. Investments in seaports, inland waterway networks, green port infrastructure, </w:t>
      </w:r>
      <w:r w:rsidRPr="00EA38DE">
        <w:rPr>
          <w:rFonts w:ascii="Times New Roman" w:hAnsi="Times New Roman" w:cs="Times New Roman"/>
          <w:sz w:val="24"/>
          <w:szCs w:val="24"/>
        </w:rPr>
        <w:lastRenderedPageBreak/>
        <w:t xml:space="preserve">and maritime security are crucial for unlocking the sector’s potential. According to Onuoha </w:t>
      </w:r>
      <w:r w:rsidR="00D36B57" w:rsidRPr="00EA38DE">
        <w:rPr>
          <w:rFonts w:ascii="Times New Roman" w:hAnsi="Times New Roman" w:cs="Times New Roman"/>
          <w:sz w:val="24"/>
          <w:szCs w:val="24"/>
        </w:rPr>
        <w:t xml:space="preserve">&amp; </w:t>
      </w:r>
      <w:r w:rsidRPr="00EA38DE">
        <w:rPr>
          <w:rFonts w:ascii="Times New Roman" w:hAnsi="Times New Roman" w:cs="Times New Roman"/>
          <w:sz w:val="24"/>
          <w:szCs w:val="24"/>
        </w:rPr>
        <w:t>Ugwoke (2021), port modernization and the adoption of digital logistics systems can reduce turnaround times, lower operating costs, and enhance the financial performance of shipping companies.</w:t>
      </w:r>
    </w:p>
    <w:p w14:paraId="0988C7F0" w14:textId="04FBCB04"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Nigeria's engagement with the blue economy is guided by initiatives such as the </w:t>
      </w:r>
      <w:r w:rsidRPr="00EA38DE">
        <w:rPr>
          <w:rFonts w:ascii="Times New Roman" w:eastAsiaTheme="majorEastAsia" w:hAnsi="Times New Roman" w:cs="Times New Roman"/>
          <w:sz w:val="24"/>
          <w:szCs w:val="24"/>
        </w:rPr>
        <w:t>Deep Blue Projec</w:t>
      </w:r>
      <w:r w:rsidR="0070409C" w:rsidRPr="00EA38DE">
        <w:rPr>
          <w:rFonts w:ascii="Times New Roman" w:eastAsiaTheme="majorEastAsia" w:hAnsi="Times New Roman" w:cs="Times New Roman"/>
          <w:sz w:val="24"/>
          <w:szCs w:val="24"/>
        </w:rPr>
        <w:t>t</w:t>
      </w:r>
      <w:r w:rsidRPr="00EA38DE">
        <w:rPr>
          <w:rFonts w:ascii="Times New Roman" w:hAnsi="Times New Roman" w:cs="Times New Roman"/>
          <w:i/>
          <w:iCs/>
          <w:sz w:val="24"/>
          <w:szCs w:val="24"/>
        </w:rPr>
        <w:t xml:space="preserve">, </w:t>
      </w:r>
      <w:r w:rsidRPr="00EA38DE">
        <w:rPr>
          <w:rFonts w:ascii="Times New Roman" w:hAnsi="Times New Roman" w:cs="Times New Roman"/>
          <w:sz w:val="24"/>
          <w:szCs w:val="24"/>
        </w:rPr>
        <w:t>which aims to combat piracy and enhance maritime domain awareness. This project, managed by the Nigerian Maritime Administration and Safety Agency (NIMASA), seeks to improve the security environment for maritime operations, thus attracting investment and facilitating safer shipping corridors (NIMASA, 2022). Security improvements directly influence shipping firms’ operating costs, as reduced piracy risks lower insurance premiums and enable more efficient route planning.</w:t>
      </w:r>
    </w:p>
    <w:p w14:paraId="5F6B0027" w14:textId="77777777"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However, despite these policy strides, the implementation of blue economy strategies remains fragmented. A major challenge is the lack of coordination among regulatory agencies, such as NIMASA, Nigerian Ports Authority (NPA), and Nigerian Inland Waterways Authority (NIWA), leading to policy overlaps and inefficiencies (Okafor &amp; Nnaji, 2023). Furthermore, inadequate investment in maritime infrastructure such as dredging, port automation, and intermodal connections continues to impede the effectiveness of blue economy programs.</w:t>
      </w:r>
    </w:p>
    <w:p w14:paraId="26F1BA53" w14:textId="27690318"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From a sustainability standpoint, the blue economy encourages the transition to low-carbon shipping practices. According to Virdin et al. (2021), decarbonation strategies in maritime transport not only contribute to environmental protection but also offer long-term cost advantage. </w:t>
      </w:r>
      <w:r w:rsidR="007F2DB8" w:rsidRPr="00EA38DE">
        <w:rPr>
          <w:rFonts w:ascii="Times New Roman" w:hAnsi="Times New Roman" w:cs="Times New Roman"/>
          <w:sz w:val="24"/>
          <w:szCs w:val="24"/>
        </w:rPr>
        <w:t>(</w:t>
      </w:r>
      <w:r w:rsidRPr="00EA38DE">
        <w:rPr>
          <w:rFonts w:ascii="Times New Roman" w:eastAsia="Times New Roman" w:hAnsi="Times New Roman" w:cs="Times New Roman"/>
          <w:sz w:val="24"/>
          <w:szCs w:val="24"/>
        </w:rPr>
        <w:t>NIMASA</w:t>
      </w:r>
      <w:r w:rsidR="007F2DB8"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2021</w:t>
      </w:r>
      <w:r w:rsidR="009637C8"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 xml:space="preserve">Okafor </w:t>
      </w:r>
      <w:r w:rsidR="00714D73"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Dike</w:t>
      </w:r>
      <w:r w:rsidR="00012808">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2022) emphasized that Nigeria’s marine resources can significantly contribute to GDP if sustainably harnessed. However, most empirical work notes that institutional inefficiency, weak regulatory enforcement, and poor inter-agency coordination hinder </w:t>
      </w:r>
      <w:r w:rsidRPr="00EA38DE">
        <w:rPr>
          <w:rFonts w:ascii="Times New Roman" w:eastAsia="Times New Roman" w:hAnsi="Times New Roman" w:cs="Times New Roman"/>
          <w:sz w:val="24"/>
          <w:szCs w:val="24"/>
        </w:rPr>
        <w:lastRenderedPageBreak/>
        <w:t xml:space="preserve">blue economy growth (Aniebonam &amp; Ekpo, 2021). Moreover, Ibe </w:t>
      </w:r>
      <w:r w:rsidR="00714D73"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Nwokocha (2020) found that blue economy initiatives such as port modernization, marine security (e.g., Deep Blue Project), and aquaculture development have begun to impact the financial viability of shipping-related enterprises in Lagos and Rivers States.</w:t>
      </w:r>
    </w:p>
    <w:p w14:paraId="2285DA0C" w14:textId="77777777"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Importantly, the literature identifies a growing consensus that sustainable blue economy initiatives can provide competitive advantages to shipping firms. By embracing environmental, social, and governance (ESG) principles, these firms can attract green financing, improve customer loyalty, and align with international trade partners that prioritize sustainable logistics (UNCTAD, 2021). However, empirical data specifically linking these sustainability efforts to firm-level financial outcomes in Nigeria remains limited.</w:t>
      </w:r>
    </w:p>
    <w:p w14:paraId="040AB450" w14:textId="77777777"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Additionally, a weak legal and institutional framework hinders Nigeria's ability to scale up its blue economy. Regulatory uncertainty, corruption, and the slow pace of reforms have discouraged private sector participation and limited foreign direct investment (FDI) in the maritime sector (Ibrahim &amp; Olaniyi, 2019). Strengthening the blue economy requires not only infrastructure but also institutional integrity, financial innovation, and stakeholder collaboration. </w:t>
      </w:r>
      <w:r w:rsidRPr="00EA38DE">
        <w:rPr>
          <w:rFonts w:ascii="Times New Roman" w:eastAsia="Times New Roman" w:hAnsi="Times New Roman" w:cs="Times New Roman"/>
          <w:sz w:val="24"/>
          <w:szCs w:val="24"/>
        </w:rPr>
        <w:t>To overcome these barriers, policy makers have emphasized the need for a comprehensive national blue economy policy that aligns economic development with marine ecosystem conservation. This includes adopting environmentally friendly port operations, promoting green shipping technologies, and fostering partnerships with private investors and regional bodies such as the African Union and ECOWAS (African Union, 2020).</w:t>
      </w:r>
    </w:p>
    <w:p w14:paraId="29B40C26" w14:textId="5F7D2355"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Integrating the blue economy into Nigeria’s broader development framework not only enhances the financial performance of maritime industries but also supports long-term ecological sustainability. For the shipping industry, this means more efficient port operations, access to new </w:t>
      </w:r>
      <w:r w:rsidRPr="00EA38DE">
        <w:rPr>
          <w:rFonts w:ascii="Times New Roman" w:eastAsia="Times New Roman" w:hAnsi="Times New Roman" w:cs="Times New Roman"/>
          <w:sz w:val="24"/>
          <w:szCs w:val="24"/>
        </w:rPr>
        <w:lastRenderedPageBreak/>
        <w:t>markets, and improved resilience against external shocks such as exchange rate volatility and global trade disruptions</w:t>
      </w:r>
      <w:r w:rsidR="00C808A3" w:rsidRPr="00EA38DE">
        <w:rPr>
          <w:rFonts w:ascii="Times New Roman" w:eastAsia="Times New Roman" w:hAnsi="Times New Roman" w:cs="Times New Roman"/>
          <w:sz w:val="24"/>
          <w:szCs w:val="24"/>
        </w:rPr>
        <w:t xml:space="preserve"> (Ayeni, 2023)</w:t>
      </w:r>
      <w:r w:rsidRPr="00EA38DE">
        <w:rPr>
          <w:rFonts w:ascii="Times New Roman" w:eastAsia="Times New Roman" w:hAnsi="Times New Roman" w:cs="Times New Roman"/>
          <w:sz w:val="24"/>
          <w:szCs w:val="24"/>
        </w:rPr>
        <w:t>.</w:t>
      </w:r>
    </w:p>
    <w:p w14:paraId="7B42D249" w14:textId="77777777" w:rsidR="004A41BF" w:rsidRPr="00EA38DE" w:rsidRDefault="004A41BF" w:rsidP="00767B17">
      <w:pPr>
        <w:spacing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2.1.9</w:t>
      </w:r>
      <w:r w:rsidRPr="00EA38DE">
        <w:rPr>
          <w:rFonts w:ascii="Times New Roman" w:hAnsi="Times New Roman" w:cs="Times New Roman"/>
          <w:b/>
          <w:sz w:val="24"/>
          <w:szCs w:val="24"/>
        </w:rPr>
        <w:tab/>
        <w:t xml:space="preserve">An Overview of the Nigerian Shipping Industry </w:t>
      </w:r>
    </w:p>
    <w:p w14:paraId="4D8A3B78" w14:textId="5F0C5F45"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Maritime transport, driven by shipping activities, is the cornerstone of global trade and the economy (United Nations, 2016). Maritime transport supports international trade with its capacity to facilitate the exchange of vast volumes of goods across various countries of the world. The International Chambers of Shipping (2020) affirmed that the shipping trade lies at the heart of the world economy, with a total value of $14 trillion in 2019. </w:t>
      </w:r>
      <w:r w:rsidRPr="00EA38DE">
        <w:rPr>
          <w:rFonts w:ascii="Times New Roman" w:eastAsia="Times New Roman" w:hAnsi="Times New Roman" w:cs="Times New Roman"/>
          <w:sz w:val="24"/>
          <w:szCs w:val="24"/>
        </w:rPr>
        <w:t>The ocean functions as a critical international trade route, with approximately 90% of global trade dependent on maritime transportation. As a vital sub-sector of the transport industry, the maritime sector offers cost-effective and large-scale transport services that underpin international trade (UNCTAD, 2020).</w:t>
      </w:r>
      <w:r w:rsidRPr="00EA38DE">
        <w:rPr>
          <w:rFonts w:ascii="Times New Roman" w:hAnsi="Times New Roman" w:cs="Times New Roman"/>
          <w:sz w:val="24"/>
          <w:szCs w:val="24"/>
        </w:rPr>
        <w:t xml:space="preserve"> The Nigerian shipping industry is a critical component of the country's economy, given Nigeria's strategic location along the Gulf of Guinea and its dependence on maritime trade for both domestic and international commerce. This industry plays a vital role in facilitating the movement of goods, oil, and other resources to and from Nigeria. The Nigeria’s Maritime sector is a neglected goldmine that possesses the potentials and could serve as a significant driver of economic growth and long-term development if proactive measures are taken to </w:t>
      </w:r>
      <w:r w:rsidR="000E62F9" w:rsidRPr="00EA38DE">
        <w:rPr>
          <w:rFonts w:ascii="Times New Roman" w:hAnsi="Times New Roman" w:cs="Times New Roman"/>
          <w:sz w:val="24"/>
          <w:szCs w:val="24"/>
        </w:rPr>
        <w:t>improve its efficiency (Ikenna &amp;</w:t>
      </w:r>
      <w:r w:rsidRPr="00EA38DE">
        <w:rPr>
          <w:rFonts w:ascii="Times New Roman" w:hAnsi="Times New Roman" w:cs="Times New Roman"/>
          <w:sz w:val="24"/>
          <w:szCs w:val="24"/>
        </w:rPr>
        <w:t xml:space="preserve"> Paul, 2021). Nigeria has several major ports which are operated by both government-owned and private companies, with Lagos being the most significant as it is home to the Apapa and Tin Can Island Ports, which handle a substantial portion of the country's cargo, other notable ports include Port Harcourt, Onne, Calabar, and Warri (Nwanosike, 2014).</w:t>
      </w:r>
    </w:p>
    <w:p w14:paraId="00813FE9" w14:textId="41A09F46"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Nigerian government has shown increased commitment to leveraging maritime assets to diversify the economy beyond oil. Agencies like the Nigerian Maritime Administration and Safety </w:t>
      </w:r>
      <w:r w:rsidRPr="00EA38DE">
        <w:rPr>
          <w:rFonts w:ascii="Times New Roman" w:hAnsi="Times New Roman" w:cs="Times New Roman"/>
          <w:sz w:val="24"/>
          <w:szCs w:val="24"/>
        </w:rPr>
        <w:lastRenderedPageBreak/>
        <w:t>Agency (NIMASA) and the Nigerian Ports Authority (NPA) have been at the forefront of promoting marine-related development, capacity building, and the enforcement of safety regulations to enhance sector performance (NIMASA, 2021). The Nigerian shipping industry</w:t>
      </w:r>
      <w:r w:rsidR="00954A62" w:rsidRPr="00EA38DE">
        <w:rPr>
          <w:rFonts w:ascii="Times New Roman" w:hAnsi="Times New Roman" w:cs="Times New Roman"/>
          <w:sz w:val="24"/>
          <w:szCs w:val="24"/>
        </w:rPr>
        <w:t xml:space="preserve"> </w:t>
      </w:r>
      <w:r w:rsidRPr="00EA38DE">
        <w:rPr>
          <w:rFonts w:ascii="Times New Roman" w:hAnsi="Times New Roman" w:cs="Times New Roman"/>
          <w:sz w:val="24"/>
          <w:szCs w:val="24"/>
        </w:rPr>
        <w:t>faces several challenges, including insufficient infrastructure, security issues, and corruption. Recognizing these obstacles, Nigeria has started aligning with regional and international frameworks aimed at promoting blue economy growth. The African Union’s Blue Economy Strategy (2020) urges member states to develop national policies that integrate environmental sustainability with economic development. Nigeria’s ongoing initiatives include the proposed Blue Economy Policy and Strategy by the Nigerian Maritime Administration and Safety Agency (NIMASA), which seeks to coordinate investments across key maritime sectors. Additionally, regional cooperation with other Gulf of Guinea countries on maritime security, data sharing, and ocean governance is vital for building a resilient blue economy. Institutions such as the Interregional Coordination Centre (ICC) and the Yaoundé Code of Conduct framework play important roles in enhancing regional maritime collaboration (African Union Commission, 2020; NIMASA, 2023; ICC, 2022).</w:t>
      </w:r>
    </w:p>
    <w:p w14:paraId="134C65A9" w14:textId="77777777" w:rsidR="00417169" w:rsidRPr="00EA38DE" w:rsidRDefault="00103446" w:rsidP="00103446">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However, the Nigerian government has recognized the need for reforms in the shipping industry. Hence, various initiatives such as port concessions, enhancement of security in the Gulf of Guinea, the enactment of the Nigerian Maritime Administration and Safety Agency Act (NIMASA Act, 2007) to provide a legal framework for the regulation of the maritime industry, and the establishment of the Maritime Academy of Nigeria (MAN) at Oron as well as the Nigerian Maritime University at Okerenkoko for adequate training and re-training of personnel in the maritime industry, were launched to address the challenges (Kpechukwu et al., 2020).</w:t>
      </w:r>
    </w:p>
    <w:p w14:paraId="0E32B796" w14:textId="1129FDC4" w:rsidR="00DC0395" w:rsidRPr="00EA38DE" w:rsidRDefault="00A86547" w:rsidP="00103446">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In contemporary time</w:t>
      </w:r>
      <w:r w:rsidR="00103446" w:rsidRPr="00EA38DE">
        <w:rPr>
          <w:rFonts w:ascii="Times New Roman" w:hAnsi="Times New Roman" w:cs="Times New Roman"/>
          <w:sz w:val="24"/>
          <w:szCs w:val="24"/>
        </w:rPr>
        <w:t xml:space="preserve">, the number of shipping companies operating in Nigeria’s maritime sector </w:t>
      </w:r>
      <w:r w:rsidRPr="00EA38DE">
        <w:rPr>
          <w:rFonts w:ascii="Times New Roman" w:hAnsi="Times New Roman" w:cs="Times New Roman"/>
          <w:sz w:val="24"/>
          <w:szCs w:val="24"/>
        </w:rPr>
        <w:t>are</w:t>
      </w:r>
      <w:r w:rsidR="00103446" w:rsidRPr="00EA38DE">
        <w:rPr>
          <w:rFonts w:ascii="Times New Roman" w:hAnsi="Times New Roman" w:cs="Times New Roman"/>
          <w:sz w:val="24"/>
          <w:szCs w:val="24"/>
        </w:rPr>
        <w:t xml:space="preserve"> presented </w:t>
      </w:r>
      <w:r w:rsidR="00D913C4" w:rsidRPr="00EA38DE">
        <w:rPr>
          <w:rFonts w:ascii="Times New Roman" w:hAnsi="Times New Roman" w:cs="Times New Roman"/>
          <w:sz w:val="24"/>
          <w:szCs w:val="24"/>
        </w:rPr>
        <w:t xml:space="preserve">in </w:t>
      </w:r>
      <w:r w:rsidR="00576B3A" w:rsidRPr="00EA38DE">
        <w:rPr>
          <w:rFonts w:ascii="Times New Roman" w:hAnsi="Times New Roman" w:cs="Times New Roman"/>
          <w:sz w:val="24"/>
          <w:szCs w:val="24"/>
        </w:rPr>
        <w:t>the Table 2.1</w:t>
      </w:r>
      <w:r w:rsidR="00D913C4" w:rsidRPr="00EA38DE">
        <w:rPr>
          <w:rFonts w:ascii="Times New Roman" w:hAnsi="Times New Roman" w:cs="Times New Roman"/>
          <w:sz w:val="24"/>
          <w:szCs w:val="24"/>
        </w:rPr>
        <w:t>.</w:t>
      </w:r>
    </w:p>
    <w:p w14:paraId="28A74B30" w14:textId="6E56787A" w:rsidR="00576B3A" w:rsidRPr="00EA38DE" w:rsidRDefault="00576B3A" w:rsidP="00576B3A">
      <w:pPr>
        <w:pStyle w:val="Heading3"/>
        <w:rPr>
          <w:sz w:val="24"/>
          <w:szCs w:val="24"/>
        </w:rPr>
      </w:pPr>
      <w:r w:rsidRPr="00EA38DE">
        <w:rPr>
          <w:sz w:val="24"/>
          <w:szCs w:val="24"/>
        </w:rPr>
        <w:t>Table 2.1: Shipping C</w:t>
      </w:r>
      <w:r w:rsidR="00012808">
        <w:rPr>
          <w:sz w:val="24"/>
          <w:szCs w:val="24"/>
        </w:rPr>
        <w:t>ompanies, Agents, and Addresses</w:t>
      </w:r>
    </w:p>
    <w:tbl>
      <w:tblPr>
        <w:tblStyle w:val="TableGrid"/>
        <w:tblW w:w="0" w:type="auto"/>
        <w:tblLook w:val="04A0" w:firstRow="1" w:lastRow="0" w:firstColumn="1" w:lastColumn="0" w:noHBand="0" w:noVBand="1"/>
      </w:tblPr>
      <w:tblGrid>
        <w:gridCol w:w="591"/>
        <w:gridCol w:w="2506"/>
        <w:gridCol w:w="2506"/>
        <w:gridCol w:w="3747"/>
      </w:tblGrid>
      <w:tr w:rsidR="00EA38DE" w:rsidRPr="00EA38DE" w14:paraId="7C1ACB37" w14:textId="77777777" w:rsidTr="00252AD8">
        <w:tc>
          <w:tcPr>
            <w:tcW w:w="0" w:type="auto"/>
            <w:hideMark/>
          </w:tcPr>
          <w:p w14:paraId="34FC2BEE" w14:textId="77777777" w:rsidR="00576B3A" w:rsidRPr="00EA38DE" w:rsidRDefault="00576B3A" w:rsidP="00252AD8">
            <w:pPr>
              <w:spacing w:line="480" w:lineRule="auto"/>
              <w:jc w:val="center"/>
              <w:rPr>
                <w:rFonts w:ascii="Times New Roman" w:hAnsi="Times New Roman"/>
                <w:b/>
                <w:bCs/>
                <w:sz w:val="24"/>
                <w:szCs w:val="24"/>
              </w:rPr>
            </w:pPr>
            <w:r w:rsidRPr="00EA38DE">
              <w:rPr>
                <w:rFonts w:ascii="Times New Roman" w:hAnsi="Times New Roman"/>
                <w:b/>
                <w:bCs/>
                <w:sz w:val="24"/>
                <w:szCs w:val="24"/>
              </w:rPr>
              <w:t>S/N</w:t>
            </w:r>
          </w:p>
        </w:tc>
        <w:tc>
          <w:tcPr>
            <w:tcW w:w="0" w:type="auto"/>
            <w:hideMark/>
          </w:tcPr>
          <w:p w14:paraId="492E2BD7" w14:textId="77777777" w:rsidR="00576B3A" w:rsidRPr="00EA38DE" w:rsidRDefault="00576B3A" w:rsidP="00252AD8">
            <w:pPr>
              <w:spacing w:line="480" w:lineRule="auto"/>
              <w:jc w:val="center"/>
              <w:rPr>
                <w:rFonts w:ascii="Times New Roman" w:hAnsi="Times New Roman"/>
                <w:b/>
                <w:bCs/>
                <w:sz w:val="24"/>
                <w:szCs w:val="24"/>
              </w:rPr>
            </w:pPr>
            <w:r w:rsidRPr="00EA38DE">
              <w:rPr>
                <w:rFonts w:ascii="Times New Roman" w:hAnsi="Times New Roman"/>
                <w:b/>
                <w:bCs/>
                <w:sz w:val="24"/>
                <w:szCs w:val="24"/>
              </w:rPr>
              <w:t>Company Name</w:t>
            </w:r>
          </w:p>
        </w:tc>
        <w:tc>
          <w:tcPr>
            <w:tcW w:w="0" w:type="auto"/>
            <w:hideMark/>
          </w:tcPr>
          <w:p w14:paraId="0B54C3E8" w14:textId="77777777" w:rsidR="00576B3A" w:rsidRPr="00EA38DE" w:rsidRDefault="00576B3A" w:rsidP="00252AD8">
            <w:pPr>
              <w:spacing w:line="480" w:lineRule="auto"/>
              <w:jc w:val="center"/>
              <w:rPr>
                <w:rFonts w:ascii="Times New Roman" w:hAnsi="Times New Roman"/>
                <w:b/>
                <w:bCs/>
                <w:sz w:val="24"/>
                <w:szCs w:val="24"/>
              </w:rPr>
            </w:pPr>
            <w:r w:rsidRPr="00EA38DE">
              <w:rPr>
                <w:rFonts w:ascii="Times New Roman" w:hAnsi="Times New Roman"/>
                <w:b/>
                <w:bCs/>
                <w:sz w:val="24"/>
                <w:szCs w:val="24"/>
              </w:rPr>
              <w:t>Agent Name</w:t>
            </w:r>
          </w:p>
        </w:tc>
        <w:tc>
          <w:tcPr>
            <w:tcW w:w="0" w:type="auto"/>
            <w:hideMark/>
          </w:tcPr>
          <w:p w14:paraId="4DEC44DE" w14:textId="77777777" w:rsidR="00576B3A" w:rsidRPr="00EA38DE" w:rsidRDefault="00576B3A" w:rsidP="00252AD8">
            <w:pPr>
              <w:spacing w:line="480" w:lineRule="auto"/>
              <w:jc w:val="center"/>
              <w:rPr>
                <w:rFonts w:ascii="Times New Roman" w:hAnsi="Times New Roman"/>
                <w:b/>
                <w:bCs/>
                <w:sz w:val="24"/>
                <w:szCs w:val="24"/>
              </w:rPr>
            </w:pPr>
            <w:r w:rsidRPr="00EA38DE">
              <w:rPr>
                <w:rFonts w:ascii="Times New Roman" w:hAnsi="Times New Roman"/>
                <w:b/>
                <w:bCs/>
                <w:sz w:val="24"/>
                <w:szCs w:val="24"/>
              </w:rPr>
              <w:t>Address</w:t>
            </w:r>
          </w:p>
        </w:tc>
      </w:tr>
      <w:tr w:rsidR="00EA38DE" w:rsidRPr="00EA38DE" w14:paraId="57479501" w14:textId="77777777" w:rsidTr="00252AD8">
        <w:tc>
          <w:tcPr>
            <w:tcW w:w="0" w:type="auto"/>
            <w:hideMark/>
          </w:tcPr>
          <w:p w14:paraId="2AF303A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w:t>
            </w:r>
          </w:p>
        </w:tc>
        <w:tc>
          <w:tcPr>
            <w:tcW w:w="0" w:type="auto"/>
            <w:hideMark/>
          </w:tcPr>
          <w:p w14:paraId="47DEFAB3"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3MO Shipping &amp; Trading Company Limited</w:t>
            </w:r>
          </w:p>
        </w:tc>
        <w:tc>
          <w:tcPr>
            <w:tcW w:w="0" w:type="auto"/>
            <w:hideMark/>
          </w:tcPr>
          <w:p w14:paraId="50447C3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3MO Shipping &amp; Trading Company Limited</w:t>
            </w:r>
          </w:p>
        </w:tc>
        <w:tc>
          <w:tcPr>
            <w:tcW w:w="0" w:type="auto"/>
            <w:hideMark/>
          </w:tcPr>
          <w:p w14:paraId="6E5F40D8"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Aquarius Block, 1st Floor, 1 Commercial Road, Eleganza Plaza, Apapa Lagos</w:t>
            </w:r>
          </w:p>
        </w:tc>
      </w:tr>
      <w:tr w:rsidR="00EA38DE" w:rsidRPr="00EA38DE" w14:paraId="365EF5D4" w14:textId="77777777" w:rsidTr="00252AD8">
        <w:tc>
          <w:tcPr>
            <w:tcW w:w="0" w:type="auto"/>
            <w:hideMark/>
          </w:tcPr>
          <w:p w14:paraId="702C2EF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w:t>
            </w:r>
          </w:p>
        </w:tc>
        <w:tc>
          <w:tcPr>
            <w:tcW w:w="0" w:type="auto"/>
            <w:hideMark/>
          </w:tcPr>
          <w:p w14:paraId="6A1381C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Advanced International Merchants Limited</w:t>
            </w:r>
          </w:p>
        </w:tc>
        <w:tc>
          <w:tcPr>
            <w:tcW w:w="0" w:type="auto"/>
            <w:hideMark/>
          </w:tcPr>
          <w:p w14:paraId="09661EB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Advanced International Merchants Limited</w:t>
            </w:r>
          </w:p>
        </w:tc>
        <w:tc>
          <w:tcPr>
            <w:tcW w:w="0" w:type="auto"/>
            <w:hideMark/>
          </w:tcPr>
          <w:p w14:paraId="2DB5E6AB"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22, Oduyemi Street, Anifowoshe, Ikeja</w:t>
            </w:r>
          </w:p>
        </w:tc>
      </w:tr>
      <w:tr w:rsidR="00EA38DE" w:rsidRPr="00EA38DE" w14:paraId="59FE2647" w14:textId="77777777" w:rsidTr="00252AD8">
        <w:tc>
          <w:tcPr>
            <w:tcW w:w="0" w:type="auto"/>
            <w:hideMark/>
          </w:tcPr>
          <w:p w14:paraId="7409995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3</w:t>
            </w:r>
          </w:p>
        </w:tc>
        <w:tc>
          <w:tcPr>
            <w:tcW w:w="0" w:type="auto"/>
            <w:hideMark/>
          </w:tcPr>
          <w:p w14:paraId="2F4C517C"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African European Lines (Nig.) Limited</w:t>
            </w:r>
          </w:p>
        </w:tc>
        <w:tc>
          <w:tcPr>
            <w:tcW w:w="0" w:type="auto"/>
            <w:hideMark/>
          </w:tcPr>
          <w:p w14:paraId="1DDEC26A"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African European Lines (Nig.) Limited</w:t>
            </w:r>
          </w:p>
        </w:tc>
        <w:tc>
          <w:tcPr>
            <w:tcW w:w="0" w:type="auto"/>
            <w:hideMark/>
          </w:tcPr>
          <w:p w14:paraId="05D5111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9, Creek Road, Apapa</w:t>
            </w:r>
          </w:p>
        </w:tc>
      </w:tr>
      <w:tr w:rsidR="00EA38DE" w:rsidRPr="00EA38DE" w14:paraId="2EC19A2C" w14:textId="77777777" w:rsidTr="00252AD8">
        <w:tc>
          <w:tcPr>
            <w:tcW w:w="0" w:type="auto"/>
            <w:hideMark/>
          </w:tcPr>
          <w:p w14:paraId="060F5A1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4</w:t>
            </w:r>
          </w:p>
        </w:tc>
        <w:tc>
          <w:tcPr>
            <w:tcW w:w="0" w:type="auto"/>
            <w:hideMark/>
          </w:tcPr>
          <w:p w14:paraId="16001E9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African European Lines Nigeria Limited</w:t>
            </w:r>
          </w:p>
        </w:tc>
        <w:tc>
          <w:tcPr>
            <w:tcW w:w="0" w:type="auto"/>
            <w:hideMark/>
          </w:tcPr>
          <w:p w14:paraId="1DA15DF8"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African European Lines Nigeria Limited</w:t>
            </w:r>
          </w:p>
        </w:tc>
        <w:tc>
          <w:tcPr>
            <w:tcW w:w="0" w:type="auto"/>
            <w:hideMark/>
          </w:tcPr>
          <w:p w14:paraId="529EBCE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9, Creek Road, Apapa</w:t>
            </w:r>
          </w:p>
        </w:tc>
      </w:tr>
      <w:tr w:rsidR="00EA38DE" w:rsidRPr="00EA38DE" w14:paraId="4CA99A88" w14:textId="77777777" w:rsidTr="00252AD8">
        <w:tc>
          <w:tcPr>
            <w:tcW w:w="0" w:type="auto"/>
            <w:hideMark/>
          </w:tcPr>
          <w:p w14:paraId="544462EC"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5</w:t>
            </w:r>
          </w:p>
        </w:tc>
        <w:tc>
          <w:tcPr>
            <w:tcW w:w="0" w:type="auto"/>
            <w:hideMark/>
          </w:tcPr>
          <w:p w14:paraId="5E93E8E0"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Air Sea Freighter Limited</w:t>
            </w:r>
          </w:p>
        </w:tc>
        <w:tc>
          <w:tcPr>
            <w:tcW w:w="0" w:type="auto"/>
            <w:hideMark/>
          </w:tcPr>
          <w:p w14:paraId="6B59BDDA"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Air Sea Freighter Limited</w:t>
            </w:r>
          </w:p>
        </w:tc>
        <w:tc>
          <w:tcPr>
            <w:tcW w:w="0" w:type="auto"/>
            <w:hideMark/>
          </w:tcPr>
          <w:p w14:paraId="6CD5444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213 Aba Road, Opp. Shell RA, Trans Amadi, Port Harcourt</w:t>
            </w:r>
          </w:p>
        </w:tc>
      </w:tr>
      <w:tr w:rsidR="00EA38DE" w:rsidRPr="00EA38DE" w14:paraId="6A6C9C5D" w14:textId="77777777" w:rsidTr="00252AD8">
        <w:tc>
          <w:tcPr>
            <w:tcW w:w="0" w:type="auto"/>
            <w:hideMark/>
          </w:tcPr>
          <w:p w14:paraId="219A308B"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6</w:t>
            </w:r>
          </w:p>
        </w:tc>
        <w:tc>
          <w:tcPr>
            <w:tcW w:w="0" w:type="auto"/>
            <w:hideMark/>
          </w:tcPr>
          <w:p w14:paraId="334515DF"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Alan Caray Technical Ltd.</w:t>
            </w:r>
          </w:p>
        </w:tc>
        <w:tc>
          <w:tcPr>
            <w:tcW w:w="0" w:type="auto"/>
            <w:hideMark/>
          </w:tcPr>
          <w:p w14:paraId="7C64C98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Alan Caray Technical Limited</w:t>
            </w:r>
          </w:p>
        </w:tc>
        <w:tc>
          <w:tcPr>
            <w:tcW w:w="0" w:type="auto"/>
            <w:hideMark/>
          </w:tcPr>
          <w:p w14:paraId="41941EC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11, Wharf Road, Apapa Lagos</w:t>
            </w:r>
          </w:p>
        </w:tc>
      </w:tr>
      <w:tr w:rsidR="00EA38DE" w:rsidRPr="00EA38DE" w14:paraId="32FFF95B" w14:textId="77777777" w:rsidTr="00252AD8">
        <w:tc>
          <w:tcPr>
            <w:tcW w:w="0" w:type="auto"/>
            <w:hideMark/>
          </w:tcPr>
          <w:p w14:paraId="63B79C3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7</w:t>
            </w:r>
          </w:p>
        </w:tc>
        <w:tc>
          <w:tcPr>
            <w:tcW w:w="0" w:type="auto"/>
            <w:hideMark/>
          </w:tcPr>
          <w:p w14:paraId="15F0AA32"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Antonio Assaf &amp; Sons (Nig.) Limited</w:t>
            </w:r>
          </w:p>
        </w:tc>
        <w:tc>
          <w:tcPr>
            <w:tcW w:w="0" w:type="auto"/>
            <w:hideMark/>
          </w:tcPr>
          <w:p w14:paraId="4CBE0D3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Antonio Assaf &amp; Sons (Nig.) Limited</w:t>
            </w:r>
          </w:p>
        </w:tc>
        <w:tc>
          <w:tcPr>
            <w:tcW w:w="0" w:type="auto"/>
            <w:hideMark/>
          </w:tcPr>
          <w:p w14:paraId="320CE02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41/43 Bombay Crescent, Apapa Lagos</w:t>
            </w:r>
          </w:p>
        </w:tc>
      </w:tr>
      <w:tr w:rsidR="00EA38DE" w:rsidRPr="00EA38DE" w14:paraId="55961CA3" w14:textId="77777777" w:rsidTr="00252AD8">
        <w:tc>
          <w:tcPr>
            <w:tcW w:w="0" w:type="auto"/>
            <w:hideMark/>
          </w:tcPr>
          <w:p w14:paraId="210DF2F3"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8</w:t>
            </w:r>
          </w:p>
        </w:tc>
        <w:tc>
          <w:tcPr>
            <w:tcW w:w="0" w:type="auto"/>
            <w:hideMark/>
          </w:tcPr>
          <w:p w14:paraId="2F2E146B"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Antwerp Shipping Nigeria Limited</w:t>
            </w:r>
          </w:p>
        </w:tc>
        <w:tc>
          <w:tcPr>
            <w:tcW w:w="0" w:type="auto"/>
            <w:hideMark/>
          </w:tcPr>
          <w:p w14:paraId="15D212EF"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Antwerp Shipping Nigeria Limited</w:t>
            </w:r>
          </w:p>
        </w:tc>
        <w:tc>
          <w:tcPr>
            <w:tcW w:w="0" w:type="auto"/>
            <w:hideMark/>
          </w:tcPr>
          <w:p w14:paraId="372D07EF"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 Commercial Road, 1st Floor Leo Block, Eleganza Plaza, Apapa</w:t>
            </w:r>
          </w:p>
        </w:tc>
      </w:tr>
      <w:tr w:rsidR="00EA38DE" w:rsidRPr="00EA38DE" w14:paraId="053B9A88" w14:textId="77777777" w:rsidTr="00252AD8">
        <w:tc>
          <w:tcPr>
            <w:tcW w:w="0" w:type="auto"/>
            <w:hideMark/>
          </w:tcPr>
          <w:p w14:paraId="7AD5779F"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lastRenderedPageBreak/>
              <w:t>9</w:t>
            </w:r>
          </w:p>
        </w:tc>
        <w:tc>
          <w:tcPr>
            <w:tcW w:w="0" w:type="auto"/>
            <w:hideMark/>
          </w:tcPr>
          <w:p w14:paraId="6A5B09D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Ayolas Cargo &amp; General Services Limited</w:t>
            </w:r>
          </w:p>
        </w:tc>
        <w:tc>
          <w:tcPr>
            <w:tcW w:w="0" w:type="auto"/>
            <w:hideMark/>
          </w:tcPr>
          <w:p w14:paraId="4196744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Ayolas Cargo &amp; General Services Limited</w:t>
            </w:r>
          </w:p>
        </w:tc>
        <w:tc>
          <w:tcPr>
            <w:tcW w:w="0" w:type="auto"/>
            <w:hideMark/>
          </w:tcPr>
          <w:p w14:paraId="43F7671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129, Agege Motor Road, Alakija, Idi-Oro, Lagos</w:t>
            </w:r>
          </w:p>
        </w:tc>
      </w:tr>
      <w:tr w:rsidR="00EA38DE" w:rsidRPr="00EA38DE" w14:paraId="15313870" w14:textId="77777777" w:rsidTr="00252AD8">
        <w:tc>
          <w:tcPr>
            <w:tcW w:w="0" w:type="auto"/>
            <w:hideMark/>
          </w:tcPr>
          <w:p w14:paraId="5AA4027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10</w:t>
            </w:r>
          </w:p>
        </w:tc>
        <w:tc>
          <w:tcPr>
            <w:tcW w:w="0" w:type="auto"/>
            <w:hideMark/>
          </w:tcPr>
          <w:p w14:paraId="60FF456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Balaquer Limited</w:t>
            </w:r>
          </w:p>
        </w:tc>
        <w:tc>
          <w:tcPr>
            <w:tcW w:w="0" w:type="auto"/>
            <w:hideMark/>
          </w:tcPr>
          <w:p w14:paraId="3C1666C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Balaquer Limited</w:t>
            </w:r>
          </w:p>
        </w:tc>
        <w:tc>
          <w:tcPr>
            <w:tcW w:w="0" w:type="auto"/>
            <w:hideMark/>
          </w:tcPr>
          <w:p w14:paraId="4271720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Aquarius Block, 2nd Floor, Eleganza Plaza, 1, Commercial Rd., Apapa</w:t>
            </w:r>
          </w:p>
        </w:tc>
      </w:tr>
      <w:tr w:rsidR="00EA38DE" w:rsidRPr="00EA38DE" w14:paraId="57D9C0FA" w14:textId="77777777" w:rsidTr="00252AD8">
        <w:tc>
          <w:tcPr>
            <w:tcW w:w="0" w:type="auto"/>
            <w:hideMark/>
          </w:tcPr>
          <w:p w14:paraId="1C4EE0C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11</w:t>
            </w:r>
          </w:p>
        </w:tc>
        <w:tc>
          <w:tcPr>
            <w:tcW w:w="0" w:type="auto"/>
            <w:hideMark/>
          </w:tcPr>
          <w:p w14:paraId="19110B3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Batun Investment Nig. Ltd.</w:t>
            </w:r>
          </w:p>
        </w:tc>
        <w:tc>
          <w:tcPr>
            <w:tcW w:w="0" w:type="auto"/>
            <w:hideMark/>
          </w:tcPr>
          <w:p w14:paraId="3DE7A17B"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Batun Investment Nig. Ltd.</w:t>
            </w:r>
          </w:p>
        </w:tc>
        <w:tc>
          <w:tcPr>
            <w:tcW w:w="0" w:type="auto"/>
            <w:hideMark/>
          </w:tcPr>
          <w:p w14:paraId="7A2AD27B"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 Aerodrome Road, Eleganza Plaza, Apapa</w:t>
            </w:r>
          </w:p>
        </w:tc>
      </w:tr>
      <w:tr w:rsidR="00EA38DE" w:rsidRPr="00EA38DE" w14:paraId="74C4C45D" w14:textId="77777777" w:rsidTr="00252AD8">
        <w:tc>
          <w:tcPr>
            <w:tcW w:w="0" w:type="auto"/>
            <w:hideMark/>
          </w:tcPr>
          <w:p w14:paraId="57CD203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12</w:t>
            </w:r>
          </w:p>
        </w:tc>
        <w:tc>
          <w:tcPr>
            <w:tcW w:w="0" w:type="auto"/>
            <w:hideMark/>
          </w:tcPr>
          <w:p w14:paraId="735ADA2A"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BHN Transport &amp; Logistics Limited</w:t>
            </w:r>
          </w:p>
        </w:tc>
        <w:tc>
          <w:tcPr>
            <w:tcW w:w="0" w:type="auto"/>
            <w:hideMark/>
          </w:tcPr>
          <w:p w14:paraId="7F706FD2"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BHN Transport &amp; Logistics Limited</w:t>
            </w:r>
          </w:p>
        </w:tc>
        <w:tc>
          <w:tcPr>
            <w:tcW w:w="0" w:type="auto"/>
            <w:hideMark/>
          </w:tcPr>
          <w:p w14:paraId="177EC12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Plot 018 Trans Amadi Ind. Layout, Port Harcourt</w:t>
            </w:r>
          </w:p>
        </w:tc>
      </w:tr>
      <w:tr w:rsidR="00EA38DE" w:rsidRPr="00EA38DE" w14:paraId="0C37F525" w14:textId="77777777" w:rsidTr="00252AD8">
        <w:tc>
          <w:tcPr>
            <w:tcW w:w="0" w:type="auto"/>
            <w:hideMark/>
          </w:tcPr>
          <w:p w14:paraId="3BAE23C3"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13</w:t>
            </w:r>
          </w:p>
        </w:tc>
        <w:tc>
          <w:tcPr>
            <w:tcW w:w="0" w:type="auto"/>
            <w:hideMark/>
          </w:tcPr>
          <w:p w14:paraId="229ED2F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Blue Star Shipping Line Limited</w:t>
            </w:r>
          </w:p>
        </w:tc>
        <w:tc>
          <w:tcPr>
            <w:tcW w:w="0" w:type="auto"/>
            <w:hideMark/>
          </w:tcPr>
          <w:p w14:paraId="421059D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Blue Star Shipping Line Limited</w:t>
            </w:r>
          </w:p>
        </w:tc>
        <w:tc>
          <w:tcPr>
            <w:tcW w:w="0" w:type="auto"/>
            <w:hideMark/>
          </w:tcPr>
          <w:p w14:paraId="0853A6F0"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24, Creek Road, Apapa, Lagos</w:t>
            </w:r>
          </w:p>
        </w:tc>
      </w:tr>
      <w:tr w:rsidR="00EA38DE" w:rsidRPr="00EA38DE" w14:paraId="2A8FB9C9" w14:textId="77777777" w:rsidTr="00252AD8">
        <w:tc>
          <w:tcPr>
            <w:tcW w:w="0" w:type="auto"/>
            <w:hideMark/>
          </w:tcPr>
          <w:p w14:paraId="59C44982"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14</w:t>
            </w:r>
          </w:p>
        </w:tc>
        <w:tc>
          <w:tcPr>
            <w:tcW w:w="0" w:type="auto"/>
            <w:hideMark/>
          </w:tcPr>
          <w:p w14:paraId="5A44DB7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Captino Global Shipping Company Limited</w:t>
            </w:r>
          </w:p>
        </w:tc>
        <w:tc>
          <w:tcPr>
            <w:tcW w:w="0" w:type="auto"/>
            <w:hideMark/>
          </w:tcPr>
          <w:p w14:paraId="1EA52D6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Captino Global Shipping Company Limited</w:t>
            </w:r>
          </w:p>
        </w:tc>
        <w:tc>
          <w:tcPr>
            <w:tcW w:w="0" w:type="auto"/>
            <w:hideMark/>
          </w:tcPr>
          <w:p w14:paraId="41CB2D2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AO 41/42 Enugu Plaza, Trade Fair Complex, Badagry Expressway, Lagos</w:t>
            </w:r>
          </w:p>
        </w:tc>
      </w:tr>
      <w:tr w:rsidR="00EA38DE" w:rsidRPr="00EA38DE" w14:paraId="79244F45" w14:textId="77777777" w:rsidTr="00252AD8">
        <w:tc>
          <w:tcPr>
            <w:tcW w:w="0" w:type="auto"/>
            <w:hideMark/>
          </w:tcPr>
          <w:p w14:paraId="66D7299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15</w:t>
            </w:r>
          </w:p>
        </w:tc>
        <w:tc>
          <w:tcPr>
            <w:tcW w:w="0" w:type="auto"/>
            <w:hideMark/>
          </w:tcPr>
          <w:p w14:paraId="676349F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Casablanca Shipping Agency</w:t>
            </w:r>
          </w:p>
        </w:tc>
        <w:tc>
          <w:tcPr>
            <w:tcW w:w="0" w:type="auto"/>
            <w:hideMark/>
          </w:tcPr>
          <w:p w14:paraId="671966D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Casablanca Shipping Agency</w:t>
            </w:r>
          </w:p>
        </w:tc>
        <w:tc>
          <w:tcPr>
            <w:tcW w:w="0" w:type="auto"/>
            <w:hideMark/>
          </w:tcPr>
          <w:p w14:paraId="548B255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8, Olofin Street, Apapa</w:t>
            </w:r>
          </w:p>
        </w:tc>
      </w:tr>
      <w:tr w:rsidR="00EA38DE" w:rsidRPr="00EA38DE" w14:paraId="0AF1EE6B" w14:textId="77777777" w:rsidTr="00252AD8">
        <w:tc>
          <w:tcPr>
            <w:tcW w:w="0" w:type="auto"/>
            <w:hideMark/>
          </w:tcPr>
          <w:p w14:paraId="01021403"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16</w:t>
            </w:r>
          </w:p>
        </w:tc>
        <w:tc>
          <w:tcPr>
            <w:tcW w:w="0" w:type="auto"/>
            <w:hideMark/>
          </w:tcPr>
          <w:p w14:paraId="47C67A00"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China Shipping</w:t>
            </w:r>
          </w:p>
        </w:tc>
        <w:tc>
          <w:tcPr>
            <w:tcW w:w="0" w:type="auto"/>
            <w:hideMark/>
          </w:tcPr>
          <w:p w14:paraId="244333B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Cross Marine Services</w:t>
            </w:r>
          </w:p>
        </w:tc>
        <w:tc>
          <w:tcPr>
            <w:tcW w:w="0" w:type="auto"/>
            <w:hideMark/>
          </w:tcPr>
          <w:p w14:paraId="412386AA"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28, Burma Road, Apapa</w:t>
            </w:r>
          </w:p>
        </w:tc>
      </w:tr>
      <w:tr w:rsidR="00EA38DE" w:rsidRPr="00EA38DE" w14:paraId="2F9558F5" w14:textId="77777777" w:rsidTr="00252AD8">
        <w:tc>
          <w:tcPr>
            <w:tcW w:w="0" w:type="auto"/>
            <w:hideMark/>
          </w:tcPr>
          <w:p w14:paraId="7E543D5C"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17</w:t>
            </w:r>
          </w:p>
        </w:tc>
        <w:tc>
          <w:tcPr>
            <w:tcW w:w="0" w:type="auto"/>
            <w:hideMark/>
          </w:tcPr>
          <w:p w14:paraId="00C2DEFF"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China Shipping &amp; Container Line (CSC)</w:t>
            </w:r>
          </w:p>
        </w:tc>
        <w:tc>
          <w:tcPr>
            <w:tcW w:w="0" w:type="auto"/>
            <w:hideMark/>
          </w:tcPr>
          <w:p w14:paraId="4EF197C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Cross Marine Services Limited</w:t>
            </w:r>
          </w:p>
        </w:tc>
        <w:tc>
          <w:tcPr>
            <w:tcW w:w="0" w:type="auto"/>
            <w:hideMark/>
          </w:tcPr>
          <w:p w14:paraId="2557AD0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28, Burma Road, Apapa</w:t>
            </w:r>
          </w:p>
        </w:tc>
      </w:tr>
      <w:tr w:rsidR="00EA38DE" w:rsidRPr="00EA38DE" w14:paraId="4016D5A1" w14:textId="77777777" w:rsidTr="00252AD8">
        <w:tc>
          <w:tcPr>
            <w:tcW w:w="0" w:type="auto"/>
            <w:hideMark/>
          </w:tcPr>
          <w:p w14:paraId="0F82751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18</w:t>
            </w:r>
          </w:p>
        </w:tc>
        <w:tc>
          <w:tcPr>
            <w:tcW w:w="0" w:type="auto"/>
            <w:hideMark/>
          </w:tcPr>
          <w:p w14:paraId="1AD1BA4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Contraco (Nig.) Limited</w:t>
            </w:r>
          </w:p>
        </w:tc>
        <w:tc>
          <w:tcPr>
            <w:tcW w:w="0" w:type="auto"/>
            <w:hideMark/>
          </w:tcPr>
          <w:p w14:paraId="7AE4435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Contraco (Nig.) Limited</w:t>
            </w:r>
          </w:p>
        </w:tc>
        <w:tc>
          <w:tcPr>
            <w:tcW w:w="0" w:type="auto"/>
            <w:hideMark/>
          </w:tcPr>
          <w:p w14:paraId="21F7F24A"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Suite 8D, Princes Court, Ahmed Onibudo Street, Victoria Island, Lagos</w:t>
            </w:r>
          </w:p>
        </w:tc>
      </w:tr>
      <w:tr w:rsidR="00EA38DE" w:rsidRPr="00EA38DE" w14:paraId="62B888A2" w14:textId="77777777" w:rsidTr="00252AD8">
        <w:tc>
          <w:tcPr>
            <w:tcW w:w="0" w:type="auto"/>
            <w:hideMark/>
          </w:tcPr>
          <w:p w14:paraId="470E45AC"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lastRenderedPageBreak/>
              <w:t>19</w:t>
            </w:r>
          </w:p>
        </w:tc>
        <w:tc>
          <w:tcPr>
            <w:tcW w:w="0" w:type="auto"/>
            <w:hideMark/>
          </w:tcPr>
          <w:p w14:paraId="0993BC9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COSCO</w:t>
            </w:r>
          </w:p>
        </w:tc>
        <w:tc>
          <w:tcPr>
            <w:tcW w:w="0" w:type="auto"/>
            <w:hideMark/>
          </w:tcPr>
          <w:p w14:paraId="03B5BB6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SDV</w:t>
            </w:r>
          </w:p>
        </w:tc>
        <w:tc>
          <w:tcPr>
            <w:tcW w:w="0" w:type="auto"/>
            <w:hideMark/>
          </w:tcPr>
          <w:p w14:paraId="6DE419A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26, Creek Road, Apapa</w:t>
            </w:r>
          </w:p>
        </w:tc>
      </w:tr>
      <w:tr w:rsidR="00EA38DE" w:rsidRPr="00EA38DE" w14:paraId="1816A60A" w14:textId="77777777" w:rsidTr="00252AD8">
        <w:tc>
          <w:tcPr>
            <w:tcW w:w="0" w:type="auto"/>
            <w:hideMark/>
          </w:tcPr>
          <w:p w14:paraId="5C5EA9F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20</w:t>
            </w:r>
          </w:p>
        </w:tc>
        <w:tc>
          <w:tcPr>
            <w:tcW w:w="0" w:type="auto"/>
            <w:hideMark/>
          </w:tcPr>
          <w:p w14:paraId="36AB068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Cross Traders</w:t>
            </w:r>
          </w:p>
        </w:tc>
        <w:tc>
          <w:tcPr>
            <w:tcW w:w="0" w:type="auto"/>
            <w:hideMark/>
          </w:tcPr>
          <w:p w14:paraId="5A27344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Cross Marine Services</w:t>
            </w:r>
          </w:p>
        </w:tc>
        <w:tc>
          <w:tcPr>
            <w:tcW w:w="0" w:type="auto"/>
            <w:hideMark/>
          </w:tcPr>
          <w:p w14:paraId="2D0E491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28, Burma Road, Apapa</w:t>
            </w:r>
          </w:p>
        </w:tc>
      </w:tr>
      <w:tr w:rsidR="00EA38DE" w:rsidRPr="00EA38DE" w14:paraId="6801CE42" w14:textId="77777777" w:rsidTr="00252AD8">
        <w:tc>
          <w:tcPr>
            <w:tcW w:w="0" w:type="auto"/>
            <w:hideMark/>
          </w:tcPr>
          <w:p w14:paraId="37EC875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21</w:t>
            </w:r>
          </w:p>
        </w:tc>
        <w:tc>
          <w:tcPr>
            <w:tcW w:w="0" w:type="auto"/>
            <w:hideMark/>
          </w:tcPr>
          <w:p w14:paraId="0810761D"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Deino Maritime Services</w:t>
            </w:r>
          </w:p>
        </w:tc>
        <w:tc>
          <w:tcPr>
            <w:tcW w:w="0" w:type="auto"/>
            <w:hideMark/>
          </w:tcPr>
          <w:p w14:paraId="7A8FECC8"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Deino Maritime Services</w:t>
            </w:r>
          </w:p>
        </w:tc>
        <w:tc>
          <w:tcPr>
            <w:tcW w:w="0" w:type="auto"/>
            <w:hideMark/>
          </w:tcPr>
          <w:p w14:paraId="7E7BA1F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Eleganza Plaza, Aquarius Block, Ground Floor, 1, Commercial Road, Apapa Lagos</w:t>
            </w:r>
          </w:p>
        </w:tc>
      </w:tr>
      <w:tr w:rsidR="00EA38DE" w:rsidRPr="00EA38DE" w14:paraId="75C06514" w14:textId="77777777" w:rsidTr="00252AD8">
        <w:tc>
          <w:tcPr>
            <w:tcW w:w="0" w:type="auto"/>
            <w:hideMark/>
          </w:tcPr>
          <w:p w14:paraId="28529D1C"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22</w:t>
            </w:r>
          </w:p>
        </w:tc>
        <w:tc>
          <w:tcPr>
            <w:tcW w:w="0" w:type="auto"/>
            <w:hideMark/>
          </w:tcPr>
          <w:p w14:paraId="0461FA9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Delmas (Nig.) Limited</w:t>
            </w:r>
          </w:p>
        </w:tc>
        <w:tc>
          <w:tcPr>
            <w:tcW w:w="0" w:type="auto"/>
            <w:hideMark/>
          </w:tcPr>
          <w:p w14:paraId="3DD6336A"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Wasa Delmas</w:t>
            </w:r>
          </w:p>
        </w:tc>
        <w:tc>
          <w:tcPr>
            <w:tcW w:w="0" w:type="auto"/>
            <w:hideMark/>
          </w:tcPr>
          <w:p w14:paraId="5D7F3FD3"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26, Creek Road, Apapa</w:t>
            </w:r>
          </w:p>
        </w:tc>
      </w:tr>
      <w:tr w:rsidR="00EA38DE" w:rsidRPr="00EA38DE" w14:paraId="7945AEF8" w14:textId="77777777" w:rsidTr="00252AD8">
        <w:tc>
          <w:tcPr>
            <w:tcW w:w="0" w:type="auto"/>
            <w:hideMark/>
          </w:tcPr>
          <w:p w14:paraId="70F2B1E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23</w:t>
            </w:r>
          </w:p>
        </w:tc>
        <w:tc>
          <w:tcPr>
            <w:tcW w:w="0" w:type="auto"/>
            <w:hideMark/>
          </w:tcPr>
          <w:p w14:paraId="299F5AF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Denca Services Limited</w:t>
            </w:r>
          </w:p>
        </w:tc>
        <w:tc>
          <w:tcPr>
            <w:tcW w:w="0" w:type="auto"/>
            <w:hideMark/>
          </w:tcPr>
          <w:p w14:paraId="61714ED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Denca Services Limited</w:t>
            </w:r>
          </w:p>
        </w:tc>
        <w:tc>
          <w:tcPr>
            <w:tcW w:w="0" w:type="auto"/>
            <w:hideMark/>
          </w:tcPr>
          <w:p w14:paraId="52EA1573"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37, Alhaji Yusuf Adebayo Street, Olodi Apapa</w:t>
            </w:r>
          </w:p>
        </w:tc>
      </w:tr>
      <w:tr w:rsidR="00EA38DE" w:rsidRPr="00EA38DE" w14:paraId="3B6210E8" w14:textId="77777777" w:rsidTr="00252AD8">
        <w:tc>
          <w:tcPr>
            <w:tcW w:w="0" w:type="auto"/>
            <w:hideMark/>
          </w:tcPr>
          <w:p w14:paraId="01566A4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24</w:t>
            </w:r>
          </w:p>
        </w:tc>
        <w:tc>
          <w:tcPr>
            <w:tcW w:w="0" w:type="auto"/>
            <w:hideMark/>
          </w:tcPr>
          <w:p w14:paraId="6B37641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DLB Concerns Limited</w:t>
            </w:r>
          </w:p>
        </w:tc>
        <w:tc>
          <w:tcPr>
            <w:tcW w:w="0" w:type="auto"/>
            <w:hideMark/>
          </w:tcPr>
          <w:p w14:paraId="4707480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DLB Concerns Limited</w:t>
            </w:r>
          </w:p>
        </w:tc>
        <w:tc>
          <w:tcPr>
            <w:tcW w:w="0" w:type="auto"/>
            <w:hideMark/>
          </w:tcPr>
          <w:p w14:paraId="7D62339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9A Adeola Odeku, Victoria Island</w:t>
            </w:r>
          </w:p>
        </w:tc>
      </w:tr>
      <w:tr w:rsidR="00EA38DE" w:rsidRPr="00EA38DE" w14:paraId="1FAB0701" w14:textId="77777777" w:rsidTr="00252AD8">
        <w:tc>
          <w:tcPr>
            <w:tcW w:w="0" w:type="auto"/>
            <w:hideMark/>
          </w:tcPr>
          <w:p w14:paraId="3C2F613C"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25</w:t>
            </w:r>
          </w:p>
        </w:tc>
        <w:tc>
          <w:tcPr>
            <w:tcW w:w="0" w:type="auto"/>
            <w:hideMark/>
          </w:tcPr>
          <w:p w14:paraId="00B2032F"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DSR Senator Lines</w:t>
            </w:r>
          </w:p>
        </w:tc>
        <w:tc>
          <w:tcPr>
            <w:tcW w:w="0" w:type="auto"/>
            <w:hideMark/>
          </w:tcPr>
          <w:p w14:paraId="4830C105"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Alraine Shipping Agency</w:t>
            </w:r>
          </w:p>
        </w:tc>
        <w:tc>
          <w:tcPr>
            <w:tcW w:w="0" w:type="auto"/>
            <w:hideMark/>
          </w:tcPr>
          <w:p w14:paraId="1169B75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4B Balogun Omidiora Road (Former Hinderer Street), Apapa, Lagos</w:t>
            </w:r>
          </w:p>
        </w:tc>
      </w:tr>
      <w:tr w:rsidR="00EA38DE" w:rsidRPr="00EA38DE" w14:paraId="7E3BF0A8" w14:textId="77777777" w:rsidTr="00252AD8">
        <w:tc>
          <w:tcPr>
            <w:tcW w:w="0" w:type="auto"/>
            <w:hideMark/>
          </w:tcPr>
          <w:p w14:paraId="7F38840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26</w:t>
            </w:r>
          </w:p>
        </w:tc>
        <w:tc>
          <w:tcPr>
            <w:tcW w:w="0" w:type="auto"/>
            <w:hideMark/>
          </w:tcPr>
          <w:p w14:paraId="362D27FB"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Dully Shipping &amp; Trading Limited</w:t>
            </w:r>
          </w:p>
        </w:tc>
        <w:tc>
          <w:tcPr>
            <w:tcW w:w="0" w:type="auto"/>
            <w:hideMark/>
          </w:tcPr>
          <w:p w14:paraId="7D638758"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Dully Shipping &amp; Trading Limited</w:t>
            </w:r>
          </w:p>
        </w:tc>
        <w:tc>
          <w:tcPr>
            <w:tcW w:w="0" w:type="auto"/>
            <w:hideMark/>
          </w:tcPr>
          <w:p w14:paraId="6E4C3FE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28, Palace Road, Olodi Apapa, Lagos</w:t>
            </w:r>
          </w:p>
        </w:tc>
      </w:tr>
      <w:tr w:rsidR="00EA38DE" w:rsidRPr="00EA38DE" w14:paraId="140986A9" w14:textId="77777777" w:rsidTr="00252AD8">
        <w:tc>
          <w:tcPr>
            <w:tcW w:w="0" w:type="auto"/>
            <w:hideMark/>
          </w:tcPr>
          <w:p w14:paraId="5C8C4D5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27</w:t>
            </w:r>
          </w:p>
        </w:tc>
        <w:tc>
          <w:tcPr>
            <w:tcW w:w="0" w:type="auto"/>
            <w:hideMark/>
          </w:tcPr>
          <w:p w14:paraId="0D8033F7"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East Atlantic Cargo &amp; Marine Services Limited</w:t>
            </w:r>
          </w:p>
        </w:tc>
        <w:tc>
          <w:tcPr>
            <w:tcW w:w="0" w:type="auto"/>
            <w:hideMark/>
          </w:tcPr>
          <w:p w14:paraId="0A563C0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East Atlantic Cargo &amp; Marine Services Limited</w:t>
            </w:r>
          </w:p>
        </w:tc>
        <w:tc>
          <w:tcPr>
            <w:tcW w:w="0" w:type="auto"/>
            <w:hideMark/>
          </w:tcPr>
          <w:p w14:paraId="2949ECA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1, Station Road, Town, Port Harcourt</w:t>
            </w:r>
          </w:p>
        </w:tc>
      </w:tr>
      <w:tr w:rsidR="00EA38DE" w:rsidRPr="00EA38DE" w14:paraId="66EF0BFB" w14:textId="77777777" w:rsidTr="00252AD8">
        <w:tc>
          <w:tcPr>
            <w:tcW w:w="0" w:type="auto"/>
            <w:hideMark/>
          </w:tcPr>
          <w:p w14:paraId="4C7FC4C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28</w:t>
            </w:r>
          </w:p>
        </w:tc>
        <w:tc>
          <w:tcPr>
            <w:tcW w:w="0" w:type="auto"/>
            <w:hideMark/>
          </w:tcPr>
          <w:p w14:paraId="5CAC0544"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Equitrail Marine Oil &amp; Gas Co. Ltd.</w:t>
            </w:r>
          </w:p>
        </w:tc>
        <w:tc>
          <w:tcPr>
            <w:tcW w:w="0" w:type="auto"/>
            <w:hideMark/>
          </w:tcPr>
          <w:p w14:paraId="4E52E3C9"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Equitrail Marine Oil &amp; Gas Co. Ltd.</w:t>
            </w:r>
          </w:p>
        </w:tc>
        <w:tc>
          <w:tcPr>
            <w:tcW w:w="0" w:type="auto"/>
            <w:hideMark/>
          </w:tcPr>
          <w:p w14:paraId="5CF966F1"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30/32 Creek Road, End Floor, Apapa Lagos</w:t>
            </w:r>
          </w:p>
        </w:tc>
      </w:tr>
      <w:tr w:rsidR="00EA38DE" w:rsidRPr="00EA38DE" w14:paraId="0FFEDAA1" w14:textId="77777777" w:rsidTr="00252AD8">
        <w:tc>
          <w:tcPr>
            <w:tcW w:w="0" w:type="auto"/>
            <w:hideMark/>
          </w:tcPr>
          <w:p w14:paraId="7BAB939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29</w:t>
            </w:r>
          </w:p>
        </w:tc>
        <w:tc>
          <w:tcPr>
            <w:tcW w:w="0" w:type="auto"/>
            <w:hideMark/>
          </w:tcPr>
          <w:p w14:paraId="004B02C6"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Fedrick Marine Services Limited</w:t>
            </w:r>
          </w:p>
        </w:tc>
        <w:tc>
          <w:tcPr>
            <w:tcW w:w="0" w:type="auto"/>
            <w:hideMark/>
          </w:tcPr>
          <w:p w14:paraId="58B60878"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Fedrick Marine Services Limited</w:t>
            </w:r>
          </w:p>
        </w:tc>
        <w:tc>
          <w:tcPr>
            <w:tcW w:w="0" w:type="auto"/>
            <w:hideMark/>
          </w:tcPr>
          <w:p w14:paraId="5A6FD9AE"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48/50 Rumuolumini Road, Off Wempey Junction, Rumueprikom, Port-Harcourt</w:t>
            </w:r>
          </w:p>
        </w:tc>
      </w:tr>
      <w:tr w:rsidR="00576B3A" w:rsidRPr="00EA38DE" w14:paraId="3792E06E" w14:textId="77777777" w:rsidTr="00252AD8">
        <w:trPr>
          <w:trHeight w:val="841"/>
        </w:trPr>
        <w:tc>
          <w:tcPr>
            <w:tcW w:w="0" w:type="auto"/>
            <w:hideMark/>
          </w:tcPr>
          <w:p w14:paraId="3F1613FA" w14:textId="77777777" w:rsidR="00576B3A" w:rsidRPr="00EA38DE" w:rsidRDefault="00576B3A" w:rsidP="00252AD8">
            <w:pPr>
              <w:spacing w:before="100" w:beforeAutospacing="1" w:line="480" w:lineRule="auto"/>
              <w:rPr>
                <w:rFonts w:ascii="Times New Roman" w:hAnsi="Times New Roman"/>
                <w:sz w:val="24"/>
                <w:szCs w:val="24"/>
              </w:rPr>
            </w:pPr>
            <w:r w:rsidRPr="00EA38DE">
              <w:rPr>
                <w:rFonts w:ascii="Times New Roman" w:hAnsi="Times New Roman"/>
                <w:sz w:val="24"/>
                <w:szCs w:val="24"/>
              </w:rPr>
              <w:lastRenderedPageBreak/>
              <w:t>30</w:t>
            </w:r>
          </w:p>
        </w:tc>
        <w:tc>
          <w:tcPr>
            <w:tcW w:w="0" w:type="auto"/>
            <w:hideMark/>
          </w:tcPr>
          <w:p w14:paraId="4D092E38" w14:textId="77777777" w:rsidR="00576B3A" w:rsidRPr="00EA38DE" w:rsidRDefault="00576B3A" w:rsidP="00252AD8">
            <w:pPr>
              <w:spacing w:before="100" w:beforeAutospacing="1" w:line="480" w:lineRule="auto"/>
              <w:rPr>
                <w:rFonts w:ascii="Times New Roman" w:hAnsi="Times New Roman"/>
                <w:sz w:val="24"/>
                <w:szCs w:val="24"/>
              </w:rPr>
            </w:pPr>
            <w:r w:rsidRPr="00EA38DE">
              <w:rPr>
                <w:rFonts w:ascii="Times New Roman" w:hAnsi="Times New Roman"/>
                <w:sz w:val="24"/>
                <w:szCs w:val="24"/>
              </w:rPr>
              <w:t>Fesco Marine Services Ltd.</w:t>
            </w:r>
          </w:p>
        </w:tc>
        <w:tc>
          <w:tcPr>
            <w:tcW w:w="0" w:type="auto"/>
            <w:hideMark/>
          </w:tcPr>
          <w:p w14:paraId="743EF05C" w14:textId="77777777" w:rsidR="00576B3A" w:rsidRPr="00EA38DE" w:rsidRDefault="00576B3A" w:rsidP="00252AD8">
            <w:pPr>
              <w:spacing w:before="100" w:beforeAutospacing="1" w:line="480" w:lineRule="auto"/>
              <w:rPr>
                <w:rFonts w:ascii="Times New Roman" w:hAnsi="Times New Roman"/>
                <w:sz w:val="24"/>
                <w:szCs w:val="24"/>
              </w:rPr>
            </w:pPr>
            <w:r w:rsidRPr="00EA38DE">
              <w:rPr>
                <w:rFonts w:ascii="Times New Roman" w:hAnsi="Times New Roman"/>
                <w:sz w:val="24"/>
                <w:szCs w:val="24"/>
              </w:rPr>
              <w:t>Fesco Marine Services Limited</w:t>
            </w:r>
          </w:p>
        </w:tc>
        <w:tc>
          <w:tcPr>
            <w:tcW w:w="0" w:type="auto"/>
            <w:hideMark/>
          </w:tcPr>
          <w:p w14:paraId="2D97E758" w14:textId="77777777" w:rsidR="00576B3A" w:rsidRPr="00EA38DE" w:rsidRDefault="00576B3A" w:rsidP="00252AD8">
            <w:pPr>
              <w:spacing w:before="100" w:beforeAutospacing="1" w:line="480" w:lineRule="auto"/>
              <w:rPr>
                <w:rFonts w:ascii="Times New Roman" w:hAnsi="Times New Roman"/>
                <w:sz w:val="24"/>
                <w:szCs w:val="24"/>
              </w:rPr>
            </w:pPr>
            <w:r w:rsidRPr="00EA38DE">
              <w:rPr>
                <w:rFonts w:ascii="Times New Roman" w:hAnsi="Times New Roman"/>
                <w:sz w:val="24"/>
                <w:szCs w:val="24"/>
              </w:rPr>
              <w:t>16, Warehouse Road, Apapa</w:t>
            </w:r>
          </w:p>
        </w:tc>
      </w:tr>
    </w:tbl>
    <w:p w14:paraId="18B89E0D" w14:textId="77777777" w:rsidR="00576B3A" w:rsidRPr="00EA38DE" w:rsidRDefault="00576B3A" w:rsidP="00576B3A">
      <w:pPr>
        <w:spacing w:before="100" w:beforeAutospacing="1"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577"/>
        <w:gridCol w:w="2440"/>
        <w:gridCol w:w="3060"/>
        <w:gridCol w:w="3273"/>
      </w:tblGrid>
      <w:tr w:rsidR="00EA38DE" w:rsidRPr="00EA38DE" w14:paraId="5D93F699" w14:textId="77777777" w:rsidTr="00252AD8">
        <w:tc>
          <w:tcPr>
            <w:tcW w:w="0" w:type="auto"/>
            <w:hideMark/>
          </w:tcPr>
          <w:p w14:paraId="7D94142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31</w:t>
            </w:r>
          </w:p>
        </w:tc>
        <w:tc>
          <w:tcPr>
            <w:tcW w:w="0" w:type="auto"/>
            <w:hideMark/>
          </w:tcPr>
          <w:p w14:paraId="34D5847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Fidepat International Co. Limited</w:t>
            </w:r>
          </w:p>
        </w:tc>
        <w:tc>
          <w:tcPr>
            <w:tcW w:w="0" w:type="auto"/>
            <w:hideMark/>
          </w:tcPr>
          <w:p w14:paraId="7E48A05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Fidepat International Co. Limited</w:t>
            </w:r>
          </w:p>
        </w:tc>
        <w:tc>
          <w:tcPr>
            <w:tcW w:w="0" w:type="auto"/>
            <w:hideMark/>
          </w:tcPr>
          <w:p w14:paraId="433B861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Okoi Arikpo House, 5, Idowu Taylor Street, V/Island, Lagos</w:t>
            </w:r>
          </w:p>
        </w:tc>
      </w:tr>
      <w:tr w:rsidR="00EA38DE" w:rsidRPr="00EA38DE" w14:paraId="57E6C1C9" w14:textId="77777777" w:rsidTr="00252AD8">
        <w:tc>
          <w:tcPr>
            <w:tcW w:w="0" w:type="auto"/>
            <w:hideMark/>
          </w:tcPr>
          <w:p w14:paraId="1068280C"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32</w:t>
            </w:r>
          </w:p>
        </w:tc>
        <w:tc>
          <w:tcPr>
            <w:tcW w:w="0" w:type="auto"/>
            <w:hideMark/>
          </w:tcPr>
          <w:p w14:paraId="06D50D62"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Fleming International Agencies Limited</w:t>
            </w:r>
          </w:p>
        </w:tc>
        <w:tc>
          <w:tcPr>
            <w:tcW w:w="0" w:type="auto"/>
            <w:hideMark/>
          </w:tcPr>
          <w:p w14:paraId="366F24D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Fleming International Agencies Limited</w:t>
            </w:r>
          </w:p>
        </w:tc>
        <w:tc>
          <w:tcPr>
            <w:tcW w:w="0" w:type="auto"/>
            <w:hideMark/>
          </w:tcPr>
          <w:p w14:paraId="60E54DC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56/58 Opebi Road, Ikeja</w:t>
            </w:r>
          </w:p>
        </w:tc>
      </w:tr>
      <w:tr w:rsidR="00EA38DE" w:rsidRPr="00EA38DE" w14:paraId="26E1AF0D" w14:textId="77777777" w:rsidTr="00252AD8">
        <w:tc>
          <w:tcPr>
            <w:tcW w:w="0" w:type="auto"/>
            <w:hideMark/>
          </w:tcPr>
          <w:p w14:paraId="4AA50FB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33</w:t>
            </w:r>
          </w:p>
        </w:tc>
        <w:tc>
          <w:tcPr>
            <w:tcW w:w="0" w:type="auto"/>
            <w:hideMark/>
          </w:tcPr>
          <w:p w14:paraId="3958B53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Frang International Ltd.</w:t>
            </w:r>
          </w:p>
        </w:tc>
        <w:tc>
          <w:tcPr>
            <w:tcW w:w="0" w:type="auto"/>
            <w:hideMark/>
          </w:tcPr>
          <w:p w14:paraId="1B2C379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Frang International Ltd.</w:t>
            </w:r>
          </w:p>
        </w:tc>
        <w:tc>
          <w:tcPr>
            <w:tcW w:w="0" w:type="auto"/>
            <w:hideMark/>
          </w:tcPr>
          <w:p w14:paraId="0A5CD846"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33, Creek Road, Apapa</w:t>
            </w:r>
          </w:p>
        </w:tc>
      </w:tr>
      <w:tr w:rsidR="00EA38DE" w:rsidRPr="00EA38DE" w14:paraId="7AC1221C" w14:textId="77777777" w:rsidTr="00252AD8">
        <w:tc>
          <w:tcPr>
            <w:tcW w:w="0" w:type="auto"/>
            <w:hideMark/>
          </w:tcPr>
          <w:p w14:paraId="3B055359"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34</w:t>
            </w:r>
          </w:p>
        </w:tc>
        <w:tc>
          <w:tcPr>
            <w:tcW w:w="0" w:type="auto"/>
            <w:hideMark/>
          </w:tcPr>
          <w:p w14:paraId="565B5E10"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Franig International Limited</w:t>
            </w:r>
          </w:p>
        </w:tc>
        <w:tc>
          <w:tcPr>
            <w:tcW w:w="0" w:type="auto"/>
            <w:hideMark/>
          </w:tcPr>
          <w:p w14:paraId="0A3478C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Franig International Limited</w:t>
            </w:r>
          </w:p>
        </w:tc>
        <w:tc>
          <w:tcPr>
            <w:tcW w:w="0" w:type="auto"/>
            <w:hideMark/>
          </w:tcPr>
          <w:p w14:paraId="1A09885D"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33, Creek Road, Apapa, Lagos</w:t>
            </w:r>
          </w:p>
        </w:tc>
      </w:tr>
      <w:tr w:rsidR="00EA38DE" w:rsidRPr="00EA38DE" w14:paraId="36049CB3" w14:textId="77777777" w:rsidTr="00252AD8">
        <w:tc>
          <w:tcPr>
            <w:tcW w:w="0" w:type="auto"/>
            <w:hideMark/>
          </w:tcPr>
          <w:p w14:paraId="5E469391"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35</w:t>
            </w:r>
          </w:p>
        </w:tc>
        <w:tc>
          <w:tcPr>
            <w:tcW w:w="0" w:type="auto"/>
            <w:hideMark/>
          </w:tcPr>
          <w:p w14:paraId="54980435"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Frikden Shipping Investment Limited</w:t>
            </w:r>
          </w:p>
        </w:tc>
        <w:tc>
          <w:tcPr>
            <w:tcW w:w="0" w:type="auto"/>
            <w:hideMark/>
          </w:tcPr>
          <w:p w14:paraId="66E6399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Frikden Shipping Investment Limited</w:t>
            </w:r>
          </w:p>
        </w:tc>
        <w:tc>
          <w:tcPr>
            <w:tcW w:w="0" w:type="auto"/>
            <w:hideMark/>
          </w:tcPr>
          <w:p w14:paraId="293D76D5"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12, Ashabi Shoniyi Street, Ijeshatedo, S/Lere</w:t>
            </w:r>
          </w:p>
        </w:tc>
      </w:tr>
      <w:tr w:rsidR="00EA38DE" w:rsidRPr="00EA38DE" w14:paraId="54D372FD" w14:textId="77777777" w:rsidTr="00252AD8">
        <w:tc>
          <w:tcPr>
            <w:tcW w:w="0" w:type="auto"/>
            <w:hideMark/>
          </w:tcPr>
          <w:p w14:paraId="69FC584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36</w:t>
            </w:r>
          </w:p>
        </w:tc>
        <w:tc>
          <w:tcPr>
            <w:tcW w:w="0" w:type="auto"/>
            <w:hideMark/>
          </w:tcPr>
          <w:p w14:paraId="10D30F5C"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Gasop Nig. Limited</w:t>
            </w:r>
          </w:p>
        </w:tc>
        <w:tc>
          <w:tcPr>
            <w:tcW w:w="0" w:type="auto"/>
            <w:hideMark/>
          </w:tcPr>
          <w:p w14:paraId="0C00EA0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Gasop Nig. Limited</w:t>
            </w:r>
          </w:p>
        </w:tc>
        <w:tc>
          <w:tcPr>
            <w:tcW w:w="0" w:type="auto"/>
            <w:hideMark/>
          </w:tcPr>
          <w:p w14:paraId="1A1FE651"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19B Birabi Old GRA Phase 1, Port Harcourt</w:t>
            </w:r>
          </w:p>
        </w:tc>
      </w:tr>
      <w:tr w:rsidR="00EA38DE" w:rsidRPr="00EA38DE" w14:paraId="0A452546" w14:textId="77777777" w:rsidTr="00252AD8">
        <w:tc>
          <w:tcPr>
            <w:tcW w:w="0" w:type="auto"/>
            <w:hideMark/>
          </w:tcPr>
          <w:p w14:paraId="4EEF2B4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37</w:t>
            </w:r>
          </w:p>
        </w:tc>
        <w:tc>
          <w:tcPr>
            <w:tcW w:w="0" w:type="auto"/>
            <w:hideMark/>
          </w:tcPr>
          <w:p w14:paraId="485C14B0"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Gold Star Lines</w:t>
            </w:r>
          </w:p>
        </w:tc>
        <w:tc>
          <w:tcPr>
            <w:tcW w:w="0" w:type="auto"/>
            <w:hideMark/>
          </w:tcPr>
          <w:p w14:paraId="0F92923C"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Lagos &amp; Niger Shipping Agency</w:t>
            </w:r>
          </w:p>
        </w:tc>
        <w:tc>
          <w:tcPr>
            <w:tcW w:w="0" w:type="auto"/>
            <w:hideMark/>
          </w:tcPr>
          <w:p w14:paraId="0500C9AA"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 Creek Road, Apapa</w:t>
            </w:r>
          </w:p>
        </w:tc>
      </w:tr>
      <w:tr w:rsidR="00EA38DE" w:rsidRPr="00EA38DE" w14:paraId="23FC4FBD" w14:textId="77777777" w:rsidTr="00252AD8">
        <w:tc>
          <w:tcPr>
            <w:tcW w:w="0" w:type="auto"/>
            <w:hideMark/>
          </w:tcPr>
          <w:p w14:paraId="19B3AFD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38</w:t>
            </w:r>
          </w:p>
        </w:tc>
        <w:tc>
          <w:tcPr>
            <w:tcW w:w="0" w:type="auto"/>
            <w:hideMark/>
          </w:tcPr>
          <w:p w14:paraId="1D6DBAE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Green West Africa Nig. Limited</w:t>
            </w:r>
          </w:p>
        </w:tc>
        <w:tc>
          <w:tcPr>
            <w:tcW w:w="0" w:type="auto"/>
            <w:hideMark/>
          </w:tcPr>
          <w:p w14:paraId="15A7E3B2"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Green West Africa Nig. Limited</w:t>
            </w:r>
          </w:p>
        </w:tc>
        <w:tc>
          <w:tcPr>
            <w:tcW w:w="0" w:type="auto"/>
            <w:hideMark/>
          </w:tcPr>
          <w:p w14:paraId="64D6EAD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68B Perekule Road, GRA II, Port Harcourt</w:t>
            </w:r>
          </w:p>
        </w:tc>
      </w:tr>
      <w:tr w:rsidR="00EA38DE" w:rsidRPr="00EA38DE" w14:paraId="7BA0B361" w14:textId="77777777" w:rsidTr="00252AD8">
        <w:tc>
          <w:tcPr>
            <w:tcW w:w="0" w:type="auto"/>
            <w:hideMark/>
          </w:tcPr>
          <w:p w14:paraId="218BD56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39</w:t>
            </w:r>
          </w:p>
        </w:tc>
        <w:tc>
          <w:tcPr>
            <w:tcW w:w="0" w:type="auto"/>
            <w:hideMark/>
          </w:tcPr>
          <w:p w14:paraId="0C85F4A2"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Grimaldi Roro Oceanic</w:t>
            </w:r>
          </w:p>
        </w:tc>
        <w:tc>
          <w:tcPr>
            <w:tcW w:w="0" w:type="auto"/>
            <w:hideMark/>
          </w:tcPr>
          <w:p w14:paraId="0A06B123" w14:textId="77777777" w:rsidR="00576B3A" w:rsidRPr="00EA38DE" w:rsidRDefault="00576B3A" w:rsidP="00252AD8">
            <w:pPr>
              <w:spacing w:line="480" w:lineRule="auto"/>
              <w:rPr>
                <w:rFonts w:ascii="Times New Roman" w:eastAsia="Times New Roman" w:hAnsi="Times New Roman"/>
                <w:sz w:val="24"/>
                <w:szCs w:val="24"/>
              </w:rPr>
            </w:pPr>
          </w:p>
        </w:tc>
        <w:tc>
          <w:tcPr>
            <w:tcW w:w="0" w:type="auto"/>
            <w:hideMark/>
          </w:tcPr>
          <w:p w14:paraId="3DC64DBA"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17, Burma Road, Apapa</w:t>
            </w:r>
          </w:p>
        </w:tc>
      </w:tr>
      <w:tr w:rsidR="00EA38DE" w:rsidRPr="00EA38DE" w14:paraId="7101F245" w14:textId="77777777" w:rsidTr="00252AD8">
        <w:tc>
          <w:tcPr>
            <w:tcW w:w="0" w:type="auto"/>
            <w:hideMark/>
          </w:tcPr>
          <w:p w14:paraId="5F0E9622"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lastRenderedPageBreak/>
              <w:t>40</w:t>
            </w:r>
          </w:p>
        </w:tc>
        <w:tc>
          <w:tcPr>
            <w:tcW w:w="0" w:type="auto"/>
            <w:hideMark/>
          </w:tcPr>
          <w:p w14:paraId="4DA286F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Gulf Agency &amp; Shipping (Nig.) Limited</w:t>
            </w:r>
          </w:p>
        </w:tc>
        <w:tc>
          <w:tcPr>
            <w:tcW w:w="0" w:type="auto"/>
            <w:hideMark/>
          </w:tcPr>
          <w:p w14:paraId="6F20B22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Gulf Agency &amp; Shipping (Nig.) Limited</w:t>
            </w:r>
          </w:p>
        </w:tc>
        <w:tc>
          <w:tcPr>
            <w:tcW w:w="0" w:type="auto"/>
            <w:hideMark/>
          </w:tcPr>
          <w:p w14:paraId="545F8F1B"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14, Creek Road, Apapa</w:t>
            </w:r>
          </w:p>
        </w:tc>
      </w:tr>
      <w:tr w:rsidR="00EA38DE" w:rsidRPr="00EA38DE" w14:paraId="64E33A93" w14:textId="77777777" w:rsidTr="00252AD8">
        <w:tc>
          <w:tcPr>
            <w:tcW w:w="0" w:type="auto"/>
            <w:hideMark/>
          </w:tcPr>
          <w:p w14:paraId="72B83DB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41</w:t>
            </w:r>
          </w:p>
        </w:tc>
        <w:tc>
          <w:tcPr>
            <w:tcW w:w="0" w:type="auto"/>
            <w:hideMark/>
          </w:tcPr>
          <w:p w14:paraId="2125ABD2"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Gus Mek Bay (GMB) Nigeria Limited</w:t>
            </w:r>
          </w:p>
        </w:tc>
        <w:tc>
          <w:tcPr>
            <w:tcW w:w="0" w:type="auto"/>
            <w:hideMark/>
          </w:tcPr>
          <w:p w14:paraId="3D3D4C4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Gus Mek Bay (GMB) Nigeria Limited</w:t>
            </w:r>
          </w:p>
        </w:tc>
        <w:tc>
          <w:tcPr>
            <w:tcW w:w="0" w:type="auto"/>
            <w:hideMark/>
          </w:tcPr>
          <w:p w14:paraId="73A39049"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33, Creek Road, Ibru Building, Apapa, Lagos</w:t>
            </w:r>
          </w:p>
        </w:tc>
      </w:tr>
      <w:tr w:rsidR="00EA38DE" w:rsidRPr="00EA38DE" w14:paraId="73E42550" w14:textId="77777777" w:rsidTr="00252AD8">
        <w:tc>
          <w:tcPr>
            <w:tcW w:w="0" w:type="auto"/>
            <w:hideMark/>
          </w:tcPr>
          <w:p w14:paraId="7C4B158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42</w:t>
            </w:r>
          </w:p>
        </w:tc>
        <w:tc>
          <w:tcPr>
            <w:tcW w:w="0" w:type="auto"/>
            <w:hideMark/>
          </w:tcPr>
          <w:p w14:paraId="6786E7F6"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Hamada Shipping Limited</w:t>
            </w:r>
          </w:p>
        </w:tc>
        <w:tc>
          <w:tcPr>
            <w:tcW w:w="0" w:type="auto"/>
            <w:hideMark/>
          </w:tcPr>
          <w:p w14:paraId="3D7DC07A"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Hamada Shipping Ltd.</w:t>
            </w:r>
          </w:p>
        </w:tc>
        <w:tc>
          <w:tcPr>
            <w:tcW w:w="0" w:type="auto"/>
            <w:hideMark/>
          </w:tcPr>
          <w:p w14:paraId="1C4DE8A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 Commercial Road, Eleganza Building, Apapa</w:t>
            </w:r>
          </w:p>
        </w:tc>
      </w:tr>
      <w:tr w:rsidR="00EA38DE" w:rsidRPr="00EA38DE" w14:paraId="3689BBB0" w14:textId="77777777" w:rsidTr="00252AD8">
        <w:tc>
          <w:tcPr>
            <w:tcW w:w="0" w:type="auto"/>
            <w:hideMark/>
          </w:tcPr>
          <w:p w14:paraId="1278608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43</w:t>
            </w:r>
          </w:p>
        </w:tc>
        <w:tc>
          <w:tcPr>
            <w:tcW w:w="0" w:type="auto"/>
            <w:hideMark/>
          </w:tcPr>
          <w:p w14:paraId="2F1CF00B"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Investment Keepers Services Limited</w:t>
            </w:r>
          </w:p>
        </w:tc>
        <w:tc>
          <w:tcPr>
            <w:tcW w:w="0" w:type="auto"/>
            <w:hideMark/>
          </w:tcPr>
          <w:p w14:paraId="0431A24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Investment Keepers Services Limited</w:t>
            </w:r>
          </w:p>
        </w:tc>
        <w:tc>
          <w:tcPr>
            <w:tcW w:w="0" w:type="auto"/>
            <w:hideMark/>
          </w:tcPr>
          <w:p w14:paraId="7F2B2DD2"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1/3 Creek Road, Apapa</w:t>
            </w:r>
          </w:p>
        </w:tc>
      </w:tr>
      <w:tr w:rsidR="00EA38DE" w:rsidRPr="00EA38DE" w14:paraId="263160E1" w14:textId="77777777" w:rsidTr="00252AD8">
        <w:tc>
          <w:tcPr>
            <w:tcW w:w="0" w:type="auto"/>
            <w:hideMark/>
          </w:tcPr>
          <w:p w14:paraId="5CF2261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44</w:t>
            </w:r>
          </w:p>
        </w:tc>
        <w:tc>
          <w:tcPr>
            <w:tcW w:w="0" w:type="auto"/>
            <w:hideMark/>
          </w:tcPr>
          <w:p w14:paraId="50ABB09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Ivory Marine &amp; Oilfield Services Limited</w:t>
            </w:r>
          </w:p>
        </w:tc>
        <w:tc>
          <w:tcPr>
            <w:tcW w:w="0" w:type="auto"/>
            <w:hideMark/>
          </w:tcPr>
          <w:p w14:paraId="65A3980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Ivory Marine &amp; Oilfield Services Limited</w:t>
            </w:r>
          </w:p>
        </w:tc>
        <w:tc>
          <w:tcPr>
            <w:tcW w:w="0" w:type="auto"/>
            <w:hideMark/>
          </w:tcPr>
          <w:p w14:paraId="500D3830"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149/153, Broad Street, Lagos</w:t>
            </w:r>
          </w:p>
        </w:tc>
      </w:tr>
      <w:tr w:rsidR="00EA38DE" w:rsidRPr="00EA38DE" w14:paraId="7276A4BA" w14:textId="77777777" w:rsidTr="00252AD8">
        <w:tc>
          <w:tcPr>
            <w:tcW w:w="0" w:type="auto"/>
            <w:hideMark/>
          </w:tcPr>
          <w:p w14:paraId="4F5E709A"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45</w:t>
            </w:r>
          </w:p>
        </w:tc>
        <w:tc>
          <w:tcPr>
            <w:tcW w:w="0" w:type="auto"/>
            <w:hideMark/>
          </w:tcPr>
          <w:p w14:paraId="7512AE1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Jafana Ventures Nigeria Limited</w:t>
            </w:r>
          </w:p>
        </w:tc>
        <w:tc>
          <w:tcPr>
            <w:tcW w:w="0" w:type="auto"/>
            <w:hideMark/>
          </w:tcPr>
          <w:p w14:paraId="68AE9D7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Jafana Ventures Nigeria Limited</w:t>
            </w:r>
          </w:p>
        </w:tc>
        <w:tc>
          <w:tcPr>
            <w:tcW w:w="0" w:type="auto"/>
            <w:hideMark/>
          </w:tcPr>
          <w:p w14:paraId="0DDD00DC"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40, Calcuta Crescent, Apapa, Lagos</w:t>
            </w:r>
          </w:p>
        </w:tc>
      </w:tr>
      <w:tr w:rsidR="00EA38DE" w:rsidRPr="00EA38DE" w14:paraId="382A97F7" w14:textId="77777777" w:rsidTr="00252AD8">
        <w:tc>
          <w:tcPr>
            <w:tcW w:w="0" w:type="auto"/>
            <w:hideMark/>
          </w:tcPr>
          <w:p w14:paraId="4C9A653C"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46</w:t>
            </w:r>
          </w:p>
        </w:tc>
        <w:tc>
          <w:tcPr>
            <w:tcW w:w="0" w:type="auto"/>
            <w:hideMark/>
          </w:tcPr>
          <w:p w14:paraId="5A2A9DC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Jaros Shipping Company Limited</w:t>
            </w:r>
          </w:p>
        </w:tc>
        <w:tc>
          <w:tcPr>
            <w:tcW w:w="0" w:type="auto"/>
            <w:hideMark/>
          </w:tcPr>
          <w:p w14:paraId="2FF3426B"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Jaros Shipping Company Limited</w:t>
            </w:r>
          </w:p>
        </w:tc>
        <w:tc>
          <w:tcPr>
            <w:tcW w:w="0" w:type="auto"/>
            <w:hideMark/>
          </w:tcPr>
          <w:p w14:paraId="2247D106"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2B Burma Road, Apapa, Lagos</w:t>
            </w:r>
          </w:p>
        </w:tc>
      </w:tr>
      <w:tr w:rsidR="00EA38DE" w:rsidRPr="00EA38DE" w14:paraId="1A145E14" w14:textId="77777777" w:rsidTr="00252AD8">
        <w:tc>
          <w:tcPr>
            <w:tcW w:w="0" w:type="auto"/>
            <w:hideMark/>
          </w:tcPr>
          <w:p w14:paraId="5514AED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47</w:t>
            </w:r>
          </w:p>
        </w:tc>
        <w:tc>
          <w:tcPr>
            <w:tcW w:w="0" w:type="auto"/>
            <w:hideMark/>
          </w:tcPr>
          <w:p w14:paraId="1583DB8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Jetro Shipping Limited</w:t>
            </w:r>
          </w:p>
        </w:tc>
        <w:tc>
          <w:tcPr>
            <w:tcW w:w="0" w:type="auto"/>
            <w:hideMark/>
          </w:tcPr>
          <w:p w14:paraId="7E897BB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Jetro Shipping Limited</w:t>
            </w:r>
          </w:p>
        </w:tc>
        <w:tc>
          <w:tcPr>
            <w:tcW w:w="0" w:type="auto"/>
            <w:hideMark/>
          </w:tcPr>
          <w:p w14:paraId="7B5C2C1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21, Warehouse Road, Apapa</w:t>
            </w:r>
          </w:p>
        </w:tc>
      </w:tr>
      <w:tr w:rsidR="00EA38DE" w:rsidRPr="00EA38DE" w14:paraId="4668AB58" w14:textId="77777777" w:rsidTr="00252AD8">
        <w:tc>
          <w:tcPr>
            <w:tcW w:w="0" w:type="auto"/>
            <w:hideMark/>
          </w:tcPr>
          <w:p w14:paraId="1A69D226"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48</w:t>
            </w:r>
          </w:p>
        </w:tc>
        <w:tc>
          <w:tcPr>
            <w:tcW w:w="0" w:type="auto"/>
            <w:hideMark/>
          </w:tcPr>
          <w:p w14:paraId="68AFCE1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JNAX Panalpina Nig. Limited</w:t>
            </w:r>
          </w:p>
        </w:tc>
        <w:tc>
          <w:tcPr>
            <w:tcW w:w="0" w:type="auto"/>
            <w:hideMark/>
          </w:tcPr>
          <w:p w14:paraId="3B8199AD" w14:textId="77777777" w:rsidR="00576B3A" w:rsidRPr="00EA38DE" w:rsidRDefault="00576B3A" w:rsidP="00252AD8">
            <w:pPr>
              <w:spacing w:line="480" w:lineRule="auto"/>
              <w:rPr>
                <w:rFonts w:ascii="Times New Roman" w:eastAsia="Times New Roman" w:hAnsi="Times New Roman"/>
                <w:sz w:val="24"/>
                <w:szCs w:val="24"/>
              </w:rPr>
            </w:pPr>
          </w:p>
        </w:tc>
        <w:tc>
          <w:tcPr>
            <w:tcW w:w="0" w:type="auto"/>
            <w:hideMark/>
          </w:tcPr>
          <w:p w14:paraId="75F1557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 Creek Road, Apapa</w:t>
            </w:r>
          </w:p>
        </w:tc>
      </w:tr>
      <w:tr w:rsidR="00EA38DE" w:rsidRPr="00EA38DE" w14:paraId="4C3D66DA" w14:textId="77777777" w:rsidTr="00252AD8">
        <w:tc>
          <w:tcPr>
            <w:tcW w:w="0" w:type="auto"/>
            <w:hideMark/>
          </w:tcPr>
          <w:p w14:paraId="38822536"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49</w:t>
            </w:r>
          </w:p>
        </w:tc>
        <w:tc>
          <w:tcPr>
            <w:tcW w:w="0" w:type="auto"/>
            <w:hideMark/>
          </w:tcPr>
          <w:p w14:paraId="73DA651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Jotransitos Nigeria Limited</w:t>
            </w:r>
          </w:p>
        </w:tc>
        <w:tc>
          <w:tcPr>
            <w:tcW w:w="0" w:type="auto"/>
            <w:hideMark/>
          </w:tcPr>
          <w:p w14:paraId="1C648FA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Jotransitos Nigeria Limited</w:t>
            </w:r>
          </w:p>
        </w:tc>
        <w:tc>
          <w:tcPr>
            <w:tcW w:w="0" w:type="auto"/>
            <w:hideMark/>
          </w:tcPr>
          <w:p w14:paraId="58E7B5FC"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8/10, Broad Street, Lagos</w:t>
            </w:r>
          </w:p>
        </w:tc>
      </w:tr>
      <w:tr w:rsidR="00EA38DE" w:rsidRPr="00EA38DE" w14:paraId="42EA9316" w14:textId="77777777" w:rsidTr="00252AD8">
        <w:tc>
          <w:tcPr>
            <w:tcW w:w="0" w:type="auto"/>
            <w:hideMark/>
          </w:tcPr>
          <w:p w14:paraId="6A9F9F05"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50</w:t>
            </w:r>
          </w:p>
        </w:tc>
        <w:tc>
          <w:tcPr>
            <w:tcW w:w="0" w:type="auto"/>
            <w:hideMark/>
          </w:tcPr>
          <w:p w14:paraId="08A47D41"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Kanapex Nigeria Limited</w:t>
            </w:r>
          </w:p>
        </w:tc>
        <w:tc>
          <w:tcPr>
            <w:tcW w:w="0" w:type="auto"/>
            <w:hideMark/>
          </w:tcPr>
          <w:p w14:paraId="2965D27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Kanapex Nigeria Limited</w:t>
            </w:r>
          </w:p>
        </w:tc>
        <w:tc>
          <w:tcPr>
            <w:tcW w:w="0" w:type="auto"/>
            <w:hideMark/>
          </w:tcPr>
          <w:p w14:paraId="4247433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175, NAHCO Office Complex, Ikeja, Lagos</w:t>
            </w:r>
          </w:p>
        </w:tc>
      </w:tr>
      <w:tr w:rsidR="00EA38DE" w:rsidRPr="00EA38DE" w14:paraId="7FD94422" w14:textId="77777777" w:rsidTr="00252AD8">
        <w:tc>
          <w:tcPr>
            <w:tcW w:w="0" w:type="auto"/>
            <w:hideMark/>
          </w:tcPr>
          <w:p w14:paraId="3C19815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lastRenderedPageBreak/>
              <w:t>51</w:t>
            </w:r>
          </w:p>
        </w:tc>
        <w:tc>
          <w:tcPr>
            <w:tcW w:w="0" w:type="auto"/>
            <w:hideMark/>
          </w:tcPr>
          <w:p w14:paraId="3984CCD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Kein Hung</w:t>
            </w:r>
          </w:p>
        </w:tc>
        <w:tc>
          <w:tcPr>
            <w:tcW w:w="0" w:type="auto"/>
            <w:hideMark/>
          </w:tcPr>
          <w:p w14:paraId="36B317D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Elder Dempster Agency</w:t>
            </w:r>
          </w:p>
        </w:tc>
        <w:tc>
          <w:tcPr>
            <w:tcW w:w="0" w:type="auto"/>
            <w:hideMark/>
          </w:tcPr>
          <w:p w14:paraId="0FA674B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34 Wharf Road, Apapa</w:t>
            </w:r>
          </w:p>
        </w:tc>
      </w:tr>
      <w:tr w:rsidR="00EA38DE" w:rsidRPr="00EA38DE" w14:paraId="610CAC25" w14:textId="77777777" w:rsidTr="00252AD8">
        <w:tc>
          <w:tcPr>
            <w:tcW w:w="0" w:type="auto"/>
            <w:hideMark/>
          </w:tcPr>
          <w:p w14:paraId="4D17C58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52</w:t>
            </w:r>
          </w:p>
        </w:tc>
        <w:tc>
          <w:tcPr>
            <w:tcW w:w="0" w:type="auto"/>
            <w:hideMark/>
          </w:tcPr>
          <w:p w14:paraId="2401017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Kerildbert Holdings Limited</w:t>
            </w:r>
          </w:p>
        </w:tc>
        <w:tc>
          <w:tcPr>
            <w:tcW w:w="0" w:type="auto"/>
            <w:hideMark/>
          </w:tcPr>
          <w:p w14:paraId="55A2FC83"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Kerildbert Holdings Limited</w:t>
            </w:r>
          </w:p>
        </w:tc>
        <w:tc>
          <w:tcPr>
            <w:tcW w:w="0" w:type="auto"/>
            <w:hideMark/>
          </w:tcPr>
          <w:p w14:paraId="68BE213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L/C Prince Court, 37, Ahmed Onibudo Street, V/Island, Lagos</w:t>
            </w:r>
          </w:p>
        </w:tc>
      </w:tr>
      <w:tr w:rsidR="00EA38DE" w:rsidRPr="00EA38DE" w14:paraId="34735746" w14:textId="77777777" w:rsidTr="00252AD8">
        <w:tc>
          <w:tcPr>
            <w:tcW w:w="0" w:type="auto"/>
            <w:hideMark/>
          </w:tcPr>
          <w:p w14:paraId="3E34E2A1"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53</w:t>
            </w:r>
          </w:p>
        </w:tc>
        <w:tc>
          <w:tcPr>
            <w:tcW w:w="0" w:type="auto"/>
            <w:hideMark/>
          </w:tcPr>
          <w:p w14:paraId="0DE71681"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Lat Best Venture Limited</w:t>
            </w:r>
          </w:p>
        </w:tc>
        <w:tc>
          <w:tcPr>
            <w:tcW w:w="0" w:type="auto"/>
            <w:hideMark/>
          </w:tcPr>
          <w:p w14:paraId="7557086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Lat Best Venture Limited</w:t>
            </w:r>
          </w:p>
        </w:tc>
        <w:tc>
          <w:tcPr>
            <w:tcW w:w="0" w:type="auto"/>
            <w:hideMark/>
          </w:tcPr>
          <w:p w14:paraId="26EB85A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 Commercial Road, Aquarius Block, Eleganza, Apapa</w:t>
            </w:r>
          </w:p>
        </w:tc>
      </w:tr>
      <w:tr w:rsidR="00EA38DE" w:rsidRPr="00EA38DE" w14:paraId="360BFB34" w14:textId="77777777" w:rsidTr="00252AD8">
        <w:tc>
          <w:tcPr>
            <w:tcW w:w="0" w:type="auto"/>
            <w:hideMark/>
          </w:tcPr>
          <w:p w14:paraId="47E7D8B8"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54</w:t>
            </w:r>
          </w:p>
        </w:tc>
        <w:tc>
          <w:tcPr>
            <w:tcW w:w="0" w:type="auto"/>
            <w:hideMark/>
          </w:tcPr>
          <w:p w14:paraId="2471DED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Mabail Nigeria Limited</w:t>
            </w:r>
          </w:p>
        </w:tc>
        <w:tc>
          <w:tcPr>
            <w:tcW w:w="0" w:type="auto"/>
            <w:hideMark/>
          </w:tcPr>
          <w:p w14:paraId="3F7EA955"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Mabail Nigeria Limited</w:t>
            </w:r>
          </w:p>
        </w:tc>
        <w:tc>
          <w:tcPr>
            <w:tcW w:w="0" w:type="auto"/>
            <w:hideMark/>
          </w:tcPr>
          <w:p w14:paraId="793309CD"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46, Burma Road, Apapa</w:t>
            </w:r>
          </w:p>
        </w:tc>
      </w:tr>
      <w:tr w:rsidR="00EA38DE" w:rsidRPr="00EA38DE" w14:paraId="4569E8FD" w14:textId="77777777" w:rsidTr="00252AD8">
        <w:tc>
          <w:tcPr>
            <w:tcW w:w="0" w:type="auto"/>
            <w:hideMark/>
          </w:tcPr>
          <w:p w14:paraId="04B0CBF1"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55</w:t>
            </w:r>
          </w:p>
        </w:tc>
        <w:tc>
          <w:tcPr>
            <w:tcW w:w="0" w:type="auto"/>
            <w:hideMark/>
          </w:tcPr>
          <w:p w14:paraId="0D8C8C0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Maersk Line</w:t>
            </w:r>
          </w:p>
        </w:tc>
        <w:tc>
          <w:tcPr>
            <w:tcW w:w="0" w:type="auto"/>
            <w:hideMark/>
          </w:tcPr>
          <w:p w14:paraId="63E5D511"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Maersk Nigeria Limited</w:t>
            </w:r>
          </w:p>
        </w:tc>
        <w:tc>
          <w:tcPr>
            <w:tcW w:w="0" w:type="auto"/>
            <w:hideMark/>
          </w:tcPr>
          <w:p w14:paraId="032BE12B"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121 Louis Solomon Close, V/Island, Lagos</w:t>
            </w:r>
          </w:p>
        </w:tc>
      </w:tr>
      <w:tr w:rsidR="00EA38DE" w:rsidRPr="00EA38DE" w14:paraId="61AEDBCA" w14:textId="77777777" w:rsidTr="00252AD8">
        <w:tc>
          <w:tcPr>
            <w:tcW w:w="0" w:type="auto"/>
            <w:hideMark/>
          </w:tcPr>
          <w:p w14:paraId="0B1C1EDD"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56</w:t>
            </w:r>
          </w:p>
        </w:tc>
        <w:tc>
          <w:tcPr>
            <w:tcW w:w="0" w:type="auto"/>
            <w:hideMark/>
          </w:tcPr>
          <w:p w14:paraId="50D8AC72"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Majose (Nig.) Enterprises Limited</w:t>
            </w:r>
          </w:p>
        </w:tc>
        <w:tc>
          <w:tcPr>
            <w:tcW w:w="0" w:type="auto"/>
            <w:hideMark/>
          </w:tcPr>
          <w:p w14:paraId="235C790B"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Majose (Nig.) Enterprises Limited</w:t>
            </w:r>
          </w:p>
        </w:tc>
        <w:tc>
          <w:tcPr>
            <w:tcW w:w="0" w:type="auto"/>
            <w:hideMark/>
          </w:tcPr>
          <w:p w14:paraId="2D9C567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75, Olorunshogo Street, Mushin, Lagos</w:t>
            </w:r>
          </w:p>
        </w:tc>
      </w:tr>
      <w:tr w:rsidR="00EA38DE" w:rsidRPr="00EA38DE" w14:paraId="42625297" w14:textId="77777777" w:rsidTr="00252AD8">
        <w:tc>
          <w:tcPr>
            <w:tcW w:w="0" w:type="auto"/>
            <w:hideMark/>
          </w:tcPr>
          <w:p w14:paraId="0C32C12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57</w:t>
            </w:r>
          </w:p>
        </w:tc>
        <w:tc>
          <w:tcPr>
            <w:tcW w:w="0" w:type="auto"/>
            <w:hideMark/>
          </w:tcPr>
          <w:p w14:paraId="1229D1AA"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Mannan Nig. Limited</w:t>
            </w:r>
          </w:p>
        </w:tc>
        <w:tc>
          <w:tcPr>
            <w:tcW w:w="0" w:type="auto"/>
            <w:hideMark/>
          </w:tcPr>
          <w:p w14:paraId="695D12F7"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Mannan Nig. Limited</w:t>
            </w:r>
          </w:p>
        </w:tc>
        <w:tc>
          <w:tcPr>
            <w:tcW w:w="0" w:type="auto"/>
            <w:hideMark/>
          </w:tcPr>
          <w:p w14:paraId="32AD6E0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46, Burma Road, Ground Floor, Apapa, Lagos</w:t>
            </w:r>
          </w:p>
        </w:tc>
      </w:tr>
      <w:tr w:rsidR="00EA38DE" w:rsidRPr="00EA38DE" w14:paraId="02BB52CA" w14:textId="77777777" w:rsidTr="00252AD8">
        <w:tc>
          <w:tcPr>
            <w:tcW w:w="0" w:type="auto"/>
            <w:hideMark/>
          </w:tcPr>
          <w:p w14:paraId="51073B1A"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58</w:t>
            </w:r>
          </w:p>
        </w:tc>
        <w:tc>
          <w:tcPr>
            <w:tcW w:w="0" w:type="auto"/>
            <w:hideMark/>
          </w:tcPr>
          <w:p w14:paraId="1D7342E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Marine &amp; Oil International Limited</w:t>
            </w:r>
          </w:p>
        </w:tc>
        <w:tc>
          <w:tcPr>
            <w:tcW w:w="0" w:type="auto"/>
            <w:hideMark/>
          </w:tcPr>
          <w:p w14:paraId="69D9F4A0"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Marine &amp; Oil International Limited</w:t>
            </w:r>
          </w:p>
        </w:tc>
        <w:tc>
          <w:tcPr>
            <w:tcW w:w="0" w:type="auto"/>
            <w:hideMark/>
          </w:tcPr>
          <w:p w14:paraId="698A891F"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26, Norman Williams Street, S/W Ikoyi, Lagos</w:t>
            </w:r>
          </w:p>
        </w:tc>
      </w:tr>
      <w:tr w:rsidR="00EA38DE" w:rsidRPr="00EA38DE" w14:paraId="7B282F0A" w14:textId="77777777" w:rsidTr="00252AD8">
        <w:tc>
          <w:tcPr>
            <w:tcW w:w="0" w:type="auto"/>
            <w:hideMark/>
          </w:tcPr>
          <w:p w14:paraId="6763D1C4"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59</w:t>
            </w:r>
          </w:p>
        </w:tc>
        <w:tc>
          <w:tcPr>
            <w:tcW w:w="0" w:type="auto"/>
            <w:hideMark/>
          </w:tcPr>
          <w:p w14:paraId="7B7349DB"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Maskime Maritime Services Limited</w:t>
            </w:r>
          </w:p>
        </w:tc>
        <w:tc>
          <w:tcPr>
            <w:tcW w:w="0" w:type="auto"/>
            <w:hideMark/>
          </w:tcPr>
          <w:p w14:paraId="10E55EDB"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Maskime Maritime Services Limited</w:t>
            </w:r>
          </w:p>
        </w:tc>
        <w:tc>
          <w:tcPr>
            <w:tcW w:w="0" w:type="auto"/>
            <w:hideMark/>
          </w:tcPr>
          <w:p w14:paraId="4A74BA9E" w14:textId="77777777" w:rsidR="00576B3A" w:rsidRPr="00EA38DE" w:rsidRDefault="00576B3A" w:rsidP="00252AD8">
            <w:pPr>
              <w:spacing w:line="480" w:lineRule="auto"/>
              <w:rPr>
                <w:rFonts w:ascii="Times New Roman" w:eastAsia="Times New Roman" w:hAnsi="Times New Roman"/>
                <w:sz w:val="24"/>
                <w:szCs w:val="24"/>
              </w:rPr>
            </w:pPr>
            <w:r w:rsidRPr="00EA38DE">
              <w:rPr>
                <w:rFonts w:ascii="Times New Roman" w:eastAsia="Times New Roman" w:hAnsi="Times New Roman"/>
                <w:sz w:val="24"/>
                <w:szCs w:val="24"/>
              </w:rPr>
              <w:t>50, Napex Suite, Off American Embassy, Eleke Crescent, V/Island</w:t>
            </w:r>
          </w:p>
        </w:tc>
      </w:tr>
      <w:tr w:rsidR="00EA38DE" w:rsidRPr="00EA38DE" w14:paraId="48049375" w14:textId="77777777" w:rsidTr="00252AD8">
        <w:tc>
          <w:tcPr>
            <w:tcW w:w="0" w:type="auto"/>
            <w:hideMark/>
          </w:tcPr>
          <w:p w14:paraId="4FA1853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60</w:t>
            </w:r>
          </w:p>
        </w:tc>
        <w:tc>
          <w:tcPr>
            <w:tcW w:w="0" w:type="auto"/>
            <w:hideMark/>
          </w:tcPr>
          <w:p w14:paraId="027FC50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Messina</w:t>
            </w:r>
          </w:p>
        </w:tc>
        <w:tc>
          <w:tcPr>
            <w:tcW w:w="0" w:type="auto"/>
            <w:hideMark/>
          </w:tcPr>
          <w:p w14:paraId="7AB66CA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Comet Shipping Agency</w:t>
            </w:r>
          </w:p>
        </w:tc>
        <w:tc>
          <w:tcPr>
            <w:tcW w:w="0" w:type="auto"/>
            <w:hideMark/>
          </w:tcPr>
          <w:p w14:paraId="4373AEC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4B Balogun Omidiora Road (Former Hinderer Street), Apapa, Lagos</w:t>
            </w:r>
          </w:p>
        </w:tc>
      </w:tr>
      <w:tr w:rsidR="00EA38DE" w:rsidRPr="00EA38DE" w14:paraId="6FE6449C" w14:textId="77777777" w:rsidTr="00252AD8">
        <w:tc>
          <w:tcPr>
            <w:tcW w:w="0" w:type="auto"/>
            <w:hideMark/>
          </w:tcPr>
          <w:p w14:paraId="7299CBD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lastRenderedPageBreak/>
              <w:t>61</w:t>
            </w:r>
          </w:p>
        </w:tc>
        <w:tc>
          <w:tcPr>
            <w:tcW w:w="0" w:type="auto"/>
            <w:hideMark/>
          </w:tcPr>
          <w:p w14:paraId="112CE26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Michelle Nigeria Limited</w:t>
            </w:r>
          </w:p>
        </w:tc>
        <w:tc>
          <w:tcPr>
            <w:tcW w:w="0" w:type="auto"/>
            <w:hideMark/>
          </w:tcPr>
          <w:p w14:paraId="01F5417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Michelle Nigeria Limited</w:t>
            </w:r>
          </w:p>
        </w:tc>
        <w:tc>
          <w:tcPr>
            <w:tcW w:w="0" w:type="auto"/>
            <w:hideMark/>
          </w:tcPr>
          <w:p w14:paraId="38DC20E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 Akanbi Onitiri Crescent, Off Eric Moore Road, Iganmu</w:t>
            </w:r>
          </w:p>
        </w:tc>
      </w:tr>
      <w:tr w:rsidR="00EA38DE" w:rsidRPr="00EA38DE" w14:paraId="0266CD82" w14:textId="77777777" w:rsidTr="00252AD8">
        <w:tc>
          <w:tcPr>
            <w:tcW w:w="0" w:type="auto"/>
            <w:hideMark/>
          </w:tcPr>
          <w:p w14:paraId="6FE3029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62</w:t>
            </w:r>
          </w:p>
        </w:tc>
        <w:tc>
          <w:tcPr>
            <w:tcW w:w="0" w:type="auto"/>
            <w:hideMark/>
          </w:tcPr>
          <w:p w14:paraId="72E746A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Mitsuio S. K.</w:t>
            </w:r>
          </w:p>
        </w:tc>
        <w:tc>
          <w:tcPr>
            <w:tcW w:w="0" w:type="auto"/>
            <w:hideMark/>
          </w:tcPr>
          <w:p w14:paraId="2D8F436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Alraine Shipping Services/Transcap</w:t>
            </w:r>
          </w:p>
        </w:tc>
        <w:tc>
          <w:tcPr>
            <w:tcW w:w="0" w:type="auto"/>
            <w:hideMark/>
          </w:tcPr>
          <w:p w14:paraId="6C187C5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28, Burma Road, Apapa</w:t>
            </w:r>
          </w:p>
        </w:tc>
      </w:tr>
      <w:tr w:rsidR="00EA38DE" w:rsidRPr="00EA38DE" w14:paraId="0EB9A01A" w14:textId="77777777" w:rsidTr="00252AD8">
        <w:tc>
          <w:tcPr>
            <w:tcW w:w="0" w:type="auto"/>
            <w:hideMark/>
          </w:tcPr>
          <w:p w14:paraId="3CE694D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63</w:t>
            </w:r>
          </w:p>
        </w:tc>
        <w:tc>
          <w:tcPr>
            <w:tcW w:w="0" w:type="auto"/>
            <w:hideMark/>
          </w:tcPr>
          <w:p w14:paraId="74E816A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MSC Line</w:t>
            </w:r>
          </w:p>
        </w:tc>
        <w:tc>
          <w:tcPr>
            <w:tcW w:w="0" w:type="auto"/>
            <w:hideMark/>
          </w:tcPr>
          <w:p w14:paraId="06B9F7C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Comet Shipping Agency</w:t>
            </w:r>
          </w:p>
        </w:tc>
        <w:tc>
          <w:tcPr>
            <w:tcW w:w="0" w:type="auto"/>
            <w:hideMark/>
          </w:tcPr>
          <w:p w14:paraId="2762A75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4B Balogun Omidiora Road (Former Hinderer Street), Apapa, Lagos</w:t>
            </w:r>
          </w:p>
        </w:tc>
      </w:tr>
      <w:tr w:rsidR="00EA38DE" w:rsidRPr="00EA38DE" w14:paraId="28EEA774" w14:textId="77777777" w:rsidTr="00252AD8">
        <w:tc>
          <w:tcPr>
            <w:tcW w:w="0" w:type="auto"/>
            <w:hideMark/>
          </w:tcPr>
          <w:p w14:paraId="023FB87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64</w:t>
            </w:r>
          </w:p>
        </w:tc>
        <w:tc>
          <w:tcPr>
            <w:tcW w:w="0" w:type="auto"/>
            <w:hideMark/>
          </w:tcPr>
          <w:p w14:paraId="6194C82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NAL/Comet Shipping Line</w:t>
            </w:r>
          </w:p>
        </w:tc>
        <w:tc>
          <w:tcPr>
            <w:tcW w:w="0" w:type="auto"/>
            <w:hideMark/>
          </w:tcPr>
          <w:p w14:paraId="23D07ED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NAL/Comet Shipping Line</w:t>
            </w:r>
          </w:p>
        </w:tc>
        <w:tc>
          <w:tcPr>
            <w:tcW w:w="0" w:type="auto"/>
            <w:hideMark/>
          </w:tcPr>
          <w:p w14:paraId="109E6E0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4B Balogun Omidiora Road (Former Hinderer Street), Apapa</w:t>
            </w:r>
          </w:p>
        </w:tc>
      </w:tr>
      <w:tr w:rsidR="00EA38DE" w:rsidRPr="00EA38DE" w14:paraId="0EE7647B" w14:textId="77777777" w:rsidTr="00252AD8">
        <w:tc>
          <w:tcPr>
            <w:tcW w:w="0" w:type="auto"/>
            <w:hideMark/>
          </w:tcPr>
          <w:p w14:paraId="669AE27B"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65</w:t>
            </w:r>
          </w:p>
        </w:tc>
        <w:tc>
          <w:tcPr>
            <w:tcW w:w="0" w:type="auto"/>
            <w:hideMark/>
          </w:tcPr>
          <w:p w14:paraId="5EEF849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N-Fizah Investment Limited</w:t>
            </w:r>
          </w:p>
        </w:tc>
        <w:tc>
          <w:tcPr>
            <w:tcW w:w="0" w:type="auto"/>
            <w:hideMark/>
          </w:tcPr>
          <w:p w14:paraId="25BF658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N-Fizah Investment Limited</w:t>
            </w:r>
          </w:p>
        </w:tc>
        <w:tc>
          <w:tcPr>
            <w:tcW w:w="0" w:type="auto"/>
            <w:hideMark/>
          </w:tcPr>
          <w:p w14:paraId="3AA60A5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1A Lander Close, Off Liverpool Road, Apapa</w:t>
            </w:r>
          </w:p>
        </w:tc>
      </w:tr>
      <w:tr w:rsidR="00EA38DE" w:rsidRPr="00EA38DE" w14:paraId="656B38B5" w14:textId="77777777" w:rsidTr="00252AD8">
        <w:tc>
          <w:tcPr>
            <w:tcW w:w="0" w:type="auto"/>
            <w:hideMark/>
          </w:tcPr>
          <w:p w14:paraId="5E0670F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66</w:t>
            </w:r>
          </w:p>
        </w:tc>
        <w:tc>
          <w:tcPr>
            <w:tcW w:w="0" w:type="auto"/>
            <w:hideMark/>
          </w:tcPr>
          <w:p w14:paraId="38297D7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O.T. Africa</w:t>
            </w:r>
          </w:p>
        </w:tc>
        <w:tc>
          <w:tcPr>
            <w:tcW w:w="0" w:type="auto"/>
            <w:hideMark/>
          </w:tcPr>
          <w:p w14:paraId="2AC00D9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Cross Marine Services</w:t>
            </w:r>
          </w:p>
        </w:tc>
        <w:tc>
          <w:tcPr>
            <w:tcW w:w="0" w:type="auto"/>
            <w:hideMark/>
          </w:tcPr>
          <w:p w14:paraId="24D6F469"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28, Burma Road, Apapa</w:t>
            </w:r>
          </w:p>
        </w:tc>
      </w:tr>
      <w:tr w:rsidR="00EA38DE" w:rsidRPr="00EA38DE" w14:paraId="16B621D7" w14:textId="77777777" w:rsidTr="00252AD8">
        <w:tc>
          <w:tcPr>
            <w:tcW w:w="0" w:type="auto"/>
            <w:hideMark/>
          </w:tcPr>
          <w:p w14:paraId="5D6B6C6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67</w:t>
            </w:r>
          </w:p>
        </w:tc>
        <w:tc>
          <w:tcPr>
            <w:tcW w:w="0" w:type="auto"/>
            <w:hideMark/>
          </w:tcPr>
          <w:p w14:paraId="7D2B179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Ocean Blocks Limited</w:t>
            </w:r>
          </w:p>
        </w:tc>
        <w:tc>
          <w:tcPr>
            <w:tcW w:w="0" w:type="auto"/>
            <w:hideMark/>
          </w:tcPr>
          <w:p w14:paraId="7934EA1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Ocean Blocks Limited</w:t>
            </w:r>
          </w:p>
        </w:tc>
        <w:tc>
          <w:tcPr>
            <w:tcW w:w="0" w:type="auto"/>
            <w:hideMark/>
          </w:tcPr>
          <w:p w14:paraId="7E04BC3B"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33, Creek Road, Ibru Boulevard, Ibru Office Yard, Apapa</w:t>
            </w:r>
          </w:p>
        </w:tc>
      </w:tr>
      <w:tr w:rsidR="00EA38DE" w:rsidRPr="00EA38DE" w14:paraId="7EFB3885" w14:textId="77777777" w:rsidTr="00252AD8">
        <w:tc>
          <w:tcPr>
            <w:tcW w:w="0" w:type="auto"/>
            <w:hideMark/>
          </w:tcPr>
          <w:p w14:paraId="643CF91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68</w:t>
            </w:r>
          </w:p>
        </w:tc>
        <w:tc>
          <w:tcPr>
            <w:tcW w:w="0" w:type="auto"/>
            <w:hideMark/>
          </w:tcPr>
          <w:p w14:paraId="122BD15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Ocean Handlers International Limited</w:t>
            </w:r>
          </w:p>
        </w:tc>
        <w:tc>
          <w:tcPr>
            <w:tcW w:w="0" w:type="auto"/>
            <w:hideMark/>
          </w:tcPr>
          <w:p w14:paraId="360B2ACF"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Ocean Handlers International Limited</w:t>
            </w:r>
          </w:p>
        </w:tc>
        <w:tc>
          <w:tcPr>
            <w:tcW w:w="0" w:type="auto"/>
            <w:hideMark/>
          </w:tcPr>
          <w:p w14:paraId="65761B1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188, Awolowo Road, S.W. Ikoyi, Lagos</w:t>
            </w:r>
          </w:p>
        </w:tc>
      </w:tr>
      <w:tr w:rsidR="00EA38DE" w:rsidRPr="00EA38DE" w14:paraId="3C97B66D" w14:textId="77777777" w:rsidTr="00252AD8">
        <w:tc>
          <w:tcPr>
            <w:tcW w:w="0" w:type="auto"/>
            <w:hideMark/>
          </w:tcPr>
          <w:p w14:paraId="06B4325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69</w:t>
            </w:r>
          </w:p>
        </w:tc>
        <w:tc>
          <w:tcPr>
            <w:tcW w:w="0" w:type="auto"/>
            <w:hideMark/>
          </w:tcPr>
          <w:p w14:paraId="49FCF0E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Oladayo International Agencies Limited</w:t>
            </w:r>
          </w:p>
        </w:tc>
        <w:tc>
          <w:tcPr>
            <w:tcW w:w="0" w:type="auto"/>
            <w:hideMark/>
          </w:tcPr>
          <w:p w14:paraId="07B3977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Oladayo International Agencies Limited</w:t>
            </w:r>
          </w:p>
        </w:tc>
        <w:tc>
          <w:tcPr>
            <w:tcW w:w="0" w:type="auto"/>
            <w:hideMark/>
          </w:tcPr>
          <w:p w14:paraId="0FC6117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56, Kofo Abayomi Avenue, Apapa, Lagos</w:t>
            </w:r>
          </w:p>
        </w:tc>
      </w:tr>
      <w:tr w:rsidR="00EA38DE" w:rsidRPr="00EA38DE" w14:paraId="093EAB55" w14:textId="77777777" w:rsidTr="00252AD8">
        <w:tc>
          <w:tcPr>
            <w:tcW w:w="0" w:type="auto"/>
            <w:hideMark/>
          </w:tcPr>
          <w:p w14:paraId="233E4B0B"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70</w:t>
            </w:r>
          </w:p>
        </w:tc>
        <w:tc>
          <w:tcPr>
            <w:tcW w:w="0" w:type="auto"/>
            <w:hideMark/>
          </w:tcPr>
          <w:p w14:paraId="27D1978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 &amp; O Nedlloyd</w:t>
            </w:r>
          </w:p>
        </w:tc>
        <w:tc>
          <w:tcPr>
            <w:tcW w:w="0" w:type="auto"/>
            <w:hideMark/>
          </w:tcPr>
          <w:p w14:paraId="2EADCD5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Nedlloyd Nig. Limited</w:t>
            </w:r>
          </w:p>
        </w:tc>
        <w:tc>
          <w:tcPr>
            <w:tcW w:w="0" w:type="auto"/>
            <w:hideMark/>
          </w:tcPr>
          <w:p w14:paraId="5CAA384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5, Creek Road, Apapa</w:t>
            </w:r>
          </w:p>
        </w:tc>
      </w:tr>
      <w:tr w:rsidR="00EA38DE" w:rsidRPr="00EA38DE" w14:paraId="3DDB1527" w14:textId="77777777" w:rsidTr="00252AD8">
        <w:tc>
          <w:tcPr>
            <w:tcW w:w="0" w:type="auto"/>
            <w:hideMark/>
          </w:tcPr>
          <w:p w14:paraId="443F88B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71</w:t>
            </w:r>
          </w:p>
        </w:tc>
        <w:tc>
          <w:tcPr>
            <w:tcW w:w="0" w:type="auto"/>
            <w:hideMark/>
          </w:tcPr>
          <w:p w14:paraId="546B933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Peewee Marine Limited</w:t>
            </w:r>
          </w:p>
        </w:tc>
        <w:tc>
          <w:tcPr>
            <w:tcW w:w="0" w:type="auto"/>
            <w:hideMark/>
          </w:tcPr>
          <w:p w14:paraId="3DFC7A0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Peewee Marine Limited</w:t>
            </w:r>
          </w:p>
        </w:tc>
        <w:tc>
          <w:tcPr>
            <w:tcW w:w="0" w:type="auto"/>
            <w:hideMark/>
          </w:tcPr>
          <w:p w14:paraId="19E33E5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 Oyekan Road, Apapa</w:t>
            </w:r>
          </w:p>
        </w:tc>
      </w:tr>
      <w:tr w:rsidR="00EA38DE" w:rsidRPr="00EA38DE" w14:paraId="370445CC" w14:textId="77777777" w:rsidTr="00252AD8">
        <w:tc>
          <w:tcPr>
            <w:tcW w:w="0" w:type="auto"/>
            <w:hideMark/>
          </w:tcPr>
          <w:p w14:paraId="18C73D9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lastRenderedPageBreak/>
              <w:t>72</w:t>
            </w:r>
          </w:p>
        </w:tc>
        <w:tc>
          <w:tcPr>
            <w:tcW w:w="0" w:type="auto"/>
            <w:hideMark/>
          </w:tcPr>
          <w:p w14:paraId="2E922A6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Petrodel Resources Maritime Limited</w:t>
            </w:r>
          </w:p>
        </w:tc>
        <w:tc>
          <w:tcPr>
            <w:tcW w:w="0" w:type="auto"/>
            <w:hideMark/>
          </w:tcPr>
          <w:p w14:paraId="3870E6B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Petrodel Resources Maritime Limited</w:t>
            </w:r>
          </w:p>
        </w:tc>
        <w:tc>
          <w:tcPr>
            <w:tcW w:w="0" w:type="auto"/>
            <w:hideMark/>
          </w:tcPr>
          <w:p w14:paraId="5E4FD0A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2B Reeve Road, Ikoyi, Lagos</w:t>
            </w:r>
          </w:p>
        </w:tc>
      </w:tr>
      <w:tr w:rsidR="00EA38DE" w:rsidRPr="00EA38DE" w14:paraId="55C29CAF" w14:textId="77777777" w:rsidTr="00252AD8">
        <w:tc>
          <w:tcPr>
            <w:tcW w:w="0" w:type="auto"/>
            <w:hideMark/>
          </w:tcPr>
          <w:p w14:paraId="39F6869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73</w:t>
            </w:r>
          </w:p>
        </w:tc>
        <w:tc>
          <w:tcPr>
            <w:tcW w:w="0" w:type="auto"/>
            <w:hideMark/>
          </w:tcPr>
          <w:p w14:paraId="41971744"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Petroleum Projects Intermodal (PPI) Limited</w:t>
            </w:r>
          </w:p>
        </w:tc>
        <w:tc>
          <w:tcPr>
            <w:tcW w:w="0" w:type="auto"/>
            <w:hideMark/>
          </w:tcPr>
          <w:p w14:paraId="5C646A9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Petroleum Projects Intermodal (PPI) Ltd</w:t>
            </w:r>
          </w:p>
        </w:tc>
        <w:tc>
          <w:tcPr>
            <w:tcW w:w="0" w:type="auto"/>
            <w:hideMark/>
          </w:tcPr>
          <w:p w14:paraId="1358EE8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22B Temple Road, Ikoyi, Lagos</w:t>
            </w:r>
          </w:p>
        </w:tc>
      </w:tr>
      <w:tr w:rsidR="00EA38DE" w:rsidRPr="00EA38DE" w14:paraId="171CA8A9" w14:textId="77777777" w:rsidTr="00252AD8">
        <w:tc>
          <w:tcPr>
            <w:tcW w:w="0" w:type="auto"/>
            <w:hideMark/>
          </w:tcPr>
          <w:p w14:paraId="2601CCE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74</w:t>
            </w:r>
          </w:p>
        </w:tc>
        <w:tc>
          <w:tcPr>
            <w:tcW w:w="0" w:type="auto"/>
            <w:hideMark/>
          </w:tcPr>
          <w:p w14:paraId="2E1E7FE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PIL</w:t>
            </w:r>
          </w:p>
        </w:tc>
        <w:tc>
          <w:tcPr>
            <w:tcW w:w="0" w:type="auto"/>
            <w:hideMark/>
          </w:tcPr>
          <w:p w14:paraId="631D8D6B"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Blue Funnel Nig. Ltd.</w:t>
            </w:r>
          </w:p>
        </w:tc>
        <w:tc>
          <w:tcPr>
            <w:tcW w:w="0" w:type="auto"/>
            <w:hideMark/>
          </w:tcPr>
          <w:p w14:paraId="7FC72D2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34, Creek Road, Apapa</w:t>
            </w:r>
          </w:p>
        </w:tc>
      </w:tr>
      <w:tr w:rsidR="00EA38DE" w:rsidRPr="00EA38DE" w14:paraId="66DA5860" w14:textId="77777777" w:rsidTr="00252AD8">
        <w:tc>
          <w:tcPr>
            <w:tcW w:w="0" w:type="auto"/>
            <w:hideMark/>
          </w:tcPr>
          <w:p w14:paraId="417F0D5F"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75</w:t>
            </w:r>
          </w:p>
        </w:tc>
        <w:tc>
          <w:tcPr>
            <w:tcW w:w="0" w:type="auto"/>
            <w:hideMark/>
          </w:tcPr>
          <w:p w14:paraId="4230D54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Polmaz Limited</w:t>
            </w:r>
          </w:p>
        </w:tc>
        <w:tc>
          <w:tcPr>
            <w:tcW w:w="0" w:type="auto"/>
            <w:hideMark/>
          </w:tcPr>
          <w:p w14:paraId="6672972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Polmaz Limited</w:t>
            </w:r>
          </w:p>
        </w:tc>
        <w:tc>
          <w:tcPr>
            <w:tcW w:w="0" w:type="auto"/>
            <w:hideMark/>
          </w:tcPr>
          <w:p w14:paraId="551D79E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14, Old Aba Road, Rumukurushi, Port Harcourt</w:t>
            </w:r>
          </w:p>
        </w:tc>
      </w:tr>
      <w:tr w:rsidR="00EA38DE" w:rsidRPr="00EA38DE" w14:paraId="3EA6060E" w14:textId="77777777" w:rsidTr="00252AD8">
        <w:tc>
          <w:tcPr>
            <w:tcW w:w="0" w:type="auto"/>
            <w:hideMark/>
          </w:tcPr>
          <w:p w14:paraId="617D435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76</w:t>
            </w:r>
          </w:p>
        </w:tc>
        <w:tc>
          <w:tcPr>
            <w:tcW w:w="0" w:type="auto"/>
            <w:hideMark/>
          </w:tcPr>
          <w:p w14:paraId="1D8CA8F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Prize International Limited</w:t>
            </w:r>
          </w:p>
        </w:tc>
        <w:tc>
          <w:tcPr>
            <w:tcW w:w="0" w:type="auto"/>
            <w:hideMark/>
          </w:tcPr>
          <w:p w14:paraId="3839B43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Prize International Limited</w:t>
            </w:r>
          </w:p>
        </w:tc>
        <w:tc>
          <w:tcPr>
            <w:tcW w:w="0" w:type="auto"/>
            <w:hideMark/>
          </w:tcPr>
          <w:p w14:paraId="18C452B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20, Oyekan Road, Apapa</w:t>
            </w:r>
          </w:p>
        </w:tc>
      </w:tr>
      <w:tr w:rsidR="00EA38DE" w:rsidRPr="00EA38DE" w14:paraId="7F89F308" w14:textId="77777777" w:rsidTr="00252AD8">
        <w:tc>
          <w:tcPr>
            <w:tcW w:w="0" w:type="auto"/>
            <w:hideMark/>
          </w:tcPr>
          <w:p w14:paraId="02431D2F"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77</w:t>
            </w:r>
          </w:p>
        </w:tc>
        <w:tc>
          <w:tcPr>
            <w:tcW w:w="0" w:type="auto"/>
            <w:hideMark/>
          </w:tcPr>
          <w:p w14:paraId="63C33C3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Progress Marine Limited</w:t>
            </w:r>
          </w:p>
        </w:tc>
        <w:tc>
          <w:tcPr>
            <w:tcW w:w="0" w:type="auto"/>
            <w:hideMark/>
          </w:tcPr>
          <w:p w14:paraId="53EAB16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Progress Marine Limited</w:t>
            </w:r>
          </w:p>
        </w:tc>
        <w:tc>
          <w:tcPr>
            <w:tcW w:w="0" w:type="auto"/>
            <w:hideMark/>
          </w:tcPr>
          <w:p w14:paraId="6DA5751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20 Thopson Avenue Road, Ikoyi, Lagos</w:t>
            </w:r>
          </w:p>
        </w:tc>
      </w:tr>
      <w:tr w:rsidR="00EA38DE" w:rsidRPr="00EA38DE" w14:paraId="21A1F053" w14:textId="77777777" w:rsidTr="00252AD8">
        <w:tc>
          <w:tcPr>
            <w:tcW w:w="0" w:type="auto"/>
            <w:hideMark/>
          </w:tcPr>
          <w:p w14:paraId="6A3D678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78</w:t>
            </w:r>
          </w:p>
        </w:tc>
        <w:tc>
          <w:tcPr>
            <w:tcW w:w="0" w:type="auto"/>
            <w:hideMark/>
          </w:tcPr>
          <w:p w14:paraId="50B975F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Quality Freight Agency Limited</w:t>
            </w:r>
          </w:p>
        </w:tc>
        <w:tc>
          <w:tcPr>
            <w:tcW w:w="0" w:type="auto"/>
            <w:hideMark/>
          </w:tcPr>
          <w:p w14:paraId="75F063D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Quality Freight Agency Limited</w:t>
            </w:r>
          </w:p>
        </w:tc>
        <w:tc>
          <w:tcPr>
            <w:tcW w:w="0" w:type="auto"/>
            <w:hideMark/>
          </w:tcPr>
          <w:p w14:paraId="223335C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7B Ezira Close, Kirikiri Town, Apapa, Lagos</w:t>
            </w:r>
          </w:p>
        </w:tc>
      </w:tr>
      <w:tr w:rsidR="00EA38DE" w:rsidRPr="00EA38DE" w14:paraId="42ACA726" w14:textId="77777777" w:rsidTr="00252AD8">
        <w:tc>
          <w:tcPr>
            <w:tcW w:w="0" w:type="auto"/>
            <w:hideMark/>
          </w:tcPr>
          <w:p w14:paraId="5C8D775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79</w:t>
            </w:r>
          </w:p>
        </w:tc>
        <w:tc>
          <w:tcPr>
            <w:tcW w:w="0" w:type="auto"/>
            <w:hideMark/>
          </w:tcPr>
          <w:p w14:paraId="3A293B79"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Sahara Sea Support Services Limited</w:t>
            </w:r>
          </w:p>
        </w:tc>
        <w:tc>
          <w:tcPr>
            <w:tcW w:w="0" w:type="auto"/>
            <w:hideMark/>
          </w:tcPr>
          <w:p w14:paraId="5ADB612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Sahara Sea Support Services Limited</w:t>
            </w:r>
          </w:p>
        </w:tc>
        <w:tc>
          <w:tcPr>
            <w:tcW w:w="0" w:type="auto"/>
            <w:hideMark/>
          </w:tcPr>
          <w:p w14:paraId="2D2A167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234B Adeola Odeku Street, V/Island, Lagos</w:t>
            </w:r>
          </w:p>
        </w:tc>
      </w:tr>
      <w:tr w:rsidR="00EA38DE" w:rsidRPr="00EA38DE" w14:paraId="1F8B94D8" w14:textId="77777777" w:rsidTr="00252AD8">
        <w:tc>
          <w:tcPr>
            <w:tcW w:w="0" w:type="auto"/>
            <w:hideMark/>
          </w:tcPr>
          <w:p w14:paraId="7495476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80</w:t>
            </w:r>
          </w:p>
        </w:tc>
        <w:tc>
          <w:tcPr>
            <w:tcW w:w="0" w:type="auto"/>
            <w:hideMark/>
          </w:tcPr>
          <w:p w14:paraId="1DE20CA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SDV Wasa-Delmas Nigeria Limited</w:t>
            </w:r>
          </w:p>
        </w:tc>
        <w:tc>
          <w:tcPr>
            <w:tcW w:w="0" w:type="auto"/>
            <w:hideMark/>
          </w:tcPr>
          <w:p w14:paraId="040BED16" w14:textId="77777777" w:rsidR="00576B3A" w:rsidRPr="00EA38DE" w:rsidRDefault="00576B3A" w:rsidP="00252AD8">
            <w:pPr>
              <w:spacing w:line="480" w:lineRule="auto"/>
              <w:jc w:val="both"/>
              <w:rPr>
                <w:rFonts w:ascii="Times New Roman" w:hAnsi="Times New Roman"/>
                <w:sz w:val="24"/>
                <w:szCs w:val="24"/>
              </w:rPr>
            </w:pPr>
          </w:p>
        </w:tc>
        <w:tc>
          <w:tcPr>
            <w:tcW w:w="0" w:type="auto"/>
            <w:hideMark/>
          </w:tcPr>
          <w:p w14:paraId="589321F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26, Creek Road, Apapa, Lagos</w:t>
            </w:r>
          </w:p>
        </w:tc>
      </w:tr>
      <w:tr w:rsidR="00EA38DE" w:rsidRPr="00EA38DE" w14:paraId="3BB53FA8" w14:textId="77777777" w:rsidTr="00252AD8">
        <w:tc>
          <w:tcPr>
            <w:tcW w:w="0" w:type="auto"/>
            <w:hideMark/>
          </w:tcPr>
          <w:p w14:paraId="48D9E33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81</w:t>
            </w:r>
          </w:p>
        </w:tc>
        <w:tc>
          <w:tcPr>
            <w:tcW w:w="0" w:type="auto"/>
            <w:hideMark/>
          </w:tcPr>
          <w:p w14:paraId="69EE3FB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Silver Ocean Shipping Company Limited</w:t>
            </w:r>
          </w:p>
        </w:tc>
        <w:tc>
          <w:tcPr>
            <w:tcW w:w="0" w:type="auto"/>
            <w:hideMark/>
          </w:tcPr>
          <w:p w14:paraId="740E688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Silver Ocean Shipping Company Limited</w:t>
            </w:r>
          </w:p>
        </w:tc>
        <w:tc>
          <w:tcPr>
            <w:tcW w:w="0" w:type="auto"/>
            <w:hideMark/>
          </w:tcPr>
          <w:p w14:paraId="67CCED3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4, Saka Tinubu Street, Victoria Island, Lagos</w:t>
            </w:r>
          </w:p>
        </w:tc>
      </w:tr>
      <w:tr w:rsidR="00EA38DE" w:rsidRPr="00EA38DE" w14:paraId="33C81EE5" w14:textId="77777777" w:rsidTr="00252AD8">
        <w:tc>
          <w:tcPr>
            <w:tcW w:w="0" w:type="auto"/>
            <w:hideMark/>
          </w:tcPr>
          <w:p w14:paraId="3357E05B"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82</w:t>
            </w:r>
          </w:p>
        </w:tc>
        <w:tc>
          <w:tcPr>
            <w:tcW w:w="0" w:type="auto"/>
            <w:hideMark/>
          </w:tcPr>
          <w:p w14:paraId="4D46D21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Skanga Oil Limited</w:t>
            </w:r>
          </w:p>
        </w:tc>
        <w:tc>
          <w:tcPr>
            <w:tcW w:w="0" w:type="auto"/>
            <w:hideMark/>
          </w:tcPr>
          <w:p w14:paraId="30F747D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Skanga Oil Limited</w:t>
            </w:r>
          </w:p>
        </w:tc>
        <w:tc>
          <w:tcPr>
            <w:tcW w:w="0" w:type="auto"/>
            <w:hideMark/>
          </w:tcPr>
          <w:p w14:paraId="198C3B3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292, Ajose Adeogun Street, V/Island, Lagos</w:t>
            </w:r>
          </w:p>
        </w:tc>
      </w:tr>
      <w:tr w:rsidR="00EA38DE" w:rsidRPr="00EA38DE" w14:paraId="43B27E2F" w14:textId="77777777" w:rsidTr="00252AD8">
        <w:tc>
          <w:tcPr>
            <w:tcW w:w="0" w:type="auto"/>
            <w:hideMark/>
          </w:tcPr>
          <w:p w14:paraId="1F560B5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lastRenderedPageBreak/>
              <w:t>83</w:t>
            </w:r>
          </w:p>
        </w:tc>
        <w:tc>
          <w:tcPr>
            <w:tcW w:w="0" w:type="auto"/>
            <w:hideMark/>
          </w:tcPr>
          <w:p w14:paraId="42FDBB6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Stars Investment Co. Ltd.</w:t>
            </w:r>
          </w:p>
        </w:tc>
        <w:tc>
          <w:tcPr>
            <w:tcW w:w="0" w:type="auto"/>
            <w:hideMark/>
          </w:tcPr>
          <w:p w14:paraId="1B0B647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Stars Investment Co. Limited</w:t>
            </w:r>
          </w:p>
        </w:tc>
        <w:tc>
          <w:tcPr>
            <w:tcW w:w="0" w:type="auto"/>
            <w:hideMark/>
          </w:tcPr>
          <w:p w14:paraId="1F1A0159"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Reclamation Road, Near PH Boat Club, Port Harcourt</w:t>
            </w:r>
          </w:p>
        </w:tc>
      </w:tr>
      <w:tr w:rsidR="00EA38DE" w:rsidRPr="00EA38DE" w14:paraId="3958B187" w14:textId="77777777" w:rsidTr="00252AD8">
        <w:tc>
          <w:tcPr>
            <w:tcW w:w="0" w:type="auto"/>
            <w:hideMark/>
          </w:tcPr>
          <w:p w14:paraId="319FBC8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84</w:t>
            </w:r>
          </w:p>
        </w:tc>
        <w:tc>
          <w:tcPr>
            <w:tcW w:w="0" w:type="auto"/>
            <w:hideMark/>
          </w:tcPr>
          <w:p w14:paraId="58102649"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Sundersons Limited</w:t>
            </w:r>
          </w:p>
        </w:tc>
        <w:tc>
          <w:tcPr>
            <w:tcW w:w="0" w:type="auto"/>
            <w:hideMark/>
          </w:tcPr>
          <w:p w14:paraId="7E99B4E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Sundersons Limited</w:t>
            </w:r>
          </w:p>
        </w:tc>
        <w:tc>
          <w:tcPr>
            <w:tcW w:w="0" w:type="auto"/>
            <w:hideMark/>
          </w:tcPr>
          <w:p w14:paraId="69BE01D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33, Creek Road, Apapa</w:t>
            </w:r>
          </w:p>
        </w:tc>
      </w:tr>
      <w:tr w:rsidR="00EA38DE" w:rsidRPr="00EA38DE" w14:paraId="0B48AF91" w14:textId="77777777" w:rsidTr="00252AD8">
        <w:tc>
          <w:tcPr>
            <w:tcW w:w="0" w:type="auto"/>
            <w:hideMark/>
          </w:tcPr>
          <w:p w14:paraId="1A9F528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85</w:t>
            </w:r>
          </w:p>
        </w:tc>
        <w:tc>
          <w:tcPr>
            <w:tcW w:w="0" w:type="auto"/>
            <w:hideMark/>
          </w:tcPr>
          <w:p w14:paraId="6D2DA74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Temtum Global Services Limited</w:t>
            </w:r>
          </w:p>
        </w:tc>
        <w:tc>
          <w:tcPr>
            <w:tcW w:w="0" w:type="auto"/>
            <w:hideMark/>
          </w:tcPr>
          <w:p w14:paraId="0B7775BD"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Temtum Global Services Limited</w:t>
            </w:r>
          </w:p>
        </w:tc>
        <w:tc>
          <w:tcPr>
            <w:tcW w:w="0" w:type="auto"/>
            <w:hideMark/>
          </w:tcPr>
          <w:p w14:paraId="00EC7B74"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 Aerodrome Road, Eleganza Plaza, Apapa</w:t>
            </w:r>
          </w:p>
        </w:tc>
      </w:tr>
      <w:tr w:rsidR="00EA38DE" w:rsidRPr="00EA38DE" w14:paraId="7AA7DEA3" w14:textId="77777777" w:rsidTr="00252AD8">
        <w:tc>
          <w:tcPr>
            <w:tcW w:w="0" w:type="auto"/>
            <w:hideMark/>
          </w:tcPr>
          <w:p w14:paraId="7E83F769"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86</w:t>
            </w:r>
          </w:p>
        </w:tc>
        <w:tc>
          <w:tcPr>
            <w:tcW w:w="0" w:type="auto"/>
            <w:hideMark/>
          </w:tcPr>
          <w:p w14:paraId="27B7632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Tha Shipping &amp; Marine Service Limited</w:t>
            </w:r>
          </w:p>
        </w:tc>
        <w:tc>
          <w:tcPr>
            <w:tcW w:w="0" w:type="auto"/>
            <w:hideMark/>
          </w:tcPr>
          <w:p w14:paraId="4163B5E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Tha Shipping &amp; Marine Service Limited</w:t>
            </w:r>
          </w:p>
        </w:tc>
        <w:tc>
          <w:tcPr>
            <w:tcW w:w="0" w:type="auto"/>
            <w:hideMark/>
          </w:tcPr>
          <w:p w14:paraId="2945ED2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3, Pelewura Way, Apapa</w:t>
            </w:r>
          </w:p>
        </w:tc>
      </w:tr>
      <w:tr w:rsidR="00EA38DE" w:rsidRPr="00EA38DE" w14:paraId="39CCD758" w14:textId="77777777" w:rsidTr="00252AD8">
        <w:tc>
          <w:tcPr>
            <w:tcW w:w="0" w:type="auto"/>
            <w:hideMark/>
          </w:tcPr>
          <w:p w14:paraId="1514FB8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87</w:t>
            </w:r>
          </w:p>
        </w:tc>
        <w:tc>
          <w:tcPr>
            <w:tcW w:w="0" w:type="auto"/>
            <w:hideMark/>
          </w:tcPr>
          <w:p w14:paraId="6101CAC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Tokke Maritime Services Limited</w:t>
            </w:r>
          </w:p>
        </w:tc>
        <w:tc>
          <w:tcPr>
            <w:tcW w:w="0" w:type="auto"/>
            <w:hideMark/>
          </w:tcPr>
          <w:p w14:paraId="1CCDD7C4"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Tokke Maritime Services Limited</w:t>
            </w:r>
          </w:p>
        </w:tc>
        <w:tc>
          <w:tcPr>
            <w:tcW w:w="0" w:type="auto"/>
            <w:hideMark/>
          </w:tcPr>
          <w:p w14:paraId="1FDB440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NNPLC Comm. Building, Tin Can Island, Apapa, Lagos</w:t>
            </w:r>
          </w:p>
        </w:tc>
      </w:tr>
      <w:tr w:rsidR="00EA38DE" w:rsidRPr="00EA38DE" w14:paraId="0A580491" w14:textId="77777777" w:rsidTr="00252AD8">
        <w:tc>
          <w:tcPr>
            <w:tcW w:w="0" w:type="auto"/>
            <w:hideMark/>
          </w:tcPr>
          <w:p w14:paraId="026E23E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88</w:t>
            </w:r>
          </w:p>
        </w:tc>
        <w:tc>
          <w:tcPr>
            <w:tcW w:w="0" w:type="auto"/>
            <w:hideMark/>
          </w:tcPr>
          <w:p w14:paraId="56646C6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Torm Lines</w:t>
            </w:r>
          </w:p>
        </w:tc>
        <w:tc>
          <w:tcPr>
            <w:tcW w:w="0" w:type="auto"/>
            <w:hideMark/>
          </w:tcPr>
          <w:p w14:paraId="65A04FB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Alraine Shipping Agency</w:t>
            </w:r>
          </w:p>
        </w:tc>
        <w:tc>
          <w:tcPr>
            <w:tcW w:w="0" w:type="auto"/>
            <w:hideMark/>
          </w:tcPr>
          <w:p w14:paraId="521F003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4B Balogun Omidiora Road (Former Hinderer Street), Apapa, Lagos</w:t>
            </w:r>
          </w:p>
        </w:tc>
      </w:tr>
      <w:tr w:rsidR="00EA38DE" w:rsidRPr="00EA38DE" w14:paraId="767B0F76" w14:textId="77777777" w:rsidTr="00252AD8">
        <w:tc>
          <w:tcPr>
            <w:tcW w:w="0" w:type="auto"/>
            <w:hideMark/>
          </w:tcPr>
          <w:p w14:paraId="6DB3E63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89</w:t>
            </w:r>
          </w:p>
        </w:tc>
        <w:tc>
          <w:tcPr>
            <w:tcW w:w="0" w:type="auto"/>
            <w:hideMark/>
          </w:tcPr>
          <w:p w14:paraId="2992FCDC"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Trans-Oceanic Shipping Ltd</w:t>
            </w:r>
          </w:p>
        </w:tc>
        <w:tc>
          <w:tcPr>
            <w:tcW w:w="0" w:type="auto"/>
            <w:hideMark/>
          </w:tcPr>
          <w:p w14:paraId="06FB3E98"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Trans-Oceanic Shipping Limited</w:t>
            </w:r>
          </w:p>
        </w:tc>
        <w:tc>
          <w:tcPr>
            <w:tcW w:w="0" w:type="auto"/>
            <w:hideMark/>
          </w:tcPr>
          <w:p w14:paraId="6F9D094F" w14:textId="77777777" w:rsidR="00576B3A" w:rsidRPr="00EA38DE" w:rsidRDefault="00576B3A" w:rsidP="00252AD8">
            <w:pPr>
              <w:spacing w:line="480" w:lineRule="auto"/>
              <w:rPr>
                <w:rFonts w:ascii="Times New Roman" w:hAnsi="Times New Roman"/>
                <w:sz w:val="24"/>
                <w:szCs w:val="24"/>
              </w:rPr>
            </w:pPr>
            <w:r w:rsidRPr="00EA38DE">
              <w:rPr>
                <w:rFonts w:ascii="Times New Roman" w:hAnsi="Times New Roman"/>
                <w:sz w:val="24"/>
                <w:szCs w:val="24"/>
              </w:rPr>
              <w:t>Jaros House, 90, Iwofe College of Education Road, Rumuepirikan, PH</w:t>
            </w:r>
          </w:p>
        </w:tc>
      </w:tr>
      <w:tr w:rsidR="00EA38DE" w:rsidRPr="00EA38DE" w14:paraId="2B72330A" w14:textId="77777777" w:rsidTr="00252AD8">
        <w:tc>
          <w:tcPr>
            <w:tcW w:w="0" w:type="auto"/>
            <w:hideMark/>
          </w:tcPr>
          <w:p w14:paraId="6A0D142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90</w:t>
            </w:r>
          </w:p>
        </w:tc>
        <w:tc>
          <w:tcPr>
            <w:tcW w:w="0" w:type="auto"/>
            <w:hideMark/>
          </w:tcPr>
          <w:p w14:paraId="12CA365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Transmarine Shipping Services Nig. Limited</w:t>
            </w:r>
          </w:p>
        </w:tc>
        <w:tc>
          <w:tcPr>
            <w:tcW w:w="0" w:type="auto"/>
            <w:hideMark/>
          </w:tcPr>
          <w:p w14:paraId="7293873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Transmarine Shipping Services Nig. Ltd</w:t>
            </w:r>
          </w:p>
        </w:tc>
        <w:tc>
          <w:tcPr>
            <w:tcW w:w="0" w:type="auto"/>
            <w:hideMark/>
          </w:tcPr>
          <w:p w14:paraId="20B71A2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 Commercial Road, Eleganza Plaza, Apapa</w:t>
            </w:r>
          </w:p>
        </w:tc>
      </w:tr>
      <w:tr w:rsidR="00EA38DE" w:rsidRPr="00EA38DE" w14:paraId="1C193FD2" w14:textId="77777777" w:rsidTr="00252AD8">
        <w:tc>
          <w:tcPr>
            <w:tcW w:w="0" w:type="auto"/>
            <w:hideMark/>
          </w:tcPr>
          <w:p w14:paraId="571CD24F"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91</w:t>
            </w:r>
          </w:p>
        </w:tc>
        <w:tc>
          <w:tcPr>
            <w:tcW w:w="0" w:type="auto"/>
            <w:hideMark/>
          </w:tcPr>
          <w:p w14:paraId="07BD0C1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Tru-Sell Ventures Limited</w:t>
            </w:r>
          </w:p>
        </w:tc>
        <w:tc>
          <w:tcPr>
            <w:tcW w:w="0" w:type="auto"/>
            <w:hideMark/>
          </w:tcPr>
          <w:p w14:paraId="7A84F38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Tru-Sell Ventures Limited</w:t>
            </w:r>
          </w:p>
        </w:tc>
        <w:tc>
          <w:tcPr>
            <w:tcW w:w="0" w:type="auto"/>
            <w:hideMark/>
          </w:tcPr>
          <w:p w14:paraId="597FEFA4"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1/3 Creek Road, Apapa, Lagos</w:t>
            </w:r>
          </w:p>
        </w:tc>
      </w:tr>
      <w:tr w:rsidR="00EA38DE" w:rsidRPr="00EA38DE" w14:paraId="1C9314D0" w14:textId="77777777" w:rsidTr="00252AD8">
        <w:tc>
          <w:tcPr>
            <w:tcW w:w="0" w:type="auto"/>
            <w:hideMark/>
          </w:tcPr>
          <w:p w14:paraId="0FB21B9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92</w:t>
            </w:r>
          </w:p>
        </w:tc>
        <w:tc>
          <w:tcPr>
            <w:tcW w:w="0" w:type="auto"/>
            <w:hideMark/>
          </w:tcPr>
          <w:p w14:paraId="3ED8D0C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United Africa Lines (NAL)</w:t>
            </w:r>
          </w:p>
        </w:tc>
        <w:tc>
          <w:tcPr>
            <w:tcW w:w="0" w:type="auto"/>
            <w:hideMark/>
          </w:tcPr>
          <w:p w14:paraId="1ECD941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United Africa Lines (NAL)</w:t>
            </w:r>
          </w:p>
        </w:tc>
        <w:tc>
          <w:tcPr>
            <w:tcW w:w="0" w:type="auto"/>
            <w:hideMark/>
          </w:tcPr>
          <w:p w14:paraId="4FB6381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 Oroabaw Street, Amadi Flat, Port Harcourt</w:t>
            </w:r>
          </w:p>
        </w:tc>
      </w:tr>
      <w:tr w:rsidR="00EA38DE" w:rsidRPr="00EA38DE" w14:paraId="5E145F9E" w14:textId="77777777" w:rsidTr="00252AD8">
        <w:tc>
          <w:tcPr>
            <w:tcW w:w="0" w:type="auto"/>
            <w:hideMark/>
          </w:tcPr>
          <w:p w14:paraId="5192417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lastRenderedPageBreak/>
              <w:t>93</w:t>
            </w:r>
          </w:p>
        </w:tc>
        <w:tc>
          <w:tcPr>
            <w:tcW w:w="0" w:type="auto"/>
            <w:hideMark/>
          </w:tcPr>
          <w:p w14:paraId="72E613C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VTN Dredging Limited</w:t>
            </w:r>
          </w:p>
        </w:tc>
        <w:tc>
          <w:tcPr>
            <w:tcW w:w="0" w:type="auto"/>
            <w:hideMark/>
          </w:tcPr>
          <w:p w14:paraId="7F92615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VTN Dredging Limited</w:t>
            </w:r>
          </w:p>
        </w:tc>
        <w:tc>
          <w:tcPr>
            <w:tcW w:w="0" w:type="auto"/>
            <w:hideMark/>
          </w:tcPr>
          <w:p w14:paraId="2DACED3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 Arine Base Estate Road, Port Harcourt</w:t>
            </w:r>
          </w:p>
        </w:tc>
      </w:tr>
      <w:tr w:rsidR="00EA38DE" w:rsidRPr="00EA38DE" w14:paraId="6C46ACA2" w14:textId="77777777" w:rsidTr="00252AD8">
        <w:tc>
          <w:tcPr>
            <w:tcW w:w="0" w:type="auto"/>
            <w:hideMark/>
          </w:tcPr>
          <w:p w14:paraId="4EA5230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94</w:t>
            </w:r>
          </w:p>
        </w:tc>
        <w:tc>
          <w:tcPr>
            <w:tcW w:w="0" w:type="auto"/>
            <w:hideMark/>
          </w:tcPr>
          <w:p w14:paraId="303E0D0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WAL</w:t>
            </w:r>
          </w:p>
        </w:tc>
        <w:tc>
          <w:tcPr>
            <w:tcW w:w="0" w:type="auto"/>
            <w:hideMark/>
          </w:tcPr>
          <w:p w14:paraId="57868994"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Elder Dempster Agency</w:t>
            </w:r>
          </w:p>
        </w:tc>
        <w:tc>
          <w:tcPr>
            <w:tcW w:w="0" w:type="auto"/>
            <w:hideMark/>
          </w:tcPr>
          <w:p w14:paraId="5F58C9E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34 Wharf Road, Apapa</w:t>
            </w:r>
          </w:p>
        </w:tc>
      </w:tr>
      <w:tr w:rsidR="00EA38DE" w:rsidRPr="00EA38DE" w14:paraId="14EBA7EB" w14:textId="77777777" w:rsidTr="00252AD8">
        <w:tc>
          <w:tcPr>
            <w:tcW w:w="0" w:type="auto"/>
            <w:hideMark/>
          </w:tcPr>
          <w:p w14:paraId="6E59BD82"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95</w:t>
            </w:r>
          </w:p>
        </w:tc>
        <w:tc>
          <w:tcPr>
            <w:tcW w:w="0" w:type="auto"/>
            <w:hideMark/>
          </w:tcPr>
          <w:p w14:paraId="03C80B68"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Wolid International Services Limited</w:t>
            </w:r>
          </w:p>
        </w:tc>
        <w:tc>
          <w:tcPr>
            <w:tcW w:w="0" w:type="auto"/>
            <w:hideMark/>
          </w:tcPr>
          <w:p w14:paraId="2C6A4CE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Wolid International Services Limited</w:t>
            </w:r>
          </w:p>
        </w:tc>
        <w:tc>
          <w:tcPr>
            <w:tcW w:w="0" w:type="auto"/>
            <w:hideMark/>
          </w:tcPr>
          <w:p w14:paraId="051515A2" w14:textId="77777777" w:rsidR="00576B3A" w:rsidRPr="00EA38DE" w:rsidRDefault="00576B3A" w:rsidP="00252AD8">
            <w:pPr>
              <w:spacing w:line="480" w:lineRule="auto"/>
              <w:jc w:val="both"/>
              <w:rPr>
                <w:rFonts w:ascii="Times New Roman" w:hAnsi="Times New Roman"/>
                <w:sz w:val="24"/>
                <w:szCs w:val="24"/>
              </w:rPr>
            </w:pPr>
          </w:p>
        </w:tc>
      </w:tr>
      <w:tr w:rsidR="00EA38DE" w:rsidRPr="00EA38DE" w14:paraId="2BC05A21" w14:textId="77777777" w:rsidTr="00252AD8">
        <w:tc>
          <w:tcPr>
            <w:tcW w:w="0" w:type="auto"/>
            <w:hideMark/>
          </w:tcPr>
          <w:p w14:paraId="2F95A17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96</w:t>
            </w:r>
          </w:p>
        </w:tc>
        <w:tc>
          <w:tcPr>
            <w:tcW w:w="0" w:type="auto"/>
            <w:hideMark/>
          </w:tcPr>
          <w:p w14:paraId="1A60037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World Link Travel Agencies</w:t>
            </w:r>
          </w:p>
        </w:tc>
        <w:tc>
          <w:tcPr>
            <w:tcW w:w="0" w:type="auto"/>
            <w:hideMark/>
          </w:tcPr>
          <w:p w14:paraId="7071864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World Link Travel Agencies</w:t>
            </w:r>
          </w:p>
        </w:tc>
        <w:tc>
          <w:tcPr>
            <w:tcW w:w="0" w:type="auto"/>
            <w:hideMark/>
          </w:tcPr>
          <w:p w14:paraId="4E3A4044"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7, Ogba Road, Sango, Agege, Lagos</w:t>
            </w:r>
          </w:p>
        </w:tc>
      </w:tr>
      <w:tr w:rsidR="00EA38DE" w:rsidRPr="00EA38DE" w14:paraId="5DAF683A" w14:textId="77777777" w:rsidTr="00252AD8">
        <w:tc>
          <w:tcPr>
            <w:tcW w:w="0" w:type="auto"/>
            <w:hideMark/>
          </w:tcPr>
          <w:p w14:paraId="0D4E6D4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97</w:t>
            </w:r>
          </w:p>
        </w:tc>
        <w:tc>
          <w:tcPr>
            <w:tcW w:w="0" w:type="auto"/>
            <w:hideMark/>
          </w:tcPr>
          <w:p w14:paraId="14C2BC45"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Socar Talamiz Limited</w:t>
            </w:r>
          </w:p>
        </w:tc>
        <w:tc>
          <w:tcPr>
            <w:tcW w:w="0" w:type="auto"/>
            <w:hideMark/>
          </w:tcPr>
          <w:p w14:paraId="0DBD727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Socar Talamiz Limited</w:t>
            </w:r>
          </w:p>
        </w:tc>
        <w:tc>
          <w:tcPr>
            <w:tcW w:w="0" w:type="auto"/>
            <w:hideMark/>
          </w:tcPr>
          <w:p w14:paraId="37DE13E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Shop 80, Tafawa Balewa Square, Lagos</w:t>
            </w:r>
          </w:p>
        </w:tc>
      </w:tr>
      <w:tr w:rsidR="00EA38DE" w:rsidRPr="00EA38DE" w14:paraId="4E842020" w14:textId="77777777" w:rsidTr="00252AD8">
        <w:tc>
          <w:tcPr>
            <w:tcW w:w="0" w:type="auto"/>
            <w:hideMark/>
          </w:tcPr>
          <w:p w14:paraId="2D3E5FF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98</w:t>
            </w:r>
          </w:p>
        </w:tc>
        <w:tc>
          <w:tcPr>
            <w:tcW w:w="0" w:type="auto"/>
            <w:hideMark/>
          </w:tcPr>
          <w:p w14:paraId="4CF3AFD0"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Michelle Nig. Limited</w:t>
            </w:r>
          </w:p>
        </w:tc>
        <w:tc>
          <w:tcPr>
            <w:tcW w:w="0" w:type="auto"/>
            <w:hideMark/>
          </w:tcPr>
          <w:p w14:paraId="3BACA3CB"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Michelle Nig. Limited</w:t>
            </w:r>
          </w:p>
        </w:tc>
        <w:tc>
          <w:tcPr>
            <w:tcW w:w="0" w:type="auto"/>
            <w:hideMark/>
          </w:tcPr>
          <w:p w14:paraId="6914656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29, Burma Road, Apapa; 8, Akanbi Onitiri Crescent, Off Eric Moore</w:t>
            </w:r>
          </w:p>
        </w:tc>
      </w:tr>
      <w:tr w:rsidR="00EA38DE" w:rsidRPr="00EA38DE" w14:paraId="45EF232B" w14:textId="77777777" w:rsidTr="00252AD8">
        <w:tc>
          <w:tcPr>
            <w:tcW w:w="0" w:type="auto"/>
            <w:hideMark/>
          </w:tcPr>
          <w:p w14:paraId="3DD14C6F"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99</w:t>
            </w:r>
          </w:p>
        </w:tc>
        <w:tc>
          <w:tcPr>
            <w:tcW w:w="0" w:type="auto"/>
            <w:hideMark/>
          </w:tcPr>
          <w:p w14:paraId="216E0BE1"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BHN Transport &amp; Logistics Limited</w:t>
            </w:r>
          </w:p>
        </w:tc>
        <w:tc>
          <w:tcPr>
            <w:tcW w:w="0" w:type="auto"/>
            <w:hideMark/>
          </w:tcPr>
          <w:p w14:paraId="15CA6A24"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BHN Transport &amp; Logistics agency.</w:t>
            </w:r>
          </w:p>
        </w:tc>
        <w:tc>
          <w:tcPr>
            <w:tcW w:w="0" w:type="auto"/>
            <w:hideMark/>
          </w:tcPr>
          <w:p w14:paraId="1156B1C9" w14:textId="77777777" w:rsidR="00576B3A" w:rsidRPr="00EA38DE" w:rsidRDefault="00576B3A" w:rsidP="00252AD8">
            <w:pPr>
              <w:spacing w:line="480" w:lineRule="auto"/>
              <w:jc w:val="both"/>
              <w:rPr>
                <w:rFonts w:ascii="Times New Roman" w:hAnsi="Times New Roman"/>
                <w:sz w:val="24"/>
                <w:szCs w:val="24"/>
              </w:rPr>
            </w:pPr>
          </w:p>
        </w:tc>
      </w:tr>
      <w:tr w:rsidR="00EA38DE" w:rsidRPr="00EA38DE" w14:paraId="3D34A84B" w14:textId="77777777" w:rsidTr="00252AD8">
        <w:tc>
          <w:tcPr>
            <w:tcW w:w="0" w:type="auto"/>
            <w:hideMark/>
          </w:tcPr>
          <w:p w14:paraId="0224F67A"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100</w:t>
            </w:r>
          </w:p>
        </w:tc>
        <w:tc>
          <w:tcPr>
            <w:tcW w:w="0" w:type="auto"/>
            <w:hideMark/>
          </w:tcPr>
          <w:p w14:paraId="5F104F3B"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Carldon International Agencies</w:t>
            </w:r>
          </w:p>
        </w:tc>
        <w:tc>
          <w:tcPr>
            <w:tcW w:w="0" w:type="auto"/>
            <w:hideMark/>
          </w:tcPr>
          <w:p w14:paraId="0FBC6B06"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Carldon International agency</w:t>
            </w:r>
          </w:p>
        </w:tc>
        <w:tc>
          <w:tcPr>
            <w:tcW w:w="0" w:type="auto"/>
            <w:hideMark/>
          </w:tcPr>
          <w:p w14:paraId="4A626E7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Plot 018, Trans Amadi Industrial Layout, Port Harcourt</w:t>
            </w:r>
          </w:p>
        </w:tc>
      </w:tr>
      <w:tr w:rsidR="00EA38DE" w:rsidRPr="00EA38DE" w14:paraId="1DBB3BA6" w14:textId="77777777" w:rsidTr="00252AD8">
        <w:tc>
          <w:tcPr>
            <w:tcW w:w="0" w:type="auto"/>
            <w:hideMark/>
          </w:tcPr>
          <w:p w14:paraId="28290FA7"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101</w:t>
            </w:r>
          </w:p>
        </w:tc>
        <w:tc>
          <w:tcPr>
            <w:tcW w:w="0" w:type="auto"/>
            <w:hideMark/>
          </w:tcPr>
          <w:p w14:paraId="4A4A3B4E"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Trans-Atlantic Shipping &amp; Transport Agencies</w:t>
            </w:r>
          </w:p>
        </w:tc>
        <w:tc>
          <w:tcPr>
            <w:tcW w:w="0" w:type="auto"/>
            <w:hideMark/>
          </w:tcPr>
          <w:p w14:paraId="1CD1FDAC"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Trans-Atlantic Shipping &amp; Transport Agencies Limited</w:t>
            </w:r>
          </w:p>
        </w:tc>
        <w:tc>
          <w:tcPr>
            <w:tcW w:w="0" w:type="auto"/>
            <w:hideMark/>
          </w:tcPr>
          <w:p w14:paraId="3EFD7D43" w14:textId="77777777" w:rsidR="00576B3A" w:rsidRPr="00EA38DE" w:rsidRDefault="00576B3A" w:rsidP="00252AD8">
            <w:pPr>
              <w:spacing w:line="480" w:lineRule="auto"/>
              <w:jc w:val="both"/>
              <w:rPr>
                <w:rFonts w:ascii="Times New Roman" w:hAnsi="Times New Roman"/>
                <w:sz w:val="24"/>
                <w:szCs w:val="24"/>
              </w:rPr>
            </w:pPr>
            <w:r w:rsidRPr="00EA38DE">
              <w:rPr>
                <w:rFonts w:ascii="Times New Roman" w:hAnsi="Times New Roman"/>
                <w:sz w:val="24"/>
                <w:szCs w:val="24"/>
              </w:rPr>
              <w:t>89/91, Kofo Abayomi Avenue, Apapa, Lagos</w:t>
            </w:r>
          </w:p>
        </w:tc>
      </w:tr>
    </w:tbl>
    <w:p w14:paraId="32EC0DA5" w14:textId="77777777" w:rsidR="00576B3A" w:rsidRPr="00EA38DE" w:rsidRDefault="00576B3A" w:rsidP="00576B3A">
      <w:pPr>
        <w:pStyle w:val="NormalWeb"/>
        <w:spacing w:before="0" w:beforeAutospacing="0" w:line="480" w:lineRule="auto"/>
      </w:pPr>
      <w:r w:rsidRPr="00EA38DE">
        <w:rPr>
          <w:b/>
          <w:bCs/>
        </w:rPr>
        <w:t>Source</w:t>
      </w:r>
      <w:r w:rsidRPr="00EA38DE">
        <w:t xml:space="preserve">: Nigerian Ports Authority, (2024). </w:t>
      </w:r>
    </w:p>
    <w:p w14:paraId="5D0368A0" w14:textId="1ADC7A96" w:rsidR="004A41BF" w:rsidRPr="00EA38DE" w:rsidRDefault="004A41BF" w:rsidP="00767B17">
      <w:pPr>
        <w:spacing w:line="480" w:lineRule="auto"/>
        <w:rPr>
          <w:rFonts w:ascii="Times New Roman" w:hAnsi="Times New Roman" w:cs="Times New Roman"/>
          <w:b/>
          <w:bCs/>
          <w:sz w:val="24"/>
          <w:szCs w:val="24"/>
        </w:rPr>
      </w:pPr>
      <w:r w:rsidRPr="00EA38DE">
        <w:rPr>
          <w:rFonts w:ascii="Times New Roman" w:hAnsi="Times New Roman" w:cs="Times New Roman"/>
          <w:b/>
          <w:bCs/>
          <w:sz w:val="24"/>
          <w:szCs w:val="24"/>
        </w:rPr>
        <w:t>2.2</w:t>
      </w:r>
      <w:r w:rsidR="008451D7" w:rsidRPr="00EA38DE">
        <w:rPr>
          <w:rFonts w:ascii="Times New Roman" w:hAnsi="Times New Roman" w:cs="Times New Roman"/>
          <w:b/>
          <w:bCs/>
          <w:sz w:val="24"/>
          <w:szCs w:val="24"/>
        </w:rPr>
        <w:tab/>
      </w:r>
      <w:r w:rsidRPr="00EA38DE">
        <w:rPr>
          <w:rFonts w:ascii="Times New Roman" w:hAnsi="Times New Roman" w:cs="Times New Roman"/>
          <w:b/>
          <w:bCs/>
          <w:sz w:val="24"/>
          <w:szCs w:val="24"/>
        </w:rPr>
        <w:t>Measure of Exchange Rate Volatility</w:t>
      </w:r>
    </w:p>
    <w:p w14:paraId="66D1AE3F" w14:textId="77777777"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To measure exchange rate volatility in this study, the Generalized Autoregressive Conditional Heteroskedasticity (GARCH) model is employed. Introduced by Bollerslev (1986) as an extension </w:t>
      </w:r>
      <w:r w:rsidRPr="00EA38DE">
        <w:rPr>
          <w:rFonts w:ascii="Times New Roman" w:hAnsi="Times New Roman" w:cs="Times New Roman"/>
          <w:sz w:val="24"/>
          <w:szCs w:val="24"/>
        </w:rPr>
        <w:lastRenderedPageBreak/>
        <w:t>of the ARCH model developed by Engle (1982), the GARCH framework is widely recognized for its effectiveness in modeling and forecasting financial time series with time-varying volatility. Unlike traditional models that assume constant variance, the GARCH model accounts for volatility clustering a common characteristic of exchange rate movements by allowing the conditional variance to depend on past shocks and previous periods' volatility. According to Nelson (1991), GARCH-type models are particularly useful in capturing the persistence of volatility in financial markets, making them ideal for analyzing currency fluctuations in economies prone to macroeconomic instability.</w:t>
      </w:r>
    </w:p>
    <w:p w14:paraId="151684DA" w14:textId="65B5C998"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In the context of exchange rate analysis, several studies have demonstrated the applicability of the GARCH model. For example, Choudhry (2005) applied GARCH techniques to estimate exchange rate risk in emerging markets, while</w:t>
      </w:r>
      <w:r w:rsidR="00F96156" w:rsidRPr="00EA38DE">
        <w:rPr>
          <w:rFonts w:ascii="Times New Roman" w:hAnsi="Times New Roman" w:cs="Times New Roman"/>
          <w:sz w:val="24"/>
          <w:szCs w:val="24"/>
        </w:rPr>
        <w:t>,</w:t>
      </w:r>
      <w:r w:rsidRPr="00EA38DE">
        <w:rPr>
          <w:rFonts w:ascii="Times New Roman" w:hAnsi="Times New Roman" w:cs="Times New Roman"/>
          <w:sz w:val="24"/>
          <w:szCs w:val="24"/>
        </w:rPr>
        <w:t xml:space="preserve"> Ajao </w:t>
      </w:r>
      <w:r w:rsidR="00D36B57" w:rsidRPr="00EA38DE">
        <w:rPr>
          <w:rFonts w:ascii="Times New Roman" w:hAnsi="Times New Roman" w:cs="Times New Roman"/>
          <w:sz w:val="24"/>
          <w:szCs w:val="24"/>
        </w:rPr>
        <w:t>&amp;</w:t>
      </w:r>
      <w:r w:rsidRPr="00EA38DE">
        <w:rPr>
          <w:rFonts w:ascii="Times New Roman" w:hAnsi="Times New Roman" w:cs="Times New Roman"/>
          <w:sz w:val="24"/>
          <w:szCs w:val="24"/>
        </w:rPr>
        <w:t xml:space="preserve"> Igbekoyi (2013) used a GARCH framework to model naira volatility and its implications for foreign trade. Similarly, Okonkwo</w:t>
      </w:r>
      <w:r w:rsidR="00D254B1" w:rsidRPr="00EA38DE">
        <w:rPr>
          <w:rFonts w:ascii="Times New Roman" w:hAnsi="Times New Roman" w:cs="Times New Roman"/>
          <w:sz w:val="24"/>
          <w:szCs w:val="24"/>
        </w:rPr>
        <w:t xml:space="preserve"> et al.</w:t>
      </w:r>
      <w:r w:rsidRPr="00EA38DE">
        <w:rPr>
          <w:rFonts w:ascii="Times New Roman" w:hAnsi="Times New Roman" w:cs="Times New Roman"/>
          <w:sz w:val="24"/>
          <w:szCs w:val="24"/>
        </w:rPr>
        <w:t xml:space="preserve"> (2020) showed that GARCH models provide more accurate insights into Nigeria’s exchange rate behavior than static models.</w:t>
      </w:r>
    </w:p>
    <w:p w14:paraId="1BF34A22" w14:textId="6467CCE8"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In this study, the GARCH (1,1) specification is used to generate a time-varying measure of exchange rate volatility, which is then incorporated into the main model to evaluate its impact on the financial performance of Nigeria’s shipping industry. This approach ensures that the influence of exchange rate uncertainty is appropriately captured and analyzed in relation to the sector’s operational stability and investment outcomes</w:t>
      </w:r>
      <w:r w:rsidR="00613C2E" w:rsidRPr="00EA38DE">
        <w:rPr>
          <w:rFonts w:ascii="Times New Roman" w:hAnsi="Times New Roman" w:cs="Times New Roman"/>
          <w:sz w:val="24"/>
          <w:szCs w:val="24"/>
        </w:rPr>
        <w:t>.</w:t>
      </w:r>
    </w:p>
    <w:p w14:paraId="5F6FB0E6" w14:textId="0CE40B38" w:rsidR="004A41BF" w:rsidRPr="00EA38DE" w:rsidRDefault="004A41BF" w:rsidP="008451D7">
      <w:pPr>
        <w:spacing w:line="360" w:lineRule="auto"/>
        <w:ind w:left="717" w:hanging="660"/>
        <w:jc w:val="both"/>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2.</w:t>
      </w:r>
      <w:r w:rsidR="00DC0395" w:rsidRPr="00EA38DE">
        <w:rPr>
          <w:rFonts w:ascii="Times New Roman" w:eastAsia="Times New Roman" w:hAnsi="Times New Roman" w:cs="Times New Roman"/>
          <w:b/>
          <w:bCs/>
          <w:sz w:val="24"/>
          <w:szCs w:val="24"/>
        </w:rPr>
        <w:t>2.</w:t>
      </w:r>
      <w:r w:rsidRPr="00EA38DE">
        <w:rPr>
          <w:rFonts w:ascii="Times New Roman" w:eastAsia="Times New Roman" w:hAnsi="Times New Roman" w:cs="Times New Roman"/>
          <w:b/>
          <w:bCs/>
          <w:sz w:val="24"/>
          <w:szCs w:val="24"/>
        </w:rPr>
        <w:t>1</w:t>
      </w:r>
      <w:r w:rsidRPr="00EA38DE">
        <w:rPr>
          <w:rFonts w:ascii="Times New Roman" w:eastAsia="Times New Roman" w:hAnsi="Times New Roman" w:cs="Times New Roman"/>
          <w:b/>
          <w:bCs/>
          <w:sz w:val="24"/>
          <w:szCs w:val="24"/>
        </w:rPr>
        <w:tab/>
        <w:t>The Interplay Between Exchange Rate Volatility, Blue Economy, and the Shipping Industry Financial Performance</w:t>
      </w:r>
    </w:p>
    <w:p w14:paraId="5AE24A62" w14:textId="77777777"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interrelationship between exchange rate volatility, the blue economy, and the financial performance of the shipping industry is complex and multifaceted, especially in an emerging </w:t>
      </w:r>
      <w:r w:rsidRPr="00EA38DE">
        <w:rPr>
          <w:rFonts w:ascii="Times New Roman" w:eastAsia="Times New Roman" w:hAnsi="Times New Roman" w:cs="Times New Roman"/>
          <w:sz w:val="24"/>
          <w:szCs w:val="24"/>
        </w:rPr>
        <w:lastRenderedPageBreak/>
        <w:t>economy like Nigeria. These three variables interact dynamically, with each element influencing and being influenced by the others through various economic channels, market mechanisms, and policy environments (Adeniran &amp; Akinwale, 2021; UNCTAD, 2020). Exchange rate volatility represents a macroeconomic shock mechanism that directly affects both the operational costs and financial viability of the shipping industry. A depreciating naira increases the cost of importing vessels, spare parts, port equipment, and other maritime infrastructure since these are often denominated in foreign currencies, particularly the U.S. dollar (Adewuyi &amp; Olayiwola, 2021). Shipping firms operating in Nigeria must often settle international freight charges, insurance premiums, and regulatory fees in foreign currencies, thus making them highly vulnerable to adverse currency movements. This, in turn, compresses profit margins, disrupts capital investment plans, and raises the cost of financing.</w:t>
      </w:r>
    </w:p>
    <w:p w14:paraId="364C81D8" w14:textId="570CDF9D"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On the other hand, the blue economy comprising sectors like fisheries, aquaculture, coastal tourism, marine biotechnology, desalination, and offshore energy offers a pathway for economic diversification and resilience. Blue economy sectors generate cargo, support maritime employment, and create demand for port and shipping services (Onyeukwu</w:t>
      </w:r>
      <w:r w:rsidR="001B36CB"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2020).  </w:t>
      </w:r>
      <w:r w:rsidRPr="00EA38DE">
        <w:rPr>
          <w:rFonts w:ascii="Times New Roman" w:hAnsi="Times New Roman" w:cs="Times New Roman"/>
          <w:sz w:val="24"/>
          <w:szCs w:val="24"/>
        </w:rPr>
        <w:t xml:space="preserve">Environmental protection and the adoption of green port practices can lead to operational efficiencies and attract climate-related funding and subsidies (African Union, 2020). While, the blue economy sectors are also affected by exchange rate volatilities </w:t>
      </w:r>
      <w:r w:rsidRPr="00EA38DE">
        <w:rPr>
          <w:rFonts w:ascii="Times New Roman" w:eastAsia="Times New Roman" w:hAnsi="Times New Roman" w:cs="Times New Roman"/>
          <w:sz w:val="24"/>
          <w:szCs w:val="24"/>
        </w:rPr>
        <w:t>particularly through input costs and export competitiveness</w:t>
      </w:r>
      <w:r w:rsidR="002F514B"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they can act as stabilizers. For instance, the depreciation of the naira increases the cost of importing spare parts, fuel, and ship maintenance services, which are typically denominated in foreign currencies. This erodes profit margins (Olusola &amp; Ajayi, 2021). Many shipping companies finance vessels or port equipment through foreign-denominated loans. Currency devaluation increases the local currency cost of debt servicing, weakening balance </w:t>
      </w:r>
      <w:r w:rsidRPr="00EA38DE">
        <w:rPr>
          <w:rFonts w:ascii="Times New Roman" w:eastAsia="Times New Roman" w:hAnsi="Times New Roman" w:cs="Times New Roman"/>
          <w:sz w:val="24"/>
          <w:szCs w:val="24"/>
        </w:rPr>
        <w:lastRenderedPageBreak/>
        <w:t>sheets. Unpredictable exchange rates increase investment risk, discouraging foreign direct investment (FDI) in maritime infrastructure (Akinbobola &amp; Saibu, 2018). A weaker naira makes imports more expensive and reduces trade volumes, affecting port revenue and shipping company income.</w:t>
      </w:r>
      <w:r w:rsidRPr="00EA38DE">
        <w:rPr>
          <w:rFonts w:ascii="Times New Roman" w:hAnsi="Times New Roman" w:cs="Times New Roman"/>
          <w:sz w:val="24"/>
          <w:szCs w:val="24"/>
        </w:rPr>
        <w:t xml:space="preserve"> </w:t>
      </w:r>
      <w:r w:rsidRPr="00EA38DE">
        <w:rPr>
          <w:rFonts w:ascii="Times New Roman" w:eastAsia="Times New Roman" w:hAnsi="Times New Roman" w:cs="Times New Roman"/>
          <w:sz w:val="24"/>
          <w:szCs w:val="24"/>
        </w:rPr>
        <w:t>Thus, exchange rate volatility often results in reduced financial performance for the shipping industry through increased costs, reduced margins, and higher financial uncertainty.</w:t>
      </w:r>
    </w:p>
    <w:p w14:paraId="301E190E" w14:textId="15BB7A19" w:rsidR="004A41BF" w:rsidRPr="00EA38DE" w:rsidRDefault="00955267"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T</w:t>
      </w:r>
      <w:r w:rsidR="004A41BF" w:rsidRPr="00EA38DE">
        <w:rPr>
          <w:rFonts w:ascii="Times New Roman" w:eastAsia="Times New Roman" w:hAnsi="Times New Roman" w:cs="Times New Roman"/>
          <w:sz w:val="24"/>
          <w:szCs w:val="24"/>
        </w:rPr>
        <w:t>he financial performance of the shipping industry measured by ocean throughput, shipping costs, and port revenue is ultimately shaped by the interplay of these forces. Exchange rate volatility introduces risk and uncertainty, while the blue economy presents new opportunities for trade, cargo movement, and service diversification. Where the two forces align positively</w:t>
      </w:r>
      <w:r w:rsidR="00C64D12" w:rsidRPr="00EA38DE">
        <w:rPr>
          <w:rFonts w:ascii="Times New Roman" w:eastAsia="Times New Roman" w:hAnsi="Times New Roman" w:cs="Times New Roman"/>
          <w:sz w:val="24"/>
          <w:szCs w:val="24"/>
        </w:rPr>
        <w:t>,</w:t>
      </w:r>
      <w:r w:rsidR="004A41BF" w:rsidRPr="00EA38DE">
        <w:rPr>
          <w:rFonts w:ascii="Times New Roman" w:eastAsia="Times New Roman" w:hAnsi="Times New Roman" w:cs="Times New Roman"/>
          <w:sz w:val="24"/>
          <w:szCs w:val="24"/>
        </w:rPr>
        <w:t xml:space="preserve"> for example, when export oriented blue economy sectors thrive amid favorable exchange rates the shipping industry may experience financial gains. Conversely, if currency volatility leads to inflation, reduced import volumes, and higher maritime operating costs without a compensating boost from the blue economy, the shipping sector’s performance is likely to decline (Nwankwo, 2021). Thus, the ability of the shipping industry to perform financially is contingent not only on external macroeconomic conditions but also on the internal development and integration of blue economy activities.</w:t>
      </w:r>
    </w:p>
    <w:p w14:paraId="0DB402E8" w14:textId="3CE79A0A"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Exchange rate volatility increases uncertainty and risk, which affects firm-level investment decisions (Markowitz, 1952). The balance of payments theory suggests that persistent currency depreciation reflects trade imbalances, which in Nigeria’s case are often driven by an overdependence on imports and underutilized export sectors such as fisheries and aquaculture</w:t>
      </w:r>
      <w:r w:rsidR="00C64D12"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(Oyejide &amp; Ogun, 2020). </w:t>
      </w:r>
    </w:p>
    <w:p w14:paraId="4DE0496F" w14:textId="77777777"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The synthesis of these factors suggests a need for integrated policy responses that stabilize currency markets while promoting blue economy sectors. This could include establishing foreign </w:t>
      </w:r>
      <w:r w:rsidRPr="00EA38DE">
        <w:rPr>
          <w:rFonts w:ascii="Times New Roman" w:eastAsia="Times New Roman" w:hAnsi="Times New Roman" w:cs="Times New Roman"/>
          <w:sz w:val="24"/>
          <w:szCs w:val="24"/>
        </w:rPr>
        <w:lastRenderedPageBreak/>
        <w:t xml:space="preserve">exchange windows for maritime operations, investing in export-capable blue economy sectors, and modernizing port infrastructure to enhance competitiveness. </w:t>
      </w:r>
      <w:r w:rsidRPr="00EA38DE">
        <w:rPr>
          <w:rFonts w:ascii="Times New Roman" w:hAnsi="Times New Roman" w:cs="Times New Roman"/>
          <w:sz w:val="24"/>
          <w:szCs w:val="24"/>
        </w:rPr>
        <w:t>Investment in local shipbuilding, renewable marine energy, and digitalized logistics can reduce reliance on imported goods and foreign exchange exposure (UNECA, 2016).</w:t>
      </w:r>
      <w:bookmarkStart w:id="5" w:name="_Hlk198175167"/>
    </w:p>
    <w:p w14:paraId="306E0848" w14:textId="17577C4D" w:rsidR="004A41BF" w:rsidRPr="00EA38DE" w:rsidRDefault="004A41BF" w:rsidP="00767B17">
      <w:pPr>
        <w:spacing w:line="480" w:lineRule="auto"/>
        <w:jc w:val="both"/>
        <w:rPr>
          <w:rFonts w:ascii="Times New Roman" w:hAnsi="Times New Roman" w:cs="Times New Roman"/>
          <w:sz w:val="24"/>
          <w:szCs w:val="24"/>
        </w:rPr>
      </w:pPr>
      <w:r w:rsidRPr="00EA38DE">
        <w:rPr>
          <w:rFonts w:ascii="Times New Roman" w:hAnsi="Times New Roman" w:cs="Times New Roman"/>
          <w:b/>
          <w:sz w:val="24"/>
          <w:szCs w:val="24"/>
        </w:rPr>
        <w:t>2.2</w:t>
      </w:r>
      <w:r w:rsidR="008451D7" w:rsidRPr="00EA38DE">
        <w:rPr>
          <w:rFonts w:ascii="Times New Roman" w:hAnsi="Times New Roman" w:cs="Times New Roman"/>
          <w:b/>
          <w:sz w:val="24"/>
          <w:szCs w:val="24"/>
        </w:rPr>
        <w:t>.2</w:t>
      </w:r>
      <w:r w:rsidRPr="00EA38DE">
        <w:rPr>
          <w:rFonts w:ascii="Times New Roman" w:hAnsi="Times New Roman" w:cs="Times New Roman"/>
          <w:b/>
          <w:sz w:val="24"/>
          <w:szCs w:val="24"/>
        </w:rPr>
        <w:tab/>
        <w:t xml:space="preserve">Concept of Exchange Rate </w:t>
      </w:r>
    </w:p>
    <w:p w14:paraId="08408DA6" w14:textId="77777777"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Exchange rate volatility refers to unpredictable fluctuations in the value of one currency relative to others over time. For open economies such as Nigeria, where businesses including shipping firms rely heavily on foreign trade, exchange rate instability can significantly distort financial performance. The shipping industry is particularly susceptible due to its dependence on international transactions, imported inputs, and foreign-denominated debt (Eze &amp; Uchenna, 2021; Okonkwo &amp; Ifediora, 2020).</w:t>
      </w:r>
    </w:p>
    <w:p w14:paraId="2F86C477" w14:textId="33701CA6"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Numerous empirical studies highlight the complex relationship between exchange rate volatility and firm-level performance. Ezeaku et al. (2018) observe that</w:t>
      </w:r>
      <w:r w:rsidR="00C64D12"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exchange rate </w:t>
      </w:r>
      <w:r w:rsidR="00C64D12" w:rsidRPr="00EA38DE">
        <w:rPr>
          <w:rFonts w:ascii="Times New Roman" w:eastAsia="Times New Roman" w:hAnsi="Times New Roman" w:cs="Times New Roman"/>
          <w:sz w:val="24"/>
          <w:szCs w:val="24"/>
        </w:rPr>
        <w:t>volatilitie</w:t>
      </w:r>
      <w:r w:rsidRPr="00EA38DE">
        <w:rPr>
          <w:rFonts w:ascii="Times New Roman" w:eastAsia="Times New Roman" w:hAnsi="Times New Roman" w:cs="Times New Roman"/>
          <w:sz w:val="24"/>
          <w:szCs w:val="24"/>
        </w:rPr>
        <w:t xml:space="preserve">s in Nigeria lead to increased transaction costs, reduced pricing predictability, and greater risk exposure for firms involved in cross-border operations. These uncertainties compel firms to divert resources toward currency risk management, hedging instruments, and inventory holding, ultimately affecting their operational efficiency and profitability. </w:t>
      </w:r>
    </w:p>
    <w:p w14:paraId="602BD4AE" w14:textId="12DC54E2"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the context of the shipping industry, exchange rate volatility directly influences key cost components such as the purchase of spare parts, fuel, ship maintenance, insurance premiums, and port charges all of which are often denominated in foreign currencies. A depreciation in the naira, for instance, raises the cost of these inputs, reducing the profitability of shipping firms. According to </w:t>
      </w:r>
      <w:r w:rsidR="00451FA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Adegbite </w:t>
      </w:r>
      <w:r w:rsidR="009637C8"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Azeez</w:t>
      </w:r>
      <w:r w:rsidR="00451FA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2022), Nigerian maritime firms have experienced reduced returns on assets </w:t>
      </w:r>
      <w:r w:rsidRPr="00EA38DE">
        <w:rPr>
          <w:rFonts w:ascii="Times New Roman" w:eastAsia="Times New Roman" w:hAnsi="Times New Roman" w:cs="Times New Roman"/>
          <w:sz w:val="24"/>
          <w:szCs w:val="24"/>
        </w:rPr>
        <w:lastRenderedPageBreak/>
        <w:t>during periods of intense exchange rate volatility, underscoring the financial fragility induced by macroeconomic instability.</w:t>
      </w:r>
    </w:p>
    <w:p w14:paraId="0C8B140C" w14:textId="78E46D73"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Moreover, the unpredictability of exchange rates can deter foreign and local investment in the shipping industry. Investors and operators often delay capital expenditure decisions due to fears of currency mismatch and valuation risks. </w:t>
      </w:r>
      <w:r w:rsidR="00451FA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Ajao </w:t>
      </w:r>
      <w:r w:rsidR="009637C8"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Igbekoyi</w:t>
      </w:r>
      <w:r w:rsidR="00714D73"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2013), contend that prolonged exchange rate instability in Nigeria has contributed to underinvestment in maritime infrastructure and fleet modernization. At the macroeconomic level, volatile exchange rates can also distort revenue projections and budget planning, especially in sectors with long operational cycles such as shipping. Olayiwola et al. (2021) </w:t>
      </w:r>
      <w:r w:rsidR="00451FA6" w:rsidRPr="00EA38DE">
        <w:rPr>
          <w:rFonts w:ascii="Times New Roman" w:eastAsia="Times New Roman" w:hAnsi="Times New Roman" w:cs="Times New Roman"/>
          <w:sz w:val="24"/>
          <w:szCs w:val="24"/>
        </w:rPr>
        <w:t>noted</w:t>
      </w:r>
      <w:r w:rsidRPr="00EA38DE">
        <w:rPr>
          <w:rFonts w:ascii="Times New Roman" w:eastAsia="Times New Roman" w:hAnsi="Times New Roman" w:cs="Times New Roman"/>
          <w:sz w:val="24"/>
          <w:szCs w:val="24"/>
        </w:rPr>
        <w:t xml:space="preserve"> that shipping companies operating in volatile currency environments face challenges in maintaining cash flow stability and servicing foreign-denominated debt. This further exacerbates their exposure to financial distress and bankruptcy risk.</w:t>
      </w:r>
    </w:p>
    <w:p w14:paraId="4E8CB500" w14:textId="77777777" w:rsidR="004A41B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From a global perspective, Ghosh et al. (2012) noted that developing countries often suffer greater economic costs from exchange rate volatility due to weak institutional structures and the absence of robust hedging mechanisms. This finding is particularly relevant for Nigeria, where forward contracts and futures markets for hedging currency risk are underdeveloped. As such, shipping firms must rely on internal financial strategies, such as increased reserves or local sourcing often at the expense of profitability.</w:t>
      </w:r>
    </w:p>
    <w:bookmarkEnd w:id="5"/>
    <w:p w14:paraId="07089406" w14:textId="798FD9F2" w:rsidR="004A41BF" w:rsidRPr="00EA38DE" w:rsidRDefault="008451D7" w:rsidP="00767B17">
      <w:pPr>
        <w:spacing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2.2.3</w:t>
      </w:r>
      <w:r w:rsidR="004A41BF" w:rsidRPr="00EA38DE">
        <w:rPr>
          <w:rFonts w:ascii="Times New Roman" w:hAnsi="Times New Roman" w:cs="Times New Roman"/>
          <w:b/>
          <w:sz w:val="24"/>
          <w:szCs w:val="24"/>
        </w:rPr>
        <w:tab/>
        <w:t>Exchange Rate Volatility</w:t>
      </w:r>
    </w:p>
    <w:p w14:paraId="2D098039" w14:textId="77777777" w:rsidR="007258FF"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Currency exchange prices on the foreign exchange market go up and down in response to supply and demand </w:t>
      </w:r>
      <w:r w:rsidR="00F47BCE" w:rsidRPr="00EA38DE">
        <w:rPr>
          <w:rFonts w:ascii="Times New Roman" w:hAnsi="Times New Roman" w:cs="Times New Roman"/>
          <w:sz w:val="24"/>
          <w:szCs w:val="24"/>
        </w:rPr>
        <w:t>volatilitie</w:t>
      </w:r>
      <w:r w:rsidRPr="00EA38DE">
        <w:rPr>
          <w:rFonts w:ascii="Times New Roman" w:hAnsi="Times New Roman" w:cs="Times New Roman"/>
          <w:sz w:val="24"/>
          <w:szCs w:val="24"/>
        </w:rPr>
        <w:t>s. When demand exceeds supply, the exchange rate of a currency increases in value. When goods and services are in surplus, however, the value of a currency falls. The long-</w:t>
      </w:r>
      <w:r w:rsidRPr="00EA38DE">
        <w:rPr>
          <w:rFonts w:ascii="Times New Roman" w:hAnsi="Times New Roman" w:cs="Times New Roman"/>
          <w:sz w:val="24"/>
          <w:szCs w:val="24"/>
        </w:rPr>
        <w:lastRenderedPageBreak/>
        <w:t>term demand and supply of any currency is very sensitive to changes in the value of imports and exports and long-term capital movements like foreign direct investment (FDI).</w:t>
      </w:r>
      <w:r w:rsidR="00C16D6D" w:rsidRPr="00EA38DE">
        <w:rPr>
          <w:rFonts w:ascii="Times New Roman" w:hAnsi="Times New Roman" w:cs="Times New Roman"/>
          <w:sz w:val="24"/>
          <w:szCs w:val="24"/>
        </w:rPr>
        <w:t xml:space="preserve"> </w:t>
      </w:r>
      <w:r w:rsidR="00C16D6D" w:rsidRPr="00EA38DE">
        <w:rPr>
          <w:rFonts w:ascii="Times New Roman" w:eastAsia="Times New Roman" w:hAnsi="Times New Roman" w:cs="Times New Roman"/>
          <w:sz w:val="24"/>
          <w:szCs w:val="24"/>
        </w:rPr>
        <w:t>Capital flight and declining foreign direct investment (FDI), driven by global economic instability, have further undermined Nigeria’s economic resilience (World Bank, 2023). The appreciation of the U.S. dollar amidst these uncertainties has placed considerable pressure on the naira, resulting in increased import costs, heightened inflationary pressures, and exacerbation of Nigeria’s foreign exchange challenges</w:t>
      </w:r>
      <w:r w:rsidR="007258FF" w:rsidRPr="00EA38DE">
        <w:rPr>
          <w:rFonts w:ascii="Times New Roman" w:eastAsia="Times New Roman" w:hAnsi="Times New Roman" w:cs="Times New Roman"/>
          <w:sz w:val="24"/>
          <w:szCs w:val="24"/>
        </w:rPr>
        <w:t>,</w:t>
      </w:r>
      <w:r w:rsidR="00C16D6D" w:rsidRPr="00EA38DE">
        <w:rPr>
          <w:rFonts w:ascii="Times New Roman" w:eastAsia="Times New Roman" w:hAnsi="Times New Roman" w:cs="Times New Roman"/>
          <w:sz w:val="24"/>
          <w:szCs w:val="24"/>
        </w:rPr>
        <w:t xml:space="preserve"> International Monetary Fund (IMF, 2023). The blue economy dependent on maritime and coastal resources has been particularly affected by these developments. Slowed global trade has diminished shipping activity at key Nigerian ports such as Lagos and Onne, while investor uncertainty has hindered funding for marine-related infrastructure and development projects (UNCTAD, 2022). Consequently, the sector remains underdeveloped and highly susceptible to external economic shocks.</w:t>
      </w:r>
    </w:p>
    <w:p w14:paraId="5A6A8223" w14:textId="6F51B7EA" w:rsidR="003460F4" w:rsidRPr="00EA38DE" w:rsidRDefault="004A41BF" w:rsidP="00767B17">
      <w:pPr>
        <w:spacing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Factors that have contributed to this change throughout time include inflation, exchange rates</w:t>
      </w:r>
      <w:r w:rsidR="00F47BCE" w:rsidRPr="00EA38DE">
        <w:rPr>
          <w:rFonts w:ascii="Times New Roman" w:hAnsi="Times New Roman" w:cs="Times New Roman"/>
          <w:sz w:val="24"/>
          <w:szCs w:val="24"/>
        </w:rPr>
        <w:t>,</w:t>
      </w:r>
      <w:r w:rsidRPr="00EA38DE">
        <w:rPr>
          <w:rFonts w:ascii="Times New Roman" w:hAnsi="Times New Roman" w:cs="Times New Roman"/>
          <w:sz w:val="24"/>
          <w:szCs w:val="24"/>
        </w:rPr>
        <w:t xml:space="preserve"> Ani et al.</w:t>
      </w:r>
      <w:r w:rsidR="00D8656F" w:rsidRPr="00EA38DE">
        <w:rPr>
          <w:rFonts w:ascii="Times New Roman" w:hAnsi="Times New Roman" w:cs="Times New Roman"/>
          <w:sz w:val="24"/>
          <w:szCs w:val="24"/>
        </w:rPr>
        <w:t>,</w:t>
      </w:r>
      <w:r w:rsidR="00F47BCE" w:rsidRPr="00EA38DE">
        <w:rPr>
          <w:rFonts w:ascii="Times New Roman" w:hAnsi="Times New Roman" w:cs="Times New Roman"/>
          <w:sz w:val="24"/>
          <w:szCs w:val="24"/>
        </w:rPr>
        <w:t xml:space="preserve"> (</w:t>
      </w:r>
      <w:r w:rsidRPr="00EA38DE">
        <w:rPr>
          <w:rFonts w:ascii="Times New Roman" w:hAnsi="Times New Roman" w:cs="Times New Roman"/>
          <w:sz w:val="24"/>
          <w:szCs w:val="24"/>
        </w:rPr>
        <w:t xml:space="preserve">2013). It’s possible that the inherent volatility of a freely floating exchange rate system may become too great under certain conditions. This phenomenon arises due to the fact that international capital markets ‘overshoot’ in response to shocks, creating </w:t>
      </w:r>
      <w:r w:rsidR="00F47BCE" w:rsidRPr="00EA38DE">
        <w:rPr>
          <w:rFonts w:ascii="Times New Roman" w:hAnsi="Times New Roman" w:cs="Times New Roman"/>
          <w:sz w:val="24"/>
          <w:szCs w:val="24"/>
        </w:rPr>
        <w:t>volatilitie</w:t>
      </w:r>
      <w:r w:rsidRPr="00EA38DE">
        <w:rPr>
          <w:rFonts w:ascii="Times New Roman" w:hAnsi="Times New Roman" w:cs="Times New Roman"/>
          <w:sz w:val="24"/>
          <w:szCs w:val="24"/>
        </w:rPr>
        <w:t xml:space="preserve">s in exchange rates, whereas goods and services markets react more slowly (Dornbush, 1976). According to </w:t>
      </w:r>
      <w:r w:rsidR="00F47BCE" w:rsidRPr="00EA38DE">
        <w:rPr>
          <w:rFonts w:ascii="Times New Roman" w:hAnsi="Times New Roman" w:cs="Times New Roman"/>
          <w:sz w:val="24"/>
          <w:szCs w:val="24"/>
        </w:rPr>
        <w:t>(</w:t>
      </w:r>
      <w:r w:rsidRPr="00EA38DE">
        <w:rPr>
          <w:rFonts w:ascii="Times New Roman" w:hAnsi="Times New Roman" w:cs="Times New Roman"/>
          <w:sz w:val="24"/>
          <w:szCs w:val="24"/>
        </w:rPr>
        <w:t>Sonik</w:t>
      </w:r>
      <w:r w:rsidR="00F47BCE" w:rsidRPr="00EA38DE">
        <w:rPr>
          <w:rFonts w:ascii="Times New Roman" w:hAnsi="Times New Roman" w:cs="Times New Roman"/>
          <w:sz w:val="24"/>
          <w:szCs w:val="24"/>
        </w:rPr>
        <w:t>,</w:t>
      </w:r>
      <w:r w:rsidRPr="00EA38DE">
        <w:rPr>
          <w:rFonts w:ascii="Times New Roman" w:hAnsi="Times New Roman" w:cs="Times New Roman"/>
          <w:sz w:val="24"/>
          <w:szCs w:val="24"/>
        </w:rPr>
        <w:t xml:space="preserve"> 2000), this is the pattern that emerges throughout most monetary crises. To start, the gap between the country’s imports and exports is increasing. Therefore, when compared to other currencies using purchasing power parity (PPP), this one is seen as overpriced. If foreign investors are pouring money into a country’s booming economy and providing cheap financing to local businesses, the country may seem to have a current account deficit even while it really has a capital account surplus. However, this kind of investment begins to dry up as the outlook for economic </w:t>
      </w:r>
      <w:r w:rsidRPr="00EA38DE">
        <w:rPr>
          <w:rFonts w:ascii="Times New Roman" w:hAnsi="Times New Roman" w:cs="Times New Roman"/>
          <w:sz w:val="24"/>
          <w:szCs w:val="24"/>
        </w:rPr>
        <w:lastRenderedPageBreak/>
        <w:t>growth becomes less clear and volatility rises. As investors leave and the current account deficit becomes more visible, governments are raising exchange rates in an effort to encourage investment. High exchange rates have a detrimental impact on the economy, increasing the need of capital restriction policies</w:t>
      </w:r>
    </w:p>
    <w:p w14:paraId="430F4C2F" w14:textId="3F95BF29" w:rsidR="003460F4" w:rsidRPr="00EA38DE" w:rsidRDefault="00E67F73" w:rsidP="00767B17">
      <w:pPr>
        <w:spacing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w:t>
      </w:r>
      <w:r w:rsidR="003460F4" w:rsidRPr="00EA38DE">
        <w:rPr>
          <w:rFonts w:ascii="Times New Roman" w:hAnsi="Times New Roman" w:cs="Times New Roman"/>
          <w:b/>
          <w:sz w:val="24"/>
          <w:szCs w:val="24"/>
        </w:rPr>
        <w:t>.</w:t>
      </w:r>
      <w:r w:rsidR="000E06DC" w:rsidRPr="00EA38DE">
        <w:rPr>
          <w:rFonts w:ascii="Times New Roman" w:hAnsi="Times New Roman" w:cs="Times New Roman"/>
          <w:b/>
          <w:sz w:val="24"/>
          <w:szCs w:val="24"/>
        </w:rPr>
        <w:t>3</w:t>
      </w:r>
      <w:r w:rsidR="006B7A37" w:rsidRPr="00EA38DE">
        <w:rPr>
          <w:rFonts w:ascii="Times New Roman" w:hAnsi="Times New Roman" w:cs="Times New Roman"/>
          <w:b/>
          <w:sz w:val="24"/>
          <w:szCs w:val="24"/>
        </w:rPr>
        <w:tab/>
      </w:r>
      <w:r w:rsidR="003460F4" w:rsidRPr="00EA38DE">
        <w:rPr>
          <w:rFonts w:ascii="Times New Roman" w:hAnsi="Times New Roman" w:cs="Times New Roman"/>
          <w:b/>
          <w:sz w:val="24"/>
          <w:szCs w:val="24"/>
        </w:rPr>
        <w:t xml:space="preserve">Maritime Trade and Exchange </w:t>
      </w:r>
      <w:r w:rsidR="009A2689" w:rsidRPr="00EA38DE">
        <w:rPr>
          <w:rFonts w:ascii="Times New Roman" w:hAnsi="Times New Roman" w:cs="Times New Roman"/>
          <w:b/>
          <w:sz w:val="24"/>
          <w:szCs w:val="24"/>
        </w:rPr>
        <w:t xml:space="preserve">Rate </w:t>
      </w:r>
      <w:r w:rsidR="003460F4" w:rsidRPr="00EA38DE">
        <w:rPr>
          <w:rFonts w:ascii="Times New Roman" w:hAnsi="Times New Roman" w:cs="Times New Roman"/>
          <w:b/>
          <w:sz w:val="24"/>
          <w:szCs w:val="24"/>
        </w:rPr>
        <w:t>Volatility</w:t>
      </w:r>
    </w:p>
    <w:p w14:paraId="3CEA8E40" w14:textId="747E0F0B" w:rsidR="003460F4" w:rsidRPr="00EA38DE" w:rsidRDefault="003460F4" w:rsidP="00767B1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Maritime trade refers to the exchange of goods, commodities, or services via sea routes or waterways. It encompasses all economic activities related to the movement of goods by sea. The exchange rate volatility is the risk of exchange rates and it has some implications for external trade. Exchange rate </w:t>
      </w:r>
      <w:r w:rsidR="002E7C0F" w:rsidRPr="00EA38DE">
        <w:rPr>
          <w:rFonts w:ascii="Times New Roman" w:hAnsi="Times New Roman" w:cs="Times New Roman"/>
          <w:sz w:val="24"/>
          <w:szCs w:val="24"/>
        </w:rPr>
        <w:t>volatility</w:t>
      </w:r>
      <w:r w:rsidRPr="00EA38DE">
        <w:rPr>
          <w:rFonts w:ascii="Times New Roman" w:hAnsi="Times New Roman" w:cs="Times New Roman"/>
          <w:sz w:val="24"/>
          <w:szCs w:val="24"/>
        </w:rPr>
        <w:t xml:space="preserve"> have significantly affected shipping trade directly through the economic instability and uncertainty, and indirectly through the production system, investment and national policy (Nyunt, 2019). The fluctuation of exchange rate can cause currency appreciation or depreciation and this fluctuation makes it difficult for countries to trade. Between 1986 and 2022 there has been serious fluctuation of the exchange rate in Nigeria, this exchange rate </w:t>
      </w:r>
      <w:r w:rsidR="001C1677" w:rsidRPr="00EA38DE">
        <w:rPr>
          <w:rFonts w:ascii="Times New Roman" w:hAnsi="Times New Roman" w:cs="Times New Roman"/>
          <w:sz w:val="24"/>
          <w:szCs w:val="24"/>
        </w:rPr>
        <w:t>volatility</w:t>
      </w:r>
      <w:r w:rsidRPr="00EA38DE">
        <w:rPr>
          <w:rFonts w:ascii="Times New Roman" w:hAnsi="Times New Roman" w:cs="Times New Roman"/>
          <w:sz w:val="24"/>
          <w:szCs w:val="24"/>
        </w:rPr>
        <w:t xml:space="preserve"> was due to the implementation of the Structural Adjustment Program (SAP) that mandated deregulation of foreign exchange market and this deregulation resulted in the devaluation of the Nigerian naira. The primary aim of SAP was to diversify the production base of the economy with a significant positive bias for the production of agricultural exports and encourage exports</w:t>
      </w:r>
      <w:r w:rsidR="00193336" w:rsidRPr="00EA38DE">
        <w:rPr>
          <w:rFonts w:ascii="Times New Roman" w:hAnsi="Times New Roman" w:cs="Times New Roman"/>
          <w:sz w:val="24"/>
          <w:szCs w:val="24"/>
        </w:rPr>
        <w:t xml:space="preserve">, </w:t>
      </w:r>
      <w:r w:rsidRPr="00EA38DE">
        <w:rPr>
          <w:rFonts w:ascii="Times New Roman" w:hAnsi="Times New Roman" w:cs="Times New Roman"/>
          <w:sz w:val="24"/>
          <w:szCs w:val="24"/>
        </w:rPr>
        <w:t xml:space="preserve">Danladi, </w:t>
      </w:r>
      <w:r w:rsidR="00193336" w:rsidRPr="00EA38DE">
        <w:rPr>
          <w:rFonts w:ascii="Times New Roman" w:hAnsi="Times New Roman" w:cs="Times New Roman"/>
          <w:sz w:val="24"/>
          <w:szCs w:val="24"/>
        </w:rPr>
        <w:t>et al.</w:t>
      </w:r>
      <w:r w:rsidRPr="00EA38DE">
        <w:rPr>
          <w:rFonts w:ascii="Times New Roman" w:hAnsi="Times New Roman" w:cs="Times New Roman"/>
          <w:sz w:val="24"/>
          <w:szCs w:val="24"/>
        </w:rPr>
        <w:t xml:space="preserve"> </w:t>
      </w:r>
      <w:r w:rsidR="00193336" w:rsidRPr="00EA38DE">
        <w:rPr>
          <w:rFonts w:ascii="Times New Roman" w:hAnsi="Times New Roman" w:cs="Times New Roman"/>
          <w:sz w:val="24"/>
          <w:szCs w:val="24"/>
        </w:rPr>
        <w:t>(</w:t>
      </w:r>
      <w:r w:rsidRPr="00EA38DE">
        <w:rPr>
          <w:rFonts w:ascii="Times New Roman" w:hAnsi="Times New Roman" w:cs="Times New Roman"/>
          <w:sz w:val="24"/>
          <w:szCs w:val="24"/>
        </w:rPr>
        <w:t>2015).</w:t>
      </w:r>
    </w:p>
    <w:p w14:paraId="476C8748" w14:textId="747D9E86" w:rsidR="00CE2C02" w:rsidRPr="00EA38DE" w:rsidRDefault="003460F4" w:rsidP="00767B1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Exchange rate </w:t>
      </w:r>
      <w:r w:rsidR="00C16D6D"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in Nigeria have created uncertainty that negatively affects trade, increases the cost of imports, and leads to macroeconomic imbalances such as persistent balance of payments deficits. Despite various government policies, including the Structural Adjustment Program (SAP) introduced in 1986 to diversify the economy and promote exports through naira devaluation, these goals have not been fully achieved. The SAP resulted in higher import costs and limited export </w:t>
      </w:r>
      <w:r w:rsidRPr="00EA38DE">
        <w:rPr>
          <w:rFonts w:ascii="Times New Roman" w:eastAsia="Times New Roman" w:hAnsi="Times New Roman" w:cs="Times New Roman"/>
          <w:sz w:val="24"/>
          <w:szCs w:val="24"/>
        </w:rPr>
        <w:lastRenderedPageBreak/>
        <w:t>growth due to structural challenges. Consequently, exchange rate instability continues to undermine investor confidence and complicate economic policymaking (Nwachukwu &amp; Odii, 2023; Adeyemi, 2024; World Bank, 1994; IMF, 1991; CBN, 1992).</w:t>
      </w:r>
    </w:p>
    <w:p w14:paraId="12375E7D" w14:textId="24CF3062" w:rsidR="00DE4B2B" w:rsidRPr="00EA38DE" w:rsidRDefault="00DE4B2B" w:rsidP="00DE4B2B">
      <w:pPr>
        <w:spacing w:after="0" w:line="480" w:lineRule="auto"/>
        <w:jc w:val="both"/>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2.</w:t>
      </w:r>
      <w:r w:rsidR="008451D7" w:rsidRPr="00EA38DE">
        <w:rPr>
          <w:rFonts w:ascii="Times New Roman" w:eastAsia="Times New Roman" w:hAnsi="Times New Roman" w:cs="Times New Roman"/>
          <w:b/>
          <w:bCs/>
          <w:sz w:val="24"/>
          <w:szCs w:val="24"/>
        </w:rPr>
        <w:t>3</w:t>
      </w:r>
      <w:r w:rsidRPr="00EA38DE">
        <w:rPr>
          <w:rFonts w:ascii="Times New Roman" w:eastAsia="Times New Roman" w:hAnsi="Times New Roman" w:cs="Times New Roman"/>
          <w:b/>
          <w:bCs/>
          <w:sz w:val="24"/>
          <w:szCs w:val="24"/>
        </w:rPr>
        <w:t>.</w:t>
      </w:r>
      <w:r w:rsidR="008451D7" w:rsidRPr="00EA38DE">
        <w:rPr>
          <w:rFonts w:ascii="Times New Roman" w:eastAsia="Times New Roman" w:hAnsi="Times New Roman" w:cs="Times New Roman"/>
          <w:b/>
          <w:bCs/>
          <w:sz w:val="24"/>
          <w:szCs w:val="24"/>
        </w:rPr>
        <w:t>1</w:t>
      </w:r>
      <w:r w:rsidR="008451D7" w:rsidRPr="00EA38DE">
        <w:rPr>
          <w:rFonts w:ascii="Times New Roman" w:eastAsia="Times New Roman" w:hAnsi="Times New Roman" w:cs="Times New Roman"/>
          <w:b/>
          <w:bCs/>
          <w:sz w:val="24"/>
          <w:szCs w:val="24"/>
        </w:rPr>
        <w:tab/>
      </w:r>
      <w:r w:rsidRPr="00EA38DE">
        <w:rPr>
          <w:rFonts w:ascii="Times New Roman" w:eastAsia="Times New Roman" w:hAnsi="Times New Roman" w:cs="Times New Roman"/>
          <w:b/>
          <w:bCs/>
          <w:sz w:val="24"/>
          <w:szCs w:val="24"/>
        </w:rPr>
        <w:t xml:space="preserve">Literature Review </w:t>
      </w:r>
      <w:r w:rsidR="00064934" w:rsidRPr="00EA38DE">
        <w:rPr>
          <w:rFonts w:ascii="Times New Roman" w:eastAsia="Times New Roman" w:hAnsi="Times New Roman" w:cs="Times New Roman"/>
          <w:b/>
          <w:bCs/>
          <w:sz w:val="24"/>
          <w:szCs w:val="24"/>
        </w:rPr>
        <w:t>on</w:t>
      </w:r>
      <w:r w:rsidRPr="00EA38DE">
        <w:rPr>
          <w:rFonts w:ascii="Times New Roman" w:eastAsia="Times New Roman" w:hAnsi="Times New Roman" w:cs="Times New Roman"/>
          <w:b/>
          <w:bCs/>
          <w:sz w:val="24"/>
          <w:szCs w:val="24"/>
        </w:rPr>
        <w:t xml:space="preserve"> Control Variables</w:t>
      </w:r>
    </w:p>
    <w:p w14:paraId="37EB2AF3" w14:textId="05D8E141" w:rsidR="00DE4B2B" w:rsidRPr="00EA38DE" w:rsidRDefault="00DE4B2B" w:rsidP="00DE4B2B">
      <w:pPr>
        <w:pStyle w:val="NormalWeb"/>
        <w:spacing w:before="0" w:beforeAutospacing="0" w:after="0" w:afterAutospacing="0" w:line="480" w:lineRule="auto"/>
        <w:jc w:val="both"/>
        <w:rPr>
          <w:b/>
          <w:bCs/>
        </w:rPr>
      </w:pPr>
      <w:r w:rsidRPr="00EA38DE">
        <w:rPr>
          <w:b/>
          <w:bCs/>
        </w:rPr>
        <w:t>2.</w:t>
      </w:r>
      <w:r w:rsidR="008451D7" w:rsidRPr="00EA38DE">
        <w:rPr>
          <w:b/>
          <w:bCs/>
        </w:rPr>
        <w:t>3</w:t>
      </w:r>
      <w:r w:rsidR="00F543C0" w:rsidRPr="00EA38DE">
        <w:rPr>
          <w:b/>
          <w:bCs/>
        </w:rPr>
        <w:t>.</w:t>
      </w:r>
      <w:r w:rsidR="00B36AFB" w:rsidRPr="00EA38DE">
        <w:rPr>
          <w:b/>
          <w:bCs/>
        </w:rPr>
        <w:t>1.1</w:t>
      </w:r>
      <w:r w:rsidR="008451D7" w:rsidRPr="00EA38DE">
        <w:rPr>
          <w:b/>
          <w:bCs/>
        </w:rPr>
        <w:tab/>
      </w:r>
      <w:r w:rsidRPr="00EA38DE">
        <w:rPr>
          <w:b/>
          <w:bCs/>
        </w:rPr>
        <w:t>Inflation Rate</w:t>
      </w:r>
    </w:p>
    <w:p w14:paraId="26AC8A78" w14:textId="027D3AD5" w:rsidR="00DE4B2B" w:rsidRPr="00EA38DE" w:rsidRDefault="00DE4B2B" w:rsidP="00DE4B2B">
      <w:pPr>
        <w:spacing w:after="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Inflation</w:t>
      </w:r>
      <w:r w:rsidR="00F543C0" w:rsidRPr="00EA38DE">
        <w:rPr>
          <w:rFonts w:ascii="Times New Roman" w:eastAsia="Times New Roman" w:hAnsi="Times New Roman" w:cs="Times New Roman"/>
          <w:sz w:val="24"/>
          <w:szCs w:val="24"/>
        </w:rPr>
        <w:t xml:space="preserve"> rate</w:t>
      </w:r>
      <w:r w:rsidRPr="00EA38DE">
        <w:rPr>
          <w:rFonts w:ascii="Times New Roman" w:eastAsia="Times New Roman" w:hAnsi="Times New Roman" w:cs="Times New Roman"/>
          <w:sz w:val="24"/>
          <w:szCs w:val="24"/>
        </w:rPr>
        <w:t>, commonly measured by the Consumer Price Index (CPI), captures changes in the general price level of goods and services over time. In Nigeria, persistent inflationary pressures have been driven by factors such as exchange rate depreciation, structural supply rigidities, and fiscal imbalances (Central Bank of Nigeria [CBN], 2024). The interaction between inflation and exchange rate volatility is particularly significant, as currency depreciation directly fuels import</w:t>
      </w:r>
      <w:r w:rsidR="0034303D"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driven inflation by increasing the cost of imported inputs such as vessels, spare parts, and bunker fuel (Ojo &amp; Olajide, 2019). This linkage creates a dual burden for shipping firms whose operational expenses are largely denominated in foreign currencies but whose revenues are mostly in naira. From the perspective of the blue economy, inflation undermines the sustainability of maritime activities by raising shipping costs, discouraging investment in port infrastructure, and eroding the real value of revenues generated from ocean throughput and maritime trade (World Bank, 2022). Inflation</w:t>
      </w:r>
      <w:r w:rsidR="00313550"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induced increases in shipping costs also reduce Nigeria’s competitiveness as a regional maritime hub, diverting cargo traffic to alternative ports in West Africa (Osho &amp; Fagbamila, 2022). These effects weaken the contribution of the maritime sector to the broader blue economy, which depends on efficient, cost-effective shipping services for sustainable growth.</w:t>
      </w:r>
    </w:p>
    <w:p w14:paraId="4448F27D" w14:textId="77777777" w:rsidR="00DE4B2B" w:rsidRPr="00EA38DE" w:rsidRDefault="00DE4B2B" w:rsidP="008451D7">
      <w:pPr>
        <w:spacing w:before="100" w:beforeAutospacing="1"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For the shipping industry’s financial performance, inflation exerts both direct and indirect effects. Directly, it increases operating costs and compresses profit margins when firms cannot fully transfer costs to shippers through higher freight rates. Indirectly, it reduces import demand by </w:t>
      </w:r>
      <w:r w:rsidRPr="00EA38DE">
        <w:rPr>
          <w:rFonts w:ascii="Times New Roman" w:eastAsia="Times New Roman" w:hAnsi="Times New Roman" w:cs="Times New Roman"/>
          <w:sz w:val="24"/>
          <w:szCs w:val="24"/>
        </w:rPr>
        <w:lastRenderedPageBreak/>
        <w:t>lowering consumer purchasing power, which in turn diminishes cargo throughput and port revenues (Ajayi &amp; Olayiwola, 2021). Moreover, the combined effect of exchange rate volatility and inflation creates uncertainty that complicates financial planning and investment decisions. Okene et al. (2021) argue that shipping companies often adopt defensive strategies such as reducing fleet expansion, delaying capital projects, or relying on short-term financing when faced with macroeconomic instability. This not only weakens financial sustainability but also undermines the sector’s ability to drive the blue economy agenda.</w:t>
      </w:r>
    </w:p>
    <w:p w14:paraId="77B91B62" w14:textId="464C1281" w:rsidR="00DE4B2B" w:rsidRPr="00EA38DE" w:rsidRDefault="00DE4B2B" w:rsidP="008451D7">
      <w:pPr>
        <w:pStyle w:val="NormalWeb"/>
        <w:spacing w:before="0" w:beforeAutospacing="0" w:after="160" w:afterAutospacing="0" w:line="480" w:lineRule="auto"/>
        <w:rPr>
          <w:b/>
          <w:bCs/>
        </w:rPr>
      </w:pPr>
      <w:r w:rsidRPr="00EA38DE">
        <w:rPr>
          <w:b/>
          <w:bCs/>
        </w:rPr>
        <w:t>2.3.</w:t>
      </w:r>
      <w:r w:rsidR="00B36AFB" w:rsidRPr="00EA38DE">
        <w:rPr>
          <w:b/>
          <w:bCs/>
        </w:rPr>
        <w:t>1.2</w:t>
      </w:r>
      <w:r w:rsidR="008451D7" w:rsidRPr="00EA38DE">
        <w:rPr>
          <w:b/>
          <w:bCs/>
        </w:rPr>
        <w:tab/>
      </w:r>
      <w:r w:rsidRPr="00EA38DE">
        <w:rPr>
          <w:b/>
          <w:bCs/>
        </w:rPr>
        <w:t>Labour Force</w:t>
      </w:r>
    </w:p>
    <w:p w14:paraId="5CB34B04" w14:textId="07F5A863" w:rsidR="00DE4B2B" w:rsidRPr="00EA38DE" w:rsidRDefault="00DE4B2B" w:rsidP="008451D7">
      <w:pPr>
        <w:pStyle w:val="NormalWeb"/>
        <w:spacing w:before="0" w:beforeAutospacing="0" w:after="160" w:afterAutospacing="0" w:line="480" w:lineRule="auto"/>
        <w:jc w:val="both"/>
      </w:pPr>
      <w:r w:rsidRPr="00EA38DE">
        <w:t xml:space="preserve">The labour force is a fundamental driver of productivity, efficiency, and financial sustainability in the shipping industry. A well-trained and motivated workforce enhances vessel turnaround times, reduces shipping costs, and ensures effective cargo handling, all of which improve the profitability of shipping firms and port authorities (Stopford, 2009). However, the capacity of the labour force to sustain these outcomes is often undermined by macroeconomic instability, particularly </w:t>
      </w:r>
      <w:r w:rsidRPr="00EA38DE">
        <w:rPr>
          <w:rStyle w:val="Strong"/>
          <w:rFonts w:eastAsiaTheme="majorEastAsia"/>
          <w:b w:val="0"/>
          <w:bCs w:val="0"/>
        </w:rPr>
        <w:t>exchange rate volatility</w:t>
      </w:r>
      <w:r w:rsidRPr="00EA38DE">
        <w:t xml:space="preserve"> and inflation.</w:t>
      </w:r>
      <w:r w:rsidR="00FB24BD" w:rsidRPr="00EA38DE">
        <w:t xml:space="preserve"> </w:t>
      </w:r>
      <w:r w:rsidRPr="00EA38DE">
        <w:t>Exchange rate volatility has a dual effect on the shipping labour market. On one hand, currency depreciation raises the cost of training, certification, and capacity-building programs for seafarers and port operators, most of which require foreign inputs or overseas courses (Olayiwola &amp; Ajayi, 2021). On the other hand, volatility increases wage pressures as workers demand higher pay to offset inflationary effects, raising personnel costs for shipping companies. In extreme cases, economic instability can trigger brain drain, with</w:t>
      </w:r>
      <w:r w:rsidR="00E60BD7" w:rsidRPr="00EA38DE">
        <w:t xml:space="preserve"> experienced</w:t>
      </w:r>
      <w:r w:rsidRPr="00EA38DE">
        <w:t xml:space="preserve"> Nigerian seafarers and maritime professionals seeking employment in foreign markets where wages are more stable and competitive (Akinola &amp; Adewumi, 2021).</w:t>
      </w:r>
    </w:p>
    <w:p w14:paraId="6551B7C3" w14:textId="77777777" w:rsidR="00DE4B2B" w:rsidRPr="00EA38DE" w:rsidRDefault="00DE4B2B" w:rsidP="00DE4B2B">
      <w:pPr>
        <w:pStyle w:val="NormalWeb"/>
        <w:spacing w:line="480" w:lineRule="auto"/>
        <w:jc w:val="both"/>
      </w:pPr>
      <w:r w:rsidRPr="00EA38DE">
        <w:lastRenderedPageBreak/>
        <w:t xml:space="preserve">Within the </w:t>
      </w:r>
      <w:r w:rsidRPr="00EA38DE">
        <w:rPr>
          <w:rStyle w:val="Strong"/>
          <w:rFonts w:eastAsiaTheme="majorEastAsia"/>
          <w:b w:val="0"/>
          <w:bCs w:val="0"/>
        </w:rPr>
        <w:t>blue economy framework</w:t>
      </w:r>
      <w:r w:rsidRPr="00EA38DE">
        <w:t>, human capital is recognized as a cornerstone for sustainable maritime development. A skilled labour force enhances the competitiveness of ports, supports efficient logistics chains, and contributes to the diversification of economic activities such as ship repair, fisheries, coastal tourism, and offshore oil and gas services (World Bank, 2022). However, when labour capacity is weakened by inadequate training, industrial disputes, or high turnover, the maritime sector struggles to contribute effectively to the blue economy agenda (Wu &amp; Yip, 2021).</w:t>
      </w:r>
    </w:p>
    <w:p w14:paraId="0B038F7B" w14:textId="77777777" w:rsidR="00DE4B2B" w:rsidRPr="00EA38DE" w:rsidRDefault="00DE4B2B" w:rsidP="008451D7">
      <w:pPr>
        <w:pStyle w:val="NormalWeb"/>
        <w:spacing w:after="240" w:afterAutospacing="0" w:line="480" w:lineRule="auto"/>
        <w:jc w:val="both"/>
      </w:pPr>
      <w:r w:rsidRPr="00EA38DE">
        <w:t xml:space="preserve">For the </w:t>
      </w:r>
      <w:r w:rsidRPr="00EA38DE">
        <w:rPr>
          <w:rStyle w:val="Strong"/>
          <w:rFonts w:eastAsiaTheme="majorEastAsia"/>
          <w:b w:val="0"/>
          <w:bCs w:val="0"/>
        </w:rPr>
        <w:t>financial performance of the shipping industry</w:t>
      </w:r>
      <w:r w:rsidRPr="00EA38DE">
        <w:t>, labour force dynamics manifest in both direct and indirect ways. Directly, skilled labour reduces operating costs by improving productivity and minimizing port delays, thereby boosting revenue and profitability. Indirectly, a competitive maritime workforce attracts foreign direct investment, increases cargo throughput, and strengthens port revenues (Nwokolo &amp; Ekong, 2020). When labour productivity is weak or industrial conflicts are frequent, shipping companies face increased demurrage costs and operational inefficiencies, ultimately lowering port revenue and reducing net profit margins (Okeke &amp; Onyema, 2022).</w:t>
      </w:r>
    </w:p>
    <w:p w14:paraId="0CA42DDF" w14:textId="2AC0F827" w:rsidR="00DE4B2B" w:rsidRPr="00EA38DE" w:rsidRDefault="00DE4B2B" w:rsidP="00FB24BD">
      <w:pPr>
        <w:spacing w:after="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w:t>
      </w:r>
      <w:r w:rsidR="00B36AFB" w:rsidRPr="00EA38DE">
        <w:rPr>
          <w:rFonts w:ascii="Times New Roman" w:hAnsi="Times New Roman" w:cs="Times New Roman"/>
          <w:b/>
          <w:bCs/>
          <w:sz w:val="24"/>
          <w:szCs w:val="24"/>
        </w:rPr>
        <w:t>3</w:t>
      </w:r>
      <w:r w:rsidRPr="00EA38DE">
        <w:rPr>
          <w:rFonts w:ascii="Times New Roman" w:hAnsi="Times New Roman" w:cs="Times New Roman"/>
          <w:b/>
          <w:bCs/>
          <w:sz w:val="24"/>
          <w:szCs w:val="24"/>
        </w:rPr>
        <w:t>.</w:t>
      </w:r>
      <w:r w:rsidR="00B36AFB" w:rsidRPr="00EA38DE">
        <w:rPr>
          <w:rFonts w:ascii="Times New Roman" w:hAnsi="Times New Roman" w:cs="Times New Roman"/>
          <w:b/>
          <w:bCs/>
          <w:sz w:val="24"/>
          <w:szCs w:val="24"/>
        </w:rPr>
        <w:t>1.3</w:t>
      </w:r>
      <w:r w:rsidR="00B36AFB" w:rsidRPr="00EA38DE">
        <w:rPr>
          <w:rFonts w:ascii="Times New Roman" w:hAnsi="Times New Roman" w:cs="Times New Roman"/>
          <w:b/>
          <w:bCs/>
          <w:sz w:val="24"/>
          <w:szCs w:val="24"/>
        </w:rPr>
        <w:tab/>
      </w:r>
      <w:r w:rsidRPr="00EA38DE">
        <w:rPr>
          <w:rFonts w:ascii="Times New Roman" w:hAnsi="Times New Roman" w:cs="Times New Roman"/>
          <w:b/>
          <w:bCs/>
          <w:sz w:val="24"/>
          <w:szCs w:val="24"/>
        </w:rPr>
        <w:t>Trade Freedom</w:t>
      </w:r>
    </w:p>
    <w:p w14:paraId="08102C9D" w14:textId="42BC61F9" w:rsidR="00DE4B2B" w:rsidRPr="00EA38DE" w:rsidRDefault="00DE4B2B" w:rsidP="00FB24BD">
      <w:pPr>
        <w:pStyle w:val="NormalWeb"/>
        <w:spacing w:after="0" w:afterAutospacing="0" w:line="480" w:lineRule="auto"/>
        <w:jc w:val="both"/>
      </w:pPr>
      <w:r w:rsidRPr="00EA38DE">
        <w:t xml:space="preserve">Trade freedom, a component of economic freedom, refers to the absence of tariff and non-tariff barriers that hinder the free flow of goods and services across borders. It is typically measured by indices such as the </w:t>
      </w:r>
      <w:r w:rsidRPr="00EA38DE">
        <w:rPr>
          <w:rStyle w:val="Strong"/>
          <w:rFonts w:eastAsiaTheme="majorEastAsia"/>
          <w:b w:val="0"/>
          <w:bCs w:val="0"/>
        </w:rPr>
        <w:t>Heritage Foundation’s Trade Freedom Index</w:t>
      </w:r>
      <w:r w:rsidRPr="00EA38DE">
        <w:t>, which captures tariff rates, customs efficiency, and trade restrictions. In an open economy, higher trade freedom stimulates international trade, fosters competitiveness, and enhances the contribution of maritime activities to national economic growth (Heritage Foundation, 2023).</w:t>
      </w:r>
      <w:r w:rsidR="00FB24BD" w:rsidRPr="00EA38DE">
        <w:t xml:space="preserve"> </w:t>
      </w:r>
      <w:r w:rsidRPr="00EA38DE">
        <w:t xml:space="preserve">From a theoretical perspective, trade freedom influences shipping industry performance through </w:t>
      </w:r>
      <w:r w:rsidRPr="00EA38DE">
        <w:rPr>
          <w:rStyle w:val="Strong"/>
          <w:rFonts w:eastAsiaTheme="majorEastAsia"/>
          <w:b w:val="0"/>
          <w:bCs w:val="0"/>
        </w:rPr>
        <w:t>trade volumes, cargo throughput, and port revenues</w:t>
      </w:r>
      <w:r w:rsidRPr="00EA38DE">
        <w:rPr>
          <w:b/>
          <w:bCs/>
        </w:rPr>
        <w:t>.</w:t>
      </w:r>
      <w:r w:rsidRPr="00EA38DE">
        <w:t xml:space="preserve"> Liberal trade policies expand market access and increase shipping demand, which </w:t>
      </w:r>
      <w:r w:rsidRPr="00EA38DE">
        <w:lastRenderedPageBreak/>
        <w:t>directly improves the financial performance of maritime firms. However, restrictive trade measures or weak trade freedom undermine shipping by constraining volumes, raising transaction costs, and discouraging foreign direct investment (Rodrigue &amp; Notteboom, 2020).</w:t>
      </w:r>
    </w:p>
    <w:p w14:paraId="6F8C2CD8" w14:textId="77777777" w:rsidR="00DE4B2B" w:rsidRPr="00EA38DE" w:rsidRDefault="00DE4B2B" w:rsidP="00DE4B2B">
      <w:pPr>
        <w:pStyle w:val="NormalWeb"/>
        <w:spacing w:line="480" w:lineRule="auto"/>
        <w:jc w:val="both"/>
      </w:pPr>
      <w:r w:rsidRPr="00EA38DE">
        <w:t xml:space="preserve">In Nigeria, the benefits of trade freedom are often eroded by macroeconomic instability, particularly </w:t>
      </w:r>
      <w:r w:rsidRPr="00EA38DE">
        <w:rPr>
          <w:rStyle w:val="Strong"/>
          <w:rFonts w:eastAsiaTheme="majorEastAsia"/>
          <w:b w:val="0"/>
          <w:bCs w:val="0"/>
        </w:rPr>
        <w:t>exchange rate volatility</w:t>
      </w:r>
      <w:r w:rsidRPr="00EA38DE">
        <w:t>. A depreciating and unstable naira discourages importers and exporters by raising transaction risks and inflating costs of cross-border trade, thereby limiting the positive impact of liberal trade policies (Osho &amp; Fagbamila, 2022). High trade costs linked to exchange rate volatility reduce cargo traffic at Nigerian ports and weaken the financial performance of shipping companies. Although, trade freedom has the potential to boost shipping revenues, its practical impact is often undermined by exchange rate instability and persistent inflationary pressures.</w:t>
      </w:r>
    </w:p>
    <w:p w14:paraId="1DE2766A" w14:textId="77777777" w:rsidR="00B36AFB" w:rsidRPr="00EA38DE" w:rsidRDefault="00DE4B2B" w:rsidP="00B36AFB">
      <w:pPr>
        <w:pStyle w:val="NormalWeb"/>
        <w:spacing w:line="480" w:lineRule="auto"/>
        <w:jc w:val="both"/>
      </w:pPr>
      <w:r w:rsidRPr="00EA38DE">
        <w:t xml:space="preserve">Within the </w:t>
      </w:r>
      <w:r w:rsidRPr="00EA38DE">
        <w:rPr>
          <w:rStyle w:val="Strong"/>
          <w:rFonts w:eastAsiaTheme="majorEastAsia"/>
          <w:b w:val="0"/>
          <w:bCs w:val="0"/>
        </w:rPr>
        <w:t>blue economy framework</w:t>
      </w:r>
      <w:r w:rsidRPr="00EA38DE">
        <w:t>, trade freedom is essential for integrating maritime transport with fisheries, offshore energy, marine tourism, and coastal industries. Liberalized trade regimes attract investment in maritime infrastructure and stimulate demand for shipping services, enabling ports to serve as regional trade hubs (World Bank, 2022). However, in Nigeria, excessive reliance on import tariffs, customs bottlenecks, and restrictive trade practices have limited the potential of the blue economy to generate sustainab</w:t>
      </w:r>
      <w:r w:rsidR="00B36AFB" w:rsidRPr="00EA38DE">
        <w:t>le growth (Okene et al., 2021).</w:t>
      </w:r>
    </w:p>
    <w:p w14:paraId="4E9BA890" w14:textId="77777777" w:rsidR="00B36AFB" w:rsidRPr="00EA38DE" w:rsidRDefault="00B36AFB" w:rsidP="00B36AFB">
      <w:pPr>
        <w:pStyle w:val="NormalWeb"/>
        <w:spacing w:line="480" w:lineRule="auto"/>
        <w:jc w:val="both"/>
        <w:rPr>
          <w:b/>
        </w:rPr>
      </w:pPr>
      <w:r w:rsidRPr="00EA38DE">
        <w:rPr>
          <w:b/>
        </w:rPr>
        <w:t>2.3.2</w:t>
      </w:r>
      <w:r w:rsidRPr="00EA38DE">
        <w:rPr>
          <w:b/>
        </w:rPr>
        <w:tab/>
        <w:t xml:space="preserve">Conceptual Model </w:t>
      </w:r>
    </w:p>
    <w:p w14:paraId="785D2F10" w14:textId="449E7567" w:rsidR="00B36AFB" w:rsidRPr="00EA38DE" w:rsidRDefault="00B36AFB" w:rsidP="00B36AFB">
      <w:pPr>
        <w:pStyle w:val="NormalWeb"/>
        <w:spacing w:line="480" w:lineRule="auto"/>
        <w:jc w:val="both"/>
      </w:pPr>
      <w:r w:rsidRPr="00EA38DE">
        <w:t>The term conceptual model is the hypothesized model under study that shows the relationship between the dependent and independent variables. In view of this, the conceptual models which was used for this study are stated below:</w:t>
      </w:r>
      <w:r w:rsidRPr="00EA38DE">
        <w:rPr>
          <w:b/>
        </w:rPr>
        <w:br w:type="page"/>
      </w:r>
    </w:p>
    <w:p w14:paraId="766EC8AE" w14:textId="4CF01763" w:rsidR="0084275B" w:rsidRPr="00EA38DE" w:rsidRDefault="00B36AFB" w:rsidP="00767B17">
      <w:pPr>
        <w:spacing w:line="480" w:lineRule="auto"/>
        <w:jc w:val="both"/>
        <w:rPr>
          <w:rFonts w:ascii="Times New Roman" w:hAnsi="Times New Roman" w:cs="Times New Roman"/>
          <w:sz w:val="24"/>
          <w:szCs w:val="24"/>
        </w:rPr>
      </w:pPr>
      <w:r w:rsidRPr="00EA38DE">
        <w:rPr>
          <w:rFonts w:ascii="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4D777F6D" wp14:editId="7001C913">
                <wp:simplePos x="0" y="0"/>
                <wp:positionH relativeFrom="margin">
                  <wp:align>center</wp:align>
                </wp:positionH>
                <wp:positionV relativeFrom="paragraph">
                  <wp:posOffset>53975</wp:posOffset>
                </wp:positionV>
                <wp:extent cx="7172325" cy="4834255"/>
                <wp:effectExtent l="0" t="0" r="9525" b="4445"/>
                <wp:wrapNone/>
                <wp:docPr id="3" name="Group 3"/>
                <wp:cNvGraphicFramePr/>
                <a:graphic xmlns:a="http://schemas.openxmlformats.org/drawingml/2006/main">
                  <a:graphicData uri="http://schemas.microsoft.com/office/word/2010/wordprocessingGroup">
                    <wpg:wgp>
                      <wpg:cNvGrpSpPr/>
                      <wpg:grpSpPr>
                        <a:xfrm>
                          <a:off x="0" y="0"/>
                          <a:ext cx="7172325" cy="4834255"/>
                          <a:chOff x="0" y="0"/>
                          <a:chExt cx="7172325" cy="4834255"/>
                        </a:xfrm>
                      </wpg:grpSpPr>
                      <pic:pic xmlns:pic="http://schemas.openxmlformats.org/drawingml/2006/picture">
                        <pic:nvPicPr>
                          <pic:cNvPr id="2" name="Picture 2" descr="C:\Users\Karo Pc1\Desktop\MINA.jpg"/>
                          <pic:cNvPicPr>
                            <a:picLocks noChangeAspect="1"/>
                          </pic:cNvPicPr>
                        </pic:nvPicPr>
                        <pic:blipFill rotWithShape="1">
                          <a:blip r:embed="rId8" cstate="print">
                            <a:extLst>
                              <a:ext uri="{28A0092B-C50C-407E-A947-70E740481C1C}">
                                <a14:useLocalDpi xmlns:a14="http://schemas.microsoft.com/office/drawing/2010/main" val="0"/>
                              </a:ext>
                            </a:extLst>
                          </a:blip>
                          <a:srcRect b="4756"/>
                          <a:stretch/>
                        </pic:blipFill>
                        <pic:spPr bwMode="auto">
                          <a:xfrm>
                            <a:off x="0" y="0"/>
                            <a:ext cx="7172325" cy="4834255"/>
                          </a:xfrm>
                          <a:prstGeom prst="rect">
                            <a:avLst/>
                          </a:prstGeom>
                          <a:noFill/>
                          <a:ln>
                            <a:noFill/>
                          </a:ln>
                          <a:extLst>
                            <a:ext uri="{53640926-AAD7-44D8-BBD7-CCE9431645EC}">
                              <a14:shadowObscured xmlns:a14="http://schemas.microsoft.com/office/drawing/2010/main"/>
                            </a:ext>
                          </a:extLst>
                        </pic:spPr>
                      </pic:pic>
                      <wps:wsp>
                        <wps:cNvPr id="1" name="Text Box 1"/>
                        <wps:cNvSpPr txBox="1"/>
                        <wps:spPr>
                          <a:xfrm>
                            <a:off x="1188720" y="3922769"/>
                            <a:ext cx="1389888" cy="574806"/>
                          </a:xfrm>
                          <a:prstGeom prst="rect">
                            <a:avLst/>
                          </a:prstGeom>
                          <a:solidFill>
                            <a:schemeClr val="bg1"/>
                          </a:solidFill>
                          <a:ln w="6350">
                            <a:noFill/>
                          </a:ln>
                        </wps:spPr>
                        <wps:txbx>
                          <w:txbxContent>
                            <w:p w14:paraId="567B805F" w14:textId="0D46587A" w:rsidR="00252AD8" w:rsidRPr="000465AA" w:rsidRDefault="00252AD8" w:rsidP="00FA32C5">
                              <w:pPr>
                                <w:pStyle w:val="ListParagraph"/>
                                <w:numPr>
                                  <w:ilvl w:val="0"/>
                                  <w:numId w:val="7"/>
                                </w:numPr>
                                <w:ind w:left="180" w:hanging="180"/>
                                <w:rPr>
                                  <w:rFonts w:ascii="Arial" w:hAnsi="Arial" w:cs="Arial"/>
                                  <w:b/>
                                  <w:sz w:val="19"/>
                                  <w:szCs w:val="23"/>
                                </w:rPr>
                              </w:pPr>
                              <w:r w:rsidRPr="000465AA">
                                <w:rPr>
                                  <w:rFonts w:ascii="Arial" w:hAnsi="Arial" w:cs="Arial"/>
                                  <w:b/>
                                  <w:sz w:val="19"/>
                                  <w:szCs w:val="23"/>
                                </w:rPr>
                                <w:t>Inflation Rate</w:t>
                              </w:r>
                            </w:p>
                            <w:p w14:paraId="5EBCEA21" w14:textId="5B60E244" w:rsidR="00252AD8" w:rsidRPr="000465AA" w:rsidRDefault="00252AD8" w:rsidP="00FA32C5">
                              <w:pPr>
                                <w:pStyle w:val="ListParagraph"/>
                                <w:numPr>
                                  <w:ilvl w:val="0"/>
                                  <w:numId w:val="7"/>
                                </w:numPr>
                                <w:ind w:left="180" w:hanging="180"/>
                                <w:rPr>
                                  <w:rFonts w:ascii="Arial" w:hAnsi="Arial" w:cs="Arial"/>
                                  <w:b/>
                                  <w:sz w:val="19"/>
                                  <w:szCs w:val="23"/>
                                </w:rPr>
                              </w:pPr>
                              <w:r w:rsidRPr="000465AA">
                                <w:rPr>
                                  <w:rFonts w:ascii="Arial" w:hAnsi="Arial" w:cs="Arial"/>
                                  <w:b/>
                                  <w:sz w:val="19"/>
                                  <w:szCs w:val="23"/>
                                </w:rPr>
                                <w:t>Trade Freedom</w:t>
                              </w:r>
                            </w:p>
                            <w:p w14:paraId="2ED538D9" w14:textId="1CE68974" w:rsidR="00252AD8" w:rsidRPr="000465AA" w:rsidRDefault="00252AD8" w:rsidP="00FA32C5">
                              <w:pPr>
                                <w:pStyle w:val="ListParagraph"/>
                                <w:numPr>
                                  <w:ilvl w:val="0"/>
                                  <w:numId w:val="7"/>
                                </w:numPr>
                                <w:ind w:left="180" w:hanging="180"/>
                                <w:rPr>
                                  <w:rFonts w:ascii="Arial" w:hAnsi="Arial" w:cs="Arial"/>
                                  <w:b/>
                                  <w:sz w:val="19"/>
                                  <w:szCs w:val="23"/>
                                </w:rPr>
                              </w:pPr>
                              <w:r w:rsidRPr="000465AA">
                                <w:rPr>
                                  <w:rFonts w:ascii="Arial" w:hAnsi="Arial" w:cs="Arial"/>
                                  <w:b/>
                                  <w:sz w:val="19"/>
                                  <w:szCs w:val="23"/>
                                </w:rPr>
                                <w:t>Labour Force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777F6D" id="Group 3" o:spid="_x0000_s1026" style="position:absolute;left:0;text-align:left;margin-left:0;margin-top:4.25pt;width:564.75pt;height:380.65pt;z-index:251659264;mso-position-horizontal:center;mso-position-horizontal-relative:margin" coordsize="71723,483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4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kb/gvP/wAoeP2gv+yfXH/oyOu7/wCCUn/KLz9m/wD7IJ4P&#10;/wDTLaVwn/Bef/lDx+0F/wBk+uP/AEZHXd/8EpP+UXn7N/8A2QTwf/6ZbSgD36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1723;height:48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">
                  <v:imagedata r:id="rId9" o:title="MINA" cropbottom="3117f"/>
                </v:shape>
                <v:shapetype id="_x0000_t202" coordsize="21600,21600" o:spt="202" path="m,l,21600r21600,l21600,xe">
                  <v:stroke joinstyle="miter"/>
                  <v:path gradientshapeok="t" o:connecttype="rect"/>
                </v:shapetype>
                <v:shape id="Text Box 1" o:spid="_x0000_s1028" type="#_x0000_t202" style="position:absolute;left:11887;top:39227;width:13899;height: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" fillcolor="white [3212]" stroked="f" strokeweight=".5pt">
                  <v:textbox>
                    <w:txbxContent>
                      <w:p w14:paraId="567B805F" w14:textId="0D46587A" w:rsidR="00252AD8" w:rsidRPr="000465AA" w:rsidRDefault="00252AD8" w:rsidP="00FA32C5">
                        <w:pPr>
                          <w:pStyle w:val="ListParagraph"/>
                          <w:numPr>
                            <w:ilvl w:val="0"/>
                            <w:numId w:val="7"/>
                          </w:numPr>
                          <w:ind w:left="180" w:hanging="180"/>
                          <w:rPr>
                            <w:rFonts w:ascii="Arial" w:hAnsi="Arial" w:cs="Arial"/>
                            <w:b/>
                            <w:sz w:val="19"/>
                            <w:szCs w:val="23"/>
                          </w:rPr>
                        </w:pPr>
                        <w:r w:rsidRPr="000465AA">
                          <w:rPr>
                            <w:rFonts w:ascii="Arial" w:hAnsi="Arial" w:cs="Arial"/>
                            <w:b/>
                            <w:sz w:val="19"/>
                            <w:szCs w:val="23"/>
                          </w:rPr>
                          <w:t>Inflation Rate</w:t>
                        </w:r>
                      </w:p>
                      <w:p w14:paraId="5EBCEA21" w14:textId="5B60E244" w:rsidR="00252AD8" w:rsidRPr="000465AA" w:rsidRDefault="00252AD8" w:rsidP="00FA32C5">
                        <w:pPr>
                          <w:pStyle w:val="ListParagraph"/>
                          <w:numPr>
                            <w:ilvl w:val="0"/>
                            <w:numId w:val="7"/>
                          </w:numPr>
                          <w:ind w:left="180" w:hanging="180"/>
                          <w:rPr>
                            <w:rFonts w:ascii="Arial" w:hAnsi="Arial" w:cs="Arial"/>
                            <w:b/>
                            <w:sz w:val="19"/>
                            <w:szCs w:val="23"/>
                          </w:rPr>
                        </w:pPr>
                        <w:r w:rsidRPr="000465AA">
                          <w:rPr>
                            <w:rFonts w:ascii="Arial" w:hAnsi="Arial" w:cs="Arial"/>
                            <w:b/>
                            <w:sz w:val="19"/>
                            <w:szCs w:val="23"/>
                          </w:rPr>
                          <w:t>Trade Freedom</w:t>
                        </w:r>
                      </w:p>
                      <w:p w14:paraId="2ED538D9" w14:textId="1CE68974" w:rsidR="00252AD8" w:rsidRPr="000465AA" w:rsidRDefault="00252AD8" w:rsidP="00FA32C5">
                        <w:pPr>
                          <w:pStyle w:val="ListParagraph"/>
                          <w:numPr>
                            <w:ilvl w:val="0"/>
                            <w:numId w:val="7"/>
                          </w:numPr>
                          <w:ind w:left="180" w:hanging="180"/>
                          <w:rPr>
                            <w:rFonts w:ascii="Arial" w:hAnsi="Arial" w:cs="Arial"/>
                            <w:b/>
                            <w:sz w:val="19"/>
                            <w:szCs w:val="23"/>
                          </w:rPr>
                        </w:pPr>
                        <w:r w:rsidRPr="000465AA">
                          <w:rPr>
                            <w:rFonts w:ascii="Arial" w:hAnsi="Arial" w:cs="Arial"/>
                            <w:b/>
                            <w:sz w:val="19"/>
                            <w:szCs w:val="23"/>
                          </w:rPr>
                          <w:t>Labour Force</w:t>
                        </w:r>
                      </w:p>
                    </w:txbxContent>
                  </v:textbox>
                </v:shape>
                <w10:wrap anchorx="margin"/>
              </v:group>
            </w:pict>
          </mc:Fallback>
        </mc:AlternateContent>
      </w:r>
    </w:p>
    <w:p w14:paraId="1315BA24" w14:textId="03F0EE3C" w:rsidR="0084275B" w:rsidRPr="00EA38DE" w:rsidRDefault="0084275B" w:rsidP="0084275B">
      <w:pPr>
        <w:spacing w:after="0" w:line="240" w:lineRule="auto"/>
        <w:jc w:val="both"/>
        <w:rPr>
          <w:rFonts w:ascii="Times New Roman" w:hAnsi="Times New Roman" w:cs="Times New Roman"/>
          <w:sz w:val="24"/>
          <w:szCs w:val="24"/>
        </w:rPr>
      </w:pPr>
    </w:p>
    <w:p w14:paraId="7B83F4D4" w14:textId="306737E7" w:rsidR="0068523C" w:rsidRPr="00EA38DE" w:rsidRDefault="0068523C" w:rsidP="0084275B">
      <w:pPr>
        <w:spacing w:after="0" w:line="240" w:lineRule="auto"/>
        <w:jc w:val="both"/>
        <w:rPr>
          <w:rFonts w:ascii="Times New Roman" w:hAnsi="Times New Roman" w:cs="Times New Roman"/>
          <w:sz w:val="24"/>
          <w:szCs w:val="24"/>
        </w:rPr>
      </w:pPr>
    </w:p>
    <w:p w14:paraId="03487B4E" w14:textId="55D53AE1" w:rsidR="0068523C" w:rsidRPr="00EA38DE" w:rsidRDefault="0068523C" w:rsidP="0084275B">
      <w:pPr>
        <w:spacing w:after="0" w:line="240" w:lineRule="auto"/>
        <w:jc w:val="both"/>
        <w:rPr>
          <w:rFonts w:ascii="Times New Roman" w:hAnsi="Times New Roman" w:cs="Times New Roman"/>
          <w:sz w:val="24"/>
          <w:szCs w:val="24"/>
        </w:rPr>
      </w:pPr>
    </w:p>
    <w:p w14:paraId="363C8C0F" w14:textId="2508E9E2" w:rsidR="0068523C" w:rsidRPr="00EA38DE" w:rsidRDefault="0068523C" w:rsidP="0084275B">
      <w:pPr>
        <w:spacing w:after="0" w:line="240" w:lineRule="auto"/>
        <w:jc w:val="both"/>
        <w:rPr>
          <w:rFonts w:ascii="Times New Roman" w:hAnsi="Times New Roman" w:cs="Times New Roman"/>
          <w:sz w:val="24"/>
          <w:szCs w:val="24"/>
        </w:rPr>
      </w:pPr>
    </w:p>
    <w:p w14:paraId="62014C88" w14:textId="7D2B99B1" w:rsidR="0068523C" w:rsidRPr="00EA38DE" w:rsidRDefault="0068523C" w:rsidP="0084275B">
      <w:pPr>
        <w:spacing w:after="0" w:line="240" w:lineRule="auto"/>
        <w:jc w:val="both"/>
        <w:rPr>
          <w:rFonts w:ascii="Times New Roman" w:hAnsi="Times New Roman" w:cs="Times New Roman"/>
          <w:sz w:val="24"/>
          <w:szCs w:val="24"/>
        </w:rPr>
      </w:pPr>
    </w:p>
    <w:p w14:paraId="0CB40507" w14:textId="327AD637" w:rsidR="0068523C" w:rsidRPr="00EA38DE" w:rsidRDefault="0068523C" w:rsidP="0084275B">
      <w:pPr>
        <w:spacing w:after="0" w:line="240" w:lineRule="auto"/>
        <w:jc w:val="both"/>
        <w:rPr>
          <w:rFonts w:ascii="Times New Roman" w:hAnsi="Times New Roman" w:cs="Times New Roman"/>
          <w:sz w:val="24"/>
          <w:szCs w:val="24"/>
        </w:rPr>
      </w:pPr>
    </w:p>
    <w:p w14:paraId="2D78C99C" w14:textId="1EF28AEE" w:rsidR="0068523C" w:rsidRPr="00EA38DE" w:rsidRDefault="0068523C" w:rsidP="0084275B">
      <w:pPr>
        <w:spacing w:after="0" w:line="240" w:lineRule="auto"/>
        <w:jc w:val="both"/>
        <w:rPr>
          <w:rFonts w:ascii="Times New Roman" w:hAnsi="Times New Roman" w:cs="Times New Roman"/>
          <w:sz w:val="24"/>
          <w:szCs w:val="24"/>
        </w:rPr>
      </w:pPr>
    </w:p>
    <w:p w14:paraId="59C87F56" w14:textId="19457C4D" w:rsidR="0068523C" w:rsidRPr="00EA38DE" w:rsidRDefault="0068523C" w:rsidP="0084275B">
      <w:pPr>
        <w:spacing w:after="0" w:line="240" w:lineRule="auto"/>
        <w:jc w:val="both"/>
        <w:rPr>
          <w:rFonts w:ascii="Times New Roman" w:hAnsi="Times New Roman" w:cs="Times New Roman"/>
          <w:sz w:val="24"/>
          <w:szCs w:val="24"/>
        </w:rPr>
      </w:pPr>
    </w:p>
    <w:p w14:paraId="19BE531E" w14:textId="26978328" w:rsidR="0068523C" w:rsidRPr="00EA38DE" w:rsidRDefault="0068523C" w:rsidP="0084275B">
      <w:pPr>
        <w:spacing w:after="0" w:line="240" w:lineRule="auto"/>
        <w:jc w:val="both"/>
        <w:rPr>
          <w:rFonts w:ascii="Times New Roman" w:hAnsi="Times New Roman" w:cs="Times New Roman"/>
          <w:sz w:val="24"/>
          <w:szCs w:val="24"/>
        </w:rPr>
      </w:pPr>
    </w:p>
    <w:p w14:paraId="1D8F6DCD" w14:textId="6495B800" w:rsidR="0068523C" w:rsidRPr="00EA38DE" w:rsidRDefault="0068523C" w:rsidP="0084275B">
      <w:pPr>
        <w:spacing w:after="0" w:line="240" w:lineRule="auto"/>
        <w:jc w:val="both"/>
        <w:rPr>
          <w:rFonts w:ascii="Times New Roman" w:hAnsi="Times New Roman" w:cs="Times New Roman"/>
          <w:sz w:val="24"/>
          <w:szCs w:val="24"/>
        </w:rPr>
      </w:pPr>
    </w:p>
    <w:p w14:paraId="5EC0CDF0" w14:textId="20487F00" w:rsidR="0068523C" w:rsidRPr="00EA38DE" w:rsidRDefault="0068523C" w:rsidP="0084275B">
      <w:pPr>
        <w:spacing w:after="0" w:line="240" w:lineRule="auto"/>
        <w:jc w:val="both"/>
        <w:rPr>
          <w:rFonts w:ascii="Times New Roman" w:hAnsi="Times New Roman" w:cs="Times New Roman"/>
          <w:sz w:val="24"/>
          <w:szCs w:val="24"/>
        </w:rPr>
      </w:pPr>
    </w:p>
    <w:p w14:paraId="59127E89" w14:textId="7EAD8DAF" w:rsidR="0068523C" w:rsidRPr="00EA38DE" w:rsidRDefault="0068523C" w:rsidP="0084275B">
      <w:pPr>
        <w:spacing w:after="0" w:line="240" w:lineRule="auto"/>
        <w:jc w:val="both"/>
        <w:rPr>
          <w:rFonts w:ascii="Times New Roman" w:hAnsi="Times New Roman" w:cs="Times New Roman"/>
          <w:sz w:val="24"/>
          <w:szCs w:val="24"/>
        </w:rPr>
      </w:pPr>
    </w:p>
    <w:p w14:paraId="49AD3F2C" w14:textId="249471DB" w:rsidR="0068523C" w:rsidRPr="00EA38DE" w:rsidRDefault="0068523C" w:rsidP="0084275B">
      <w:pPr>
        <w:spacing w:after="0" w:line="240" w:lineRule="auto"/>
        <w:jc w:val="both"/>
        <w:rPr>
          <w:rFonts w:ascii="Times New Roman" w:hAnsi="Times New Roman" w:cs="Times New Roman"/>
          <w:sz w:val="24"/>
          <w:szCs w:val="24"/>
        </w:rPr>
      </w:pPr>
    </w:p>
    <w:p w14:paraId="6DE09F4B" w14:textId="79F5978F" w:rsidR="0068523C" w:rsidRPr="00EA38DE" w:rsidRDefault="0068523C" w:rsidP="0084275B">
      <w:pPr>
        <w:spacing w:after="0" w:line="240" w:lineRule="auto"/>
        <w:jc w:val="both"/>
        <w:rPr>
          <w:rFonts w:ascii="Times New Roman" w:hAnsi="Times New Roman" w:cs="Times New Roman"/>
          <w:sz w:val="24"/>
          <w:szCs w:val="24"/>
        </w:rPr>
      </w:pPr>
    </w:p>
    <w:p w14:paraId="5DC4530A" w14:textId="4C50D979" w:rsidR="0068523C" w:rsidRPr="00EA38DE" w:rsidRDefault="0068523C" w:rsidP="0084275B">
      <w:pPr>
        <w:spacing w:after="0" w:line="240" w:lineRule="auto"/>
        <w:jc w:val="both"/>
        <w:rPr>
          <w:rFonts w:ascii="Times New Roman" w:hAnsi="Times New Roman" w:cs="Times New Roman"/>
          <w:sz w:val="24"/>
          <w:szCs w:val="24"/>
        </w:rPr>
      </w:pPr>
    </w:p>
    <w:p w14:paraId="54B3D97D" w14:textId="0B410F70" w:rsidR="0068523C" w:rsidRPr="00EA38DE" w:rsidRDefault="0068523C" w:rsidP="0084275B">
      <w:pPr>
        <w:spacing w:after="0" w:line="240" w:lineRule="auto"/>
        <w:jc w:val="both"/>
        <w:rPr>
          <w:rFonts w:ascii="Times New Roman" w:hAnsi="Times New Roman" w:cs="Times New Roman"/>
          <w:sz w:val="24"/>
          <w:szCs w:val="24"/>
        </w:rPr>
      </w:pPr>
    </w:p>
    <w:p w14:paraId="59F9E738" w14:textId="5783A05C" w:rsidR="0068523C" w:rsidRPr="00EA38DE" w:rsidRDefault="0068523C" w:rsidP="0084275B">
      <w:pPr>
        <w:spacing w:after="0" w:line="240" w:lineRule="auto"/>
        <w:jc w:val="both"/>
        <w:rPr>
          <w:rFonts w:ascii="Times New Roman" w:hAnsi="Times New Roman" w:cs="Times New Roman"/>
          <w:sz w:val="24"/>
          <w:szCs w:val="24"/>
        </w:rPr>
      </w:pPr>
    </w:p>
    <w:p w14:paraId="6FABC14F" w14:textId="545E6745" w:rsidR="0068523C" w:rsidRPr="00EA38DE" w:rsidRDefault="0068523C" w:rsidP="0084275B">
      <w:pPr>
        <w:spacing w:after="0" w:line="240" w:lineRule="auto"/>
        <w:jc w:val="both"/>
        <w:rPr>
          <w:rFonts w:ascii="Times New Roman" w:hAnsi="Times New Roman" w:cs="Times New Roman"/>
          <w:sz w:val="24"/>
          <w:szCs w:val="24"/>
        </w:rPr>
      </w:pPr>
    </w:p>
    <w:p w14:paraId="44AC9CF4" w14:textId="71F563AF" w:rsidR="0068523C" w:rsidRPr="00EA38DE" w:rsidRDefault="0068523C" w:rsidP="0084275B">
      <w:pPr>
        <w:spacing w:after="0" w:line="240" w:lineRule="auto"/>
        <w:jc w:val="both"/>
        <w:rPr>
          <w:rFonts w:ascii="Times New Roman" w:hAnsi="Times New Roman" w:cs="Times New Roman"/>
          <w:sz w:val="24"/>
          <w:szCs w:val="24"/>
        </w:rPr>
      </w:pPr>
    </w:p>
    <w:p w14:paraId="6DFE32F2" w14:textId="2E95FBED" w:rsidR="0068523C" w:rsidRPr="00EA38DE" w:rsidRDefault="0068523C" w:rsidP="0084275B">
      <w:pPr>
        <w:spacing w:after="0" w:line="240" w:lineRule="auto"/>
        <w:jc w:val="both"/>
        <w:rPr>
          <w:rFonts w:ascii="Times New Roman" w:hAnsi="Times New Roman" w:cs="Times New Roman"/>
          <w:sz w:val="24"/>
          <w:szCs w:val="24"/>
        </w:rPr>
      </w:pPr>
    </w:p>
    <w:p w14:paraId="4AEE6F57" w14:textId="645C6CAD" w:rsidR="0068523C" w:rsidRPr="00EA38DE" w:rsidRDefault="0068523C" w:rsidP="0084275B">
      <w:pPr>
        <w:spacing w:after="0" w:line="240" w:lineRule="auto"/>
        <w:jc w:val="both"/>
        <w:rPr>
          <w:rFonts w:ascii="Times New Roman" w:hAnsi="Times New Roman" w:cs="Times New Roman"/>
          <w:sz w:val="24"/>
          <w:szCs w:val="24"/>
        </w:rPr>
      </w:pPr>
    </w:p>
    <w:p w14:paraId="48C22827" w14:textId="1C7B159A" w:rsidR="0068523C" w:rsidRPr="00EA38DE" w:rsidRDefault="0068523C" w:rsidP="0084275B">
      <w:pPr>
        <w:spacing w:after="0" w:line="240" w:lineRule="auto"/>
        <w:jc w:val="both"/>
        <w:rPr>
          <w:rFonts w:ascii="Times New Roman" w:hAnsi="Times New Roman" w:cs="Times New Roman"/>
          <w:sz w:val="24"/>
          <w:szCs w:val="24"/>
        </w:rPr>
      </w:pPr>
    </w:p>
    <w:p w14:paraId="7697B0AA" w14:textId="0F43C7F2" w:rsidR="0068523C" w:rsidRPr="00EA38DE" w:rsidRDefault="0068523C" w:rsidP="0084275B">
      <w:pPr>
        <w:spacing w:after="0" w:line="240" w:lineRule="auto"/>
        <w:jc w:val="both"/>
        <w:rPr>
          <w:rFonts w:ascii="Times New Roman" w:hAnsi="Times New Roman" w:cs="Times New Roman"/>
          <w:sz w:val="24"/>
          <w:szCs w:val="24"/>
        </w:rPr>
      </w:pPr>
    </w:p>
    <w:p w14:paraId="365A5353" w14:textId="3C3B01F8" w:rsidR="0068523C" w:rsidRPr="00EA38DE" w:rsidRDefault="0068523C" w:rsidP="0084275B">
      <w:pPr>
        <w:spacing w:after="0" w:line="240" w:lineRule="auto"/>
        <w:jc w:val="both"/>
        <w:rPr>
          <w:rFonts w:ascii="Times New Roman" w:hAnsi="Times New Roman" w:cs="Times New Roman"/>
          <w:sz w:val="24"/>
          <w:szCs w:val="24"/>
        </w:rPr>
      </w:pPr>
    </w:p>
    <w:p w14:paraId="76017A25" w14:textId="036140C1" w:rsidR="0068523C" w:rsidRPr="00EA38DE" w:rsidRDefault="0068523C" w:rsidP="0084275B">
      <w:pPr>
        <w:spacing w:after="0" w:line="240" w:lineRule="auto"/>
        <w:jc w:val="both"/>
        <w:rPr>
          <w:rFonts w:ascii="Times New Roman" w:hAnsi="Times New Roman" w:cs="Times New Roman"/>
          <w:sz w:val="24"/>
          <w:szCs w:val="24"/>
        </w:rPr>
      </w:pPr>
    </w:p>
    <w:p w14:paraId="7D543CE3" w14:textId="4C3D1B66" w:rsidR="00C97953" w:rsidRPr="00EA38DE" w:rsidRDefault="0084275B" w:rsidP="00B36AFB">
      <w:pPr>
        <w:spacing w:after="0" w:line="24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 xml:space="preserve">   </w:t>
      </w:r>
    </w:p>
    <w:p w14:paraId="4392C587" w14:textId="64FE0235" w:rsidR="0084275B" w:rsidRPr="00EA38DE" w:rsidRDefault="0084275B" w:rsidP="0084275B">
      <w:pPr>
        <w:spacing w:after="0" w:line="480" w:lineRule="auto"/>
        <w:jc w:val="both"/>
        <w:rPr>
          <w:rFonts w:ascii="Times New Roman" w:hAnsi="Times New Roman" w:cs="Times New Roman"/>
          <w:sz w:val="24"/>
          <w:szCs w:val="24"/>
        </w:rPr>
      </w:pPr>
      <w:r w:rsidRPr="00EA38DE">
        <w:rPr>
          <w:rFonts w:ascii="Times New Roman" w:hAnsi="Times New Roman" w:cs="Times New Roman"/>
          <w:b/>
          <w:bCs/>
          <w:sz w:val="24"/>
          <w:szCs w:val="24"/>
        </w:rPr>
        <w:t>Source: Researcher’s Construction, (2025)</w:t>
      </w:r>
      <w:r w:rsidRPr="00EA38DE">
        <w:rPr>
          <w:rFonts w:ascii="Times New Roman" w:hAnsi="Times New Roman" w:cs="Times New Roman"/>
          <w:sz w:val="24"/>
          <w:szCs w:val="24"/>
        </w:rPr>
        <w:tab/>
      </w:r>
    </w:p>
    <w:p w14:paraId="70B0ACB3" w14:textId="3C25E3CE" w:rsidR="0084275B" w:rsidRPr="00EA38DE" w:rsidRDefault="0084275B" w:rsidP="0084275B">
      <w:pPr>
        <w:spacing w:line="240" w:lineRule="auto"/>
        <w:ind w:left="900" w:hanging="900"/>
        <w:jc w:val="both"/>
        <w:rPr>
          <w:rFonts w:ascii="Times New Roman" w:hAnsi="Times New Roman" w:cs="Times New Roman"/>
          <w:b/>
          <w:bCs/>
          <w:sz w:val="24"/>
          <w:szCs w:val="24"/>
        </w:rPr>
      </w:pPr>
      <w:r w:rsidRPr="00EA38DE">
        <w:rPr>
          <w:rFonts w:ascii="Times New Roman" w:hAnsi="Times New Roman" w:cs="Times New Roman"/>
          <w:b/>
          <w:bCs/>
          <w:sz w:val="24"/>
          <w:szCs w:val="24"/>
        </w:rPr>
        <w:t xml:space="preserve">Fig. 2.1. Relationship Between Exchange Rate </w:t>
      </w:r>
      <w:r w:rsidR="009B1472" w:rsidRPr="00EA38DE">
        <w:rPr>
          <w:rFonts w:ascii="Times New Roman" w:hAnsi="Times New Roman" w:cs="Times New Roman"/>
          <w:b/>
          <w:bCs/>
          <w:sz w:val="24"/>
          <w:szCs w:val="24"/>
        </w:rPr>
        <w:t>V</w:t>
      </w:r>
      <w:r w:rsidRPr="00EA38DE">
        <w:rPr>
          <w:rFonts w:ascii="Times New Roman" w:hAnsi="Times New Roman" w:cs="Times New Roman"/>
          <w:b/>
          <w:bCs/>
          <w:sz w:val="24"/>
          <w:szCs w:val="24"/>
        </w:rPr>
        <w:t>olatilities, Blue Economy, and Financial Performance of Shipping Industry in Nigeria.</w:t>
      </w:r>
    </w:p>
    <w:p w14:paraId="0F8BC682" w14:textId="77777777" w:rsidR="00B36AFB" w:rsidRPr="00EA38DE" w:rsidRDefault="00B36AFB" w:rsidP="00B36AFB">
      <w:pPr>
        <w:spacing w:line="240" w:lineRule="auto"/>
        <w:ind w:left="900" w:hanging="900"/>
        <w:jc w:val="both"/>
        <w:rPr>
          <w:rFonts w:ascii="Times New Roman" w:hAnsi="Times New Roman" w:cs="Times New Roman"/>
          <w:b/>
          <w:bCs/>
          <w:sz w:val="16"/>
          <w:szCs w:val="24"/>
        </w:rPr>
      </w:pPr>
    </w:p>
    <w:p w14:paraId="1BA44972" w14:textId="5CDDD432" w:rsidR="0084275B" w:rsidRPr="00EA38DE" w:rsidRDefault="0084275B" w:rsidP="00B83682">
      <w:pPr>
        <w:spacing w:after="12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Figure 2.1 illustrates the</w:t>
      </w:r>
      <w:r w:rsidR="004243F7" w:rsidRPr="00EA38DE">
        <w:rPr>
          <w:rFonts w:ascii="Times New Roman" w:eastAsia="Times New Roman" w:hAnsi="Times New Roman" w:cs="Times New Roman"/>
          <w:sz w:val="24"/>
          <w:szCs w:val="24"/>
        </w:rPr>
        <w:t xml:space="preserve"> probable</w:t>
      </w:r>
      <w:r w:rsidRPr="00EA38DE">
        <w:rPr>
          <w:rFonts w:ascii="Times New Roman" w:eastAsia="Times New Roman" w:hAnsi="Times New Roman" w:cs="Times New Roman"/>
          <w:sz w:val="24"/>
          <w:szCs w:val="24"/>
        </w:rPr>
        <w:t xml:space="preserve"> interconnected relationship among exchange rate volatility, components of the blue economy, and the financial performance of the shipping industry. This conceptual framework is designed to capture how both macroeconomic volatility and sector-specific activities</w:t>
      </w:r>
      <w:r w:rsidR="004243F7" w:rsidRPr="00EA38DE">
        <w:rPr>
          <w:rFonts w:ascii="Times New Roman" w:eastAsia="Times New Roman" w:hAnsi="Times New Roman" w:cs="Times New Roman"/>
          <w:sz w:val="24"/>
          <w:szCs w:val="24"/>
        </w:rPr>
        <w:t xml:space="preserve"> may</w:t>
      </w:r>
      <w:r w:rsidRPr="00EA38DE">
        <w:rPr>
          <w:rFonts w:ascii="Times New Roman" w:eastAsia="Times New Roman" w:hAnsi="Times New Roman" w:cs="Times New Roman"/>
          <w:sz w:val="24"/>
          <w:szCs w:val="24"/>
        </w:rPr>
        <w:t xml:space="preserve"> influence key financial outcomes within the maritime transport sector.</w:t>
      </w:r>
    </w:p>
    <w:p w14:paraId="417660B6" w14:textId="0DBC95AB" w:rsidR="00B83682" w:rsidRPr="00EA38DE" w:rsidRDefault="00B83682" w:rsidP="00B83682">
      <w:pPr>
        <w:pStyle w:val="NormalWeb"/>
        <w:spacing w:line="480" w:lineRule="auto"/>
        <w:jc w:val="both"/>
      </w:pPr>
      <w:r w:rsidRPr="00EA38DE">
        <w:t xml:space="preserve">Exchange rate volatility, play a significant role in shaping the cost structure and revenue potential of the shipping industry. Specifically, volatility in exchange rates introduces uncertainties in </w:t>
      </w:r>
      <w:r w:rsidRPr="00EA38DE">
        <w:lastRenderedPageBreak/>
        <w:t>international trade, which often lead to increased shipping costs due to the need for currency hedging, price adjustments, and insurance. Unfavorable exchange rates also reduce export competitiveness, directly affecting container throughput revenue and port revenue. Similarly, high inflation rates increase operational and maintenance costs for shipping companies and port authorities, thereby reducing profit margins and weakening overall industry performance. Inflation also diminishes consumer purchasing power and raises the cost of imported spare parts, fuel, and shipping equipment, further eroding the sector’s profitability.</w:t>
      </w:r>
    </w:p>
    <w:p w14:paraId="7568FDDB" w14:textId="202B0CB9" w:rsidR="00B83682" w:rsidRPr="00EA38DE" w:rsidRDefault="00B83682" w:rsidP="00B83682">
      <w:pPr>
        <w:pStyle w:val="NormalWeb"/>
        <w:spacing w:line="480" w:lineRule="auto"/>
        <w:jc w:val="both"/>
      </w:pPr>
      <w:r w:rsidRPr="00EA38DE">
        <w:t>In parallel, the blue economy represented in this study by fisheries, aquaculture, and desalination exerts a strong influence on the shipping industry’s financial indicators. Fisheries and aquaculture activities generate cargo transported via shipping lines, thereby increasing container throughput and enhancing port revenue. Desalination, as a component of sustainable maritime activities, supports port and shipping operations by ensuring a reliable supply of freshwater, which can help reduce long-term operational costs and improve efficiency in shipping logistics.</w:t>
      </w:r>
    </w:p>
    <w:p w14:paraId="57DFAF4C" w14:textId="77777777" w:rsidR="00B83682" w:rsidRPr="00EA38DE" w:rsidRDefault="00B83682" w:rsidP="00B83682">
      <w:pPr>
        <w:pStyle w:val="NormalWeb"/>
        <w:spacing w:line="480" w:lineRule="auto"/>
        <w:jc w:val="both"/>
      </w:pPr>
      <w:r w:rsidRPr="00EA38DE">
        <w:t>Beyond these sectoral drivers, institutional and structural factors such as trade freedom and the labour force also shape financial outcomes in the maritime sector. Higher trade freedom facilitates smoother cross-border transactions, lowers trade barriers, and boosts cargo volumes, which in turn improve shipping revenues and port efficiency. However, the benefits of trade liberalization are often constrained in Nigeria by exchange rate misalignments and inflationary pressures that reduce the competitiveness of exports. Likewise, the size and productivity of the labour force influence the industry’s cost efficiency and capacity to absorb trade expansion. A skilled and abundant workforce lowers operational bottlenecks, enhances port logistics, and contributes to long-term financial stability in the shipping industry.</w:t>
      </w:r>
    </w:p>
    <w:p w14:paraId="3FCD9D73" w14:textId="3BE5C223" w:rsidR="00B83682" w:rsidRPr="00EA38DE" w:rsidRDefault="004243F7" w:rsidP="00B83682">
      <w:pPr>
        <w:pStyle w:val="NormalWeb"/>
        <w:spacing w:line="480" w:lineRule="auto"/>
        <w:jc w:val="both"/>
      </w:pPr>
      <w:r w:rsidRPr="00EA38DE">
        <w:lastRenderedPageBreak/>
        <w:t xml:space="preserve">Furthermore, the </w:t>
      </w:r>
      <w:r w:rsidR="00B83682" w:rsidRPr="00EA38DE">
        <w:t>financial performance of the shipping industry is captured through three primary indicators: container throughput revenue, shipping costs, and port revenue. These variables serve as the dependent outcomes within the model and are influenced not only by external macroeconomic variables (such as exchange rate volatility, nominal exchange rate, inflation rate, and trade freedom) but also by the internal growth of blue economy sectors (such as fisheries, aquaculture, and desalination) and structural factors like the labour force.</w:t>
      </w:r>
      <w:r w:rsidRPr="00EA38DE">
        <w:t xml:space="preserve"> The </w:t>
      </w:r>
      <w:r w:rsidR="00B83682" w:rsidRPr="00EA38DE">
        <w:t>framework incorporates a dynamic econometric perspective by accounting for the lagged effects of these explanatory variables. This means that past values of exchange rate volatility, inflation</w:t>
      </w:r>
      <w:r w:rsidR="00B148CF" w:rsidRPr="00EA38DE">
        <w:t xml:space="preserve"> rate</w:t>
      </w:r>
      <w:r w:rsidR="00B83682" w:rsidRPr="00EA38DE">
        <w:t>, labour productivity, and blue economy activities continue to influence current performance indicators, reflecting the delayed nature of economic adjustments within the shipping industry.</w:t>
      </w:r>
    </w:p>
    <w:p w14:paraId="4E1E1E2B" w14:textId="0CC3E2D5" w:rsidR="00B83682" w:rsidRPr="00EA38DE" w:rsidRDefault="00B83682" w:rsidP="00B83682">
      <w:pPr>
        <w:pStyle w:val="NormalWeb"/>
        <w:spacing w:line="480" w:lineRule="auto"/>
        <w:jc w:val="both"/>
      </w:pPr>
      <w:r w:rsidRPr="00EA38DE">
        <w:t xml:space="preserve">In conclusion, the framework </w:t>
      </w:r>
      <w:r w:rsidR="004243F7" w:rsidRPr="00EA38DE">
        <w:t xml:space="preserve">adopted for this study tries to </w:t>
      </w:r>
      <w:r w:rsidRPr="00EA38DE">
        <w:t xml:space="preserve">demonstrates that the financial performance of the shipping industry is shaped by a combination of macroeconomic instability, institutional trade conditions, labour force dynamics, and sectoral economic development. Effective management of exchange rate and inflation risks, promotion of trade freedom, optimization of labour force capacity, and strategic development of blue economy sectors are thus </w:t>
      </w:r>
      <w:r w:rsidR="004243F7" w:rsidRPr="00EA38DE">
        <w:t xml:space="preserve">assumed in the study to be </w:t>
      </w:r>
      <w:r w:rsidRPr="00EA38DE">
        <w:t>essential for enhancing maritime fina</w:t>
      </w:r>
      <w:r w:rsidR="00B36AFB" w:rsidRPr="00EA38DE">
        <w:t xml:space="preserve">ncial performance and long-term </w:t>
      </w:r>
      <w:r w:rsidRPr="00EA38DE">
        <w:t>sustainability.</w:t>
      </w:r>
    </w:p>
    <w:p w14:paraId="48B0CAAC" w14:textId="5BDB3F99" w:rsidR="00A45497" w:rsidRPr="00EA38DE" w:rsidRDefault="009E0E31" w:rsidP="00CB10A8">
      <w:pPr>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w:t>
      </w:r>
      <w:r w:rsidR="000E06DC" w:rsidRPr="00EA38DE">
        <w:rPr>
          <w:rFonts w:ascii="Times New Roman" w:hAnsi="Times New Roman" w:cs="Times New Roman"/>
          <w:b/>
          <w:sz w:val="24"/>
          <w:szCs w:val="24"/>
        </w:rPr>
        <w:t>4</w:t>
      </w:r>
      <w:r w:rsidR="00855D30" w:rsidRPr="00EA38DE">
        <w:rPr>
          <w:rFonts w:ascii="Times New Roman" w:hAnsi="Times New Roman" w:cs="Times New Roman"/>
          <w:b/>
          <w:sz w:val="24"/>
          <w:szCs w:val="24"/>
        </w:rPr>
        <w:tab/>
      </w:r>
      <w:r w:rsidRPr="00EA38DE">
        <w:rPr>
          <w:rFonts w:ascii="Times New Roman" w:hAnsi="Times New Roman" w:cs="Times New Roman"/>
          <w:b/>
          <w:sz w:val="24"/>
          <w:szCs w:val="24"/>
        </w:rPr>
        <w:t>Theoretical Review</w:t>
      </w:r>
    </w:p>
    <w:p w14:paraId="3AA921A9" w14:textId="3320945E" w:rsidR="007D213A" w:rsidRPr="00EA38DE" w:rsidRDefault="007D213A" w:rsidP="007D213A">
      <w:pPr>
        <w:pStyle w:val="NormalWeb"/>
        <w:spacing w:before="0" w:beforeAutospacing="0" w:after="0" w:afterAutospacing="0" w:line="480" w:lineRule="auto"/>
        <w:jc w:val="both"/>
        <w:rPr>
          <w:b/>
        </w:rPr>
      </w:pPr>
      <w:r w:rsidRPr="00EA38DE">
        <w:rPr>
          <w:b/>
        </w:rPr>
        <w:t>2.4.1</w:t>
      </w:r>
      <w:r w:rsidRPr="00EA38DE">
        <w:rPr>
          <w:b/>
        </w:rPr>
        <w:tab/>
        <w:t>Performance Theory</w:t>
      </w:r>
    </w:p>
    <w:p w14:paraId="057D12A3" w14:textId="60D6925A" w:rsidR="007D213A" w:rsidRPr="00EA38DE" w:rsidRDefault="007D213A" w:rsidP="00A86755">
      <w:pPr>
        <w:pStyle w:val="NormalWeb"/>
        <w:spacing w:before="0" w:beforeAutospacing="0" w:after="240" w:afterAutospacing="0" w:line="480" w:lineRule="auto"/>
        <w:jc w:val="both"/>
      </w:pPr>
      <w:r w:rsidRPr="00EA38DE">
        <w:t xml:space="preserve">Performance Theory, originally developed by Richard Schechner in 1988, provides a compelling framework for understanding how symbolic, structural, and behavioral elements influence economic outcomes. When applied to Nigeria’s shipping industry within the context of blue </w:t>
      </w:r>
      <w:r w:rsidRPr="00EA38DE">
        <w:lastRenderedPageBreak/>
        <w:t xml:space="preserve">economy development, it reveals how exchange rate volatility and institutional dynamics affect the sector’s financial performance (Schechner, 1988; Schechner, 2023). According to the theory, economic actions such as trade flows, shipping logistics, and policy execution can be interpreted as </w:t>
      </w:r>
      <w:r w:rsidRPr="00EA38DE">
        <w:rPr>
          <w:rStyle w:val="Strong"/>
          <w:rFonts w:eastAsiaTheme="majorEastAsia"/>
          <w:b w:val="0"/>
        </w:rPr>
        <w:t>performances</w:t>
      </w:r>
      <w:r w:rsidRPr="00EA38DE">
        <w:t xml:space="preserve"> enacted by institutions on defined “stages” like ports, trade corridors, and maritime infrastructure. These performances are governed by existing “scripts” policy decisions, operational norms, and historical practices and are continuously shaped by audience responses, including investors, regulators, and international stakeholders</w:t>
      </w:r>
      <w:r w:rsidR="000143D0" w:rsidRPr="00EA38DE">
        <w:t>, Fligstein, (2001).</w:t>
      </w:r>
    </w:p>
    <w:p w14:paraId="2A409A35" w14:textId="77777777" w:rsidR="007D213A" w:rsidRPr="00EA38DE" w:rsidRDefault="007D213A" w:rsidP="00A86755">
      <w:pPr>
        <w:pStyle w:val="NormalWeb"/>
        <w:spacing w:before="0" w:beforeAutospacing="0" w:after="240" w:afterAutospacing="0" w:line="480" w:lineRule="auto"/>
        <w:jc w:val="both"/>
      </w:pPr>
      <w:r w:rsidRPr="00EA38DE">
        <w:t xml:space="preserve">In this context, exchange rate volatility becomes more than a macroeconomic variable it becomes a disruptive force on the maritime stage. A depreciation of the naira inflates the cost of essential shipping inputs such as imported marine equipment, foreign-denominated freight charges, and port handling services. These increased operational costs undermine the shipping industry’s “performance,” diminishing its ability to attract trade flows and foreign investment. In performance terms, the shipping sector appears under-resourced and uncoordinated its “costumes and props” ill-fitted for a global audience (Schechner, 2023; Arowolo et al., 2022). Conversely, a brief appreciation of the naira may reduce import costs and temporarily improve shipping margins, but without sustained exchange rate stability, these financial gains are unreliable and do not foster long-term investor confidence. </w:t>
      </w:r>
    </w:p>
    <w:p w14:paraId="0B68B66E" w14:textId="4F5ECC92" w:rsidR="007D213A" w:rsidRPr="00EA38DE" w:rsidRDefault="007D213A" w:rsidP="00A86755">
      <w:pPr>
        <w:pStyle w:val="NormalWeb"/>
        <w:spacing w:before="0" w:beforeAutospacing="0" w:after="240" w:afterAutospacing="0" w:line="480" w:lineRule="auto"/>
        <w:jc w:val="both"/>
      </w:pPr>
      <w:r w:rsidRPr="00EA38DE">
        <w:t xml:space="preserve">A mathematical model of Performance </w:t>
      </w:r>
      <w:r w:rsidR="000B36A0" w:rsidRPr="00EA38DE">
        <w:t>T</w:t>
      </w:r>
      <w:r w:rsidRPr="00EA38DE">
        <w:t xml:space="preserve">heory helps quantify how internal capabilities, strategic actions, and external conditions affect the performance of a firm or industry. This model is particularly useful in assessing financial performance in sectors like shipping, where multiple variables interact dynamically. FP = f (C, S, E), where: FP = Financial Performance, C = Internal Capabilities (e.g., capital structure, human resources, technology adoption), S = Strategic Actions </w:t>
      </w:r>
      <w:r w:rsidRPr="00EA38DE">
        <w:lastRenderedPageBreak/>
        <w:t>(e.g., investment, innovation, diversification, cost control), E = External Environment (e.g., exchange rate volatility, policy stability, inflation, infrastructure).</w:t>
      </w:r>
    </w:p>
    <w:p w14:paraId="4B2B3EE6" w14:textId="5188EFA9" w:rsidR="007D213A" w:rsidRPr="00EA38DE" w:rsidRDefault="007D213A" w:rsidP="00A86755">
      <w:pPr>
        <w:pStyle w:val="NormalWeb"/>
        <w:spacing w:before="0" w:beforeAutospacing="0" w:after="240" w:afterAutospacing="0" w:line="480" w:lineRule="auto"/>
        <w:jc w:val="both"/>
      </w:pPr>
      <w:r w:rsidRPr="00EA38DE">
        <w:t xml:space="preserve">Performance </w:t>
      </w:r>
      <w:r w:rsidR="000B36A0" w:rsidRPr="00EA38DE">
        <w:t>T</w:t>
      </w:r>
      <w:r w:rsidRPr="00EA38DE">
        <w:t>heory also illuminates how the blue economy comprising sectors such as fisheries, marine tourism, aquaculture, and coastal transport interacts with the shipping industry to co-create Nigeria’s economic image on the global stage. When exchange rate instability leads to increased maritime logistics costs, blue economy exports become less competitive. For instance, the rising cost of shipping aquaculture products may deter international buyers, weakening Nigeria’s overall trade performance. In symbolic terms, the country fails to “deliver its lines” in a globally competitive script, diminishing its relevance in international trade and maritime partnerships (Okafor &amp; Ezenwa, 2023).</w:t>
      </w:r>
    </w:p>
    <w:p w14:paraId="5518EC73" w14:textId="77777777" w:rsidR="007D213A" w:rsidRPr="00EA38DE" w:rsidRDefault="007D213A" w:rsidP="00A86755">
      <w:pPr>
        <w:pStyle w:val="NormalWeb"/>
        <w:spacing w:before="0" w:beforeAutospacing="0" w:after="240" w:afterAutospacing="0" w:line="480" w:lineRule="auto"/>
        <w:jc w:val="both"/>
      </w:pPr>
      <w:r w:rsidRPr="00EA38DE">
        <w:t>Further, the performance lens highlights regional competition as a dynamic theatre of rival actors. Countries like Ghana, with more stable currencies and consistent maritime policies, deliver smoother and more coherent performances, drawing trade, investment, and credibility away from Nigeria. The resulting shift in stakeholder attention can severely limit Nigeria’s shipping market share and threaten the financial resilience of its maritime institutions (Bello &amp; Gbadamosi, 2023).</w:t>
      </w:r>
    </w:p>
    <w:p w14:paraId="3833CB06" w14:textId="77777777" w:rsidR="007D213A" w:rsidRPr="00EA38DE" w:rsidRDefault="007D213A" w:rsidP="00A86755">
      <w:pPr>
        <w:pStyle w:val="NormalWeb"/>
        <w:spacing w:before="0" w:beforeAutospacing="0" w:after="240" w:afterAutospacing="0" w:line="480" w:lineRule="auto"/>
        <w:jc w:val="both"/>
      </w:pPr>
      <w:r w:rsidRPr="00EA38DE">
        <w:t xml:space="preserve">At the core of Performance Theory is the idea that social and institutional actions follow a structured format involving key elements: the </w:t>
      </w:r>
      <w:r w:rsidRPr="00EA38DE">
        <w:rPr>
          <w:rStyle w:val="Strong"/>
          <w:rFonts w:eastAsiaTheme="majorEastAsia"/>
          <w:b w:val="0"/>
        </w:rPr>
        <w:t>script</w:t>
      </w:r>
      <w:r w:rsidRPr="00EA38DE">
        <w:t xml:space="preserve"> (policy frameworks), </w:t>
      </w:r>
      <w:r w:rsidRPr="00EA38DE">
        <w:rPr>
          <w:rStyle w:val="Strong"/>
          <w:rFonts w:eastAsiaTheme="majorEastAsia"/>
          <w:b w:val="0"/>
        </w:rPr>
        <w:t>performers</w:t>
      </w:r>
      <w:r w:rsidRPr="00EA38DE">
        <w:rPr>
          <w:b/>
        </w:rPr>
        <w:t xml:space="preserve"> </w:t>
      </w:r>
      <w:r w:rsidRPr="00EA38DE">
        <w:t xml:space="preserve">(government and private actors), </w:t>
      </w:r>
      <w:r w:rsidRPr="00EA38DE">
        <w:rPr>
          <w:rStyle w:val="Strong"/>
          <w:rFonts w:eastAsiaTheme="majorEastAsia"/>
          <w:b w:val="0"/>
        </w:rPr>
        <w:t>audience</w:t>
      </w:r>
      <w:r w:rsidRPr="00EA38DE">
        <w:t xml:space="preserve"> (stakeholders and global markets), </w:t>
      </w:r>
      <w:r w:rsidRPr="00EA38DE">
        <w:rPr>
          <w:rStyle w:val="Strong"/>
          <w:rFonts w:eastAsiaTheme="majorEastAsia"/>
          <w:b w:val="0"/>
        </w:rPr>
        <w:t>stage</w:t>
      </w:r>
      <w:r w:rsidRPr="00EA38DE">
        <w:t xml:space="preserve"> (ports and maritime infrastructure), and </w:t>
      </w:r>
      <w:r w:rsidRPr="00EA38DE">
        <w:rPr>
          <w:rStyle w:val="Strong"/>
          <w:rFonts w:eastAsiaTheme="majorEastAsia"/>
          <w:b w:val="0"/>
        </w:rPr>
        <w:t>timeline</w:t>
      </w:r>
      <w:r w:rsidRPr="00EA38DE">
        <w:t xml:space="preserve"> (economic cycles and policy windows). When these components are out of sync such as unclear policy directives, weak institutional capacity, or mismatched stakeholder expectations the national performance falters. A poorly managed currency devaluation or inconsistent trade policy is not merely a technical failure but a symbolic breakdown, signaling </w:t>
      </w:r>
      <w:r w:rsidRPr="00EA38DE">
        <w:lastRenderedPageBreak/>
        <w:t>unreliability and undermining Nigeria’s financial and economic positioning (Schechner, 2018; Ojo &amp; Akinyemi, 2024).</w:t>
      </w:r>
    </w:p>
    <w:p w14:paraId="36007774" w14:textId="67C00EFD" w:rsidR="007D213A" w:rsidRPr="00EA38DE" w:rsidRDefault="007D213A" w:rsidP="00A86755">
      <w:pPr>
        <w:pStyle w:val="NormalWeb"/>
        <w:spacing w:before="0" w:beforeAutospacing="0" w:after="240" w:afterAutospacing="0" w:line="480" w:lineRule="auto"/>
        <w:jc w:val="both"/>
      </w:pPr>
      <w:r w:rsidRPr="00EA38DE">
        <w:t>Moreover, institutional habits and bureaucratic inertia what Schechner terms “restored behavior” often dictate how Nigerian maritime bodies respond to crises. These ritualized responses may no longer suit the fluid demands of a globally integrated blue economy. To shift the narrative, Nigerian maritime institutions must adopt proactive strategies, modernize operations, and revise outdated “scripts” to improve their performances in front of both domestic and international audiences</w:t>
      </w:r>
      <w:r w:rsidR="000143D0" w:rsidRPr="00EA38DE">
        <w:t>, Okene et</w:t>
      </w:r>
      <w:r w:rsidR="003A38AA">
        <w:t xml:space="preserve"> </w:t>
      </w:r>
      <w:r w:rsidR="000143D0" w:rsidRPr="00EA38DE">
        <w:t>al</w:t>
      </w:r>
      <w:r w:rsidR="003A38AA">
        <w:t>.</w:t>
      </w:r>
      <w:r w:rsidR="000143D0" w:rsidRPr="00EA38DE">
        <w:t xml:space="preserve"> (2023)</w:t>
      </w:r>
      <w:r w:rsidRPr="00EA38DE">
        <w:t>.</w:t>
      </w:r>
    </w:p>
    <w:p w14:paraId="4AF3618D" w14:textId="51E1B28F" w:rsidR="007D213A" w:rsidRPr="00EA38DE" w:rsidRDefault="007D213A" w:rsidP="00A86755">
      <w:pPr>
        <w:pStyle w:val="NormalWeb"/>
        <w:spacing w:before="0" w:beforeAutospacing="0" w:after="240" w:afterAutospacing="0" w:line="480" w:lineRule="auto"/>
        <w:jc w:val="both"/>
      </w:pPr>
      <w:r w:rsidRPr="00EA38DE">
        <w:t xml:space="preserve">In conclusion, </w:t>
      </w:r>
      <w:r w:rsidRPr="00EA38DE">
        <w:rPr>
          <w:rStyle w:val="Strong"/>
          <w:rFonts w:eastAsiaTheme="majorEastAsia"/>
          <w:b w:val="0"/>
        </w:rPr>
        <w:t>Performance Theory offers a rich interpretive framework</w:t>
      </w:r>
      <w:r w:rsidRPr="00EA38DE">
        <w:t xml:space="preserve"> for analyzing how exchange rate volatility and blue economy dynamics affect the financial performance of Nigeria’s shipping industry. It shows that economic behavior is not merely technical but performative shaped by perception, alignment, and credibility. For Nigeria to secure a sustained and competitive presence in the global maritime economy, it must focus on </w:t>
      </w:r>
      <w:r w:rsidRPr="00EA38DE">
        <w:rPr>
          <w:rStyle w:val="Strong"/>
          <w:rFonts w:eastAsiaTheme="majorEastAsia"/>
          <w:b w:val="0"/>
        </w:rPr>
        <w:t>rehearsing a more coordinated and transparent performance</w:t>
      </w:r>
      <w:r w:rsidRPr="00EA38DE">
        <w:rPr>
          <w:b/>
        </w:rPr>
        <w:t>.</w:t>
      </w:r>
      <w:r w:rsidRPr="00EA38DE">
        <w:t xml:space="preserve"> This includes aligning policy frameworks with institutional behavior, ensuring stable macroeconomic conditions, and fostering investor trust through predictable and effective governance. Only then can Nigeria’s shipping sector deliver a performance that commands attention and generates enduring financial success</w:t>
      </w:r>
      <w:r w:rsidR="00D60580" w:rsidRPr="00EA38DE">
        <w:t xml:space="preserve"> (Fligstein,</w:t>
      </w:r>
      <w:r w:rsidR="00B36AFB" w:rsidRPr="00EA38DE">
        <w:t xml:space="preserve"> </w:t>
      </w:r>
      <w:r w:rsidR="00D60580" w:rsidRPr="00EA38DE">
        <w:t>20021: UNCTED, 2021: World Bank, 2020).</w:t>
      </w:r>
    </w:p>
    <w:p w14:paraId="641F5F83" w14:textId="0A974B13" w:rsidR="0097483E" w:rsidRPr="00EA38DE" w:rsidRDefault="0097483E" w:rsidP="00A86755">
      <w:pPr>
        <w:spacing w:after="240" w:line="480" w:lineRule="auto"/>
        <w:jc w:val="both"/>
        <w:rPr>
          <w:rFonts w:ascii="Times New Roman" w:eastAsia="Times New Roman" w:hAnsi="Times New Roman" w:cs="Times New Roman"/>
          <w:b/>
          <w:sz w:val="24"/>
          <w:szCs w:val="24"/>
        </w:rPr>
      </w:pPr>
      <w:r w:rsidRPr="00EA38DE">
        <w:rPr>
          <w:rFonts w:ascii="Times New Roman" w:hAnsi="Times New Roman" w:cs="Times New Roman"/>
          <w:b/>
          <w:sz w:val="24"/>
          <w:szCs w:val="24"/>
        </w:rPr>
        <w:t>2.4.2</w:t>
      </w:r>
      <w:r w:rsidR="00A86755" w:rsidRPr="00EA38DE">
        <w:rPr>
          <w:rFonts w:ascii="Times New Roman" w:hAnsi="Times New Roman" w:cs="Times New Roman"/>
          <w:b/>
          <w:sz w:val="24"/>
          <w:szCs w:val="24"/>
        </w:rPr>
        <w:tab/>
      </w:r>
      <w:r w:rsidRPr="00EA38DE">
        <w:rPr>
          <w:rFonts w:ascii="Times New Roman" w:eastAsia="Times New Roman" w:hAnsi="Times New Roman" w:cs="Times New Roman"/>
          <w:b/>
          <w:sz w:val="24"/>
          <w:szCs w:val="24"/>
        </w:rPr>
        <w:t xml:space="preserve">The Sustainable Ocean Governance Theory </w:t>
      </w:r>
    </w:p>
    <w:p w14:paraId="22A015A9" w14:textId="6FF2AA63"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Sustainable Ocean Governance Theory provides important insights into how governance structures, policies, and stakeholder coordination affect the financial performance of Nigeria’s shipping industry, especially as the country advances its blue economy. </w:t>
      </w:r>
      <w:r w:rsidR="000570CB" w:rsidRPr="00EA38DE">
        <w:rPr>
          <w:rFonts w:ascii="Times New Roman" w:hAnsi="Times New Roman" w:cs="Times New Roman"/>
          <w:sz w:val="24"/>
          <w:szCs w:val="24"/>
        </w:rPr>
        <w:t xml:space="preserve">Sustainable Ocean </w:t>
      </w:r>
      <w:r w:rsidR="000570CB" w:rsidRPr="00EA38DE">
        <w:rPr>
          <w:rFonts w:ascii="Times New Roman" w:hAnsi="Times New Roman" w:cs="Times New Roman"/>
          <w:sz w:val="24"/>
          <w:szCs w:val="24"/>
        </w:rPr>
        <w:lastRenderedPageBreak/>
        <w:t>Governance Theory has evolved over time through interdisciplinary contributions from fields like marine policy, environmental science, and international law. Key contributions came from Svein</w:t>
      </w:r>
      <w:r w:rsidR="007C7891" w:rsidRPr="00EA38DE">
        <w:rPr>
          <w:rFonts w:ascii="Times New Roman" w:hAnsi="Times New Roman" w:cs="Times New Roman"/>
          <w:sz w:val="24"/>
          <w:szCs w:val="24"/>
        </w:rPr>
        <w:t xml:space="preserve"> et.al.</w:t>
      </w:r>
      <w:r w:rsidR="000570CB" w:rsidRPr="00EA38DE">
        <w:rPr>
          <w:rFonts w:ascii="Times New Roman" w:hAnsi="Times New Roman" w:cs="Times New Roman"/>
          <w:sz w:val="24"/>
          <w:szCs w:val="24"/>
        </w:rPr>
        <w:t xml:space="preserve"> 2009, emphasizing interactive governance that is inclusive, adaptive, and multi-level for sustainable marine and coastal resource management. </w:t>
      </w:r>
      <w:r w:rsidRPr="00EA38DE">
        <w:rPr>
          <w:rFonts w:ascii="Times New Roman" w:eastAsia="Times New Roman" w:hAnsi="Times New Roman" w:cs="Times New Roman"/>
          <w:sz w:val="24"/>
          <w:szCs w:val="24"/>
        </w:rPr>
        <w:t>This theory, grounded in principles such as those from the Lisbon Principles, advocates for integrated, equitable, and ecosystem-based management of ocean resources (Okene</w:t>
      </w:r>
      <w:r w:rsidR="007C7891" w:rsidRPr="00EA38DE">
        <w:rPr>
          <w:rFonts w:ascii="Times New Roman" w:eastAsia="Times New Roman" w:hAnsi="Times New Roman" w:cs="Times New Roman"/>
          <w:sz w:val="24"/>
          <w:szCs w:val="24"/>
        </w:rPr>
        <w:t xml:space="preserve"> et.al.</w:t>
      </w:r>
      <w:r w:rsidRPr="00EA38DE">
        <w:rPr>
          <w:rFonts w:ascii="Times New Roman" w:eastAsia="Times New Roman" w:hAnsi="Times New Roman" w:cs="Times New Roman"/>
          <w:sz w:val="24"/>
          <w:szCs w:val="24"/>
        </w:rPr>
        <w:t xml:space="preserve"> 2023). It stresses the need for clear policies, inclusive governance frameworks, and effective stakeholder engagement to ensure sustainable use of marine assets (National Hydrographic Agency, 2024).</w:t>
      </w:r>
    </w:p>
    <w:p w14:paraId="726BAB8A" w14:textId="77777777"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 the Nigerian context, exchange rate volatility significantly influences the costs faced by the shipping industry. When the naira depreciates, the cost of importing essential goods such as marine equipment, fuel, and logistics services rises, increasing operational expenses (Okene et al., 2023). These increased costs challenge the governance institutions responsible for maintaining efficient maritime operations and undermine the financial performance and international credibility of Nigeria’s shipping sector (Olisa Agbakoba Legal, 2024). Conversely, a stable or appreciating naira can reduce import costs and improve profit margins for shipping companies. However, without strong governance reforms such as the implementation of coherent marine spatial planning and regulatory oversight these economic gains tend to be short-lived (Nigerian Maritime Administration and Safety Agency, 2024).</w:t>
      </w:r>
    </w:p>
    <w:p w14:paraId="27A0C159" w14:textId="5DB0A05B"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blue economy itself, encompassing fisheries, aquaculture, marine tourism, and offshore energy sectors, depends heavily on effective ocean governance. Weak regulations and fragmented policies fail to support sustainable development and can hinder the shipping industry’s competitiveness </w:t>
      </w:r>
      <w:r w:rsidR="00F14B5F" w:rsidRPr="00EA38DE">
        <w:rPr>
          <w:rFonts w:ascii="Times New Roman" w:hAnsi="Times New Roman" w:cs="Times New Roman"/>
          <w:sz w:val="24"/>
          <w:szCs w:val="24"/>
        </w:rPr>
        <w:t>(UNCTAD, 2021)</w:t>
      </w:r>
      <w:r w:rsidRPr="00EA38DE">
        <w:rPr>
          <w:rFonts w:ascii="Times New Roman" w:eastAsia="Times New Roman" w:hAnsi="Times New Roman" w:cs="Times New Roman"/>
          <w:sz w:val="24"/>
          <w:szCs w:val="24"/>
        </w:rPr>
        <w:t xml:space="preserve">. For instance, rising shipping costs driven by poor governance and currency fluctuations may render Nigerian fish and aquaculture exports uncompetitive, </w:t>
      </w:r>
      <w:r w:rsidRPr="00EA38DE">
        <w:rPr>
          <w:rFonts w:ascii="Times New Roman" w:eastAsia="Times New Roman" w:hAnsi="Times New Roman" w:cs="Times New Roman"/>
          <w:sz w:val="24"/>
          <w:szCs w:val="24"/>
        </w:rPr>
        <w:lastRenderedPageBreak/>
        <w:t>discouraging international buyers and weakening Nigeria’s position in the global blue economy (Olisa Agbakoba Legal, 2024).</w:t>
      </w:r>
    </w:p>
    <w:p w14:paraId="5D2642AE" w14:textId="2705ED37"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Sustainable Ocean Governance Theory also sheds light on regional competition. Neighboring countries like Ghana, with more stable currencies and coherent maritime policies, often provide a more reliable environment for shipping and trade. This can attract shipping demand and investment away from Nigeria, further eroding its market share and threatening the financial health of its maritime sector (Okene et al., 2023). A mathematical model of Sustainable Ocean Governance (SOG) helps quantify how various interacting components (ecological, institutional, social, and economic) can be balanced for long-term ocean health and human benefit. Below is a conceptual mathematical model that synthesizes these interactions:</w:t>
      </w:r>
    </w:p>
    <w:p w14:paraId="1FD8F4C4" w14:textId="77777777"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SOG = f(E, I, S, Ec, R)</w:t>
      </w:r>
    </w:p>
    <w:p w14:paraId="6132B7BA" w14:textId="6588EF2E"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Where: SOG: Level of Sustainable Ocean Governance, E: Environmental sustainability indicators (e.g., biodiversity, pollution control), I: Institutional strength (e.g., legal frameworks, enforcement capacity), S: Stakeholder participation (e.g., coastal communities, NGOs, private sector), Economic sustainability (e.g., blue economy growth, fair resource allocation), and, R: Resilience and adaptability (e.g., climate response, ecosystem-based management). In the context of Nigeria, sustainable ocean governance can provide a mechanism for integrating the interests of port authorities, shipping companies, fishing communities, and offshore oil operators under a unified framework that prioritizes sustainability and equity</w:t>
      </w:r>
      <w:r w:rsidR="003D2CEF" w:rsidRPr="00EA38DE">
        <w:rPr>
          <w:rFonts w:ascii="Times New Roman" w:eastAsia="Times New Roman" w:hAnsi="Times New Roman" w:cs="Times New Roman"/>
          <w:sz w:val="24"/>
          <w:szCs w:val="24"/>
        </w:rPr>
        <w:t xml:space="preserve"> (African Union, 2020)</w:t>
      </w:r>
      <w:r w:rsidRPr="00EA38DE">
        <w:rPr>
          <w:rFonts w:ascii="Times New Roman" w:eastAsia="Times New Roman" w:hAnsi="Times New Roman" w:cs="Times New Roman"/>
          <w:sz w:val="24"/>
          <w:szCs w:val="24"/>
        </w:rPr>
        <w:t>.</w:t>
      </w:r>
    </w:p>
    <w:p w14:paraId="71BF4112" w14:textId="02FBAF8D"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While, Sustainable Ocean Governance Theory is largely qualitative, it can be connected to economic modeling through bioeconomic frameworks such as the Gordon-Schaefer model. In this context, the profit of shipping and fisheries operations depends on revenue from exports and costs </w:t>
      </w:r>
      <w:r w:rsidRPr="00EA38DE">
        <w:rPr>
          <w:rFonts w:ascii="Times New Roman" w:eastAsia="Times New Roman" w:hAnsi="Times New Roman" w:cs="Times New Roman"/>
          <w:sz w:val="24"/>
          <w:szCs w:val="24"/>
        </w:rPr>
        <w:lastRenderedPageBreak/>
        <w:t xml:space="preserve">influenced by both exchange rate </w:t>
      </w:r>
      <w:r w:rsidR="0070019F"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and governance effectiveness</w:t>
      </w:r>
      <w:r w:rsidR="003D2CEF" w:rsidRPr="00EA38DE">
        <w:rPr>
          <w:rFonts w:ascii="Times New Roman" w:eastAsia="Times New Roman" w:hAnsi="Times New Roman" w:cs="Times New Roman"/>
          <w:sz w:val="24"/>
          <w:szCs w:val="24"/>
        </w:rPr>
        <w:t xml:space="preserve"> (World Bank, 2021)</w:t>
      </w:r>
      <w:r w:rsidRPr="00EA38DE">
        <w:rPr>
          <w:rFonts w:ascii="Times New Roman" w:eastAsia="Times New Roman" w:hAnsi="Times New Roman" w:cs="Times New Roman"/>
          <w:sz w:val="24"/>
          <w:szCs w:val="24"/>
        </w:rPr>
        <w:t>. Governance factors such as regulatory clarity, enforcement efficiency, and marine spatial planning directly affect operational costs and revenue stability. Strong governance can reduce costs and stabilize revenues, leading to improved financial performance (National Hydrographic Agency, 2024).</w:t>
      </w:r>
    </w:p>
    <w:p w14:paraId="51303BF6" w14:textId="77777777"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Nigeria has been making efforts to improve ocean governance by establishing institutions like a National Coast Guard, adopting marine policies, and enhancing enforcement mechanisms. These initiatives aim to mitigate the financial risks posed by exchange rate volatility by improving port efficiency and institutional responsiveness. Moreover, they seek to build stakeholder confidence and attract sustainable financing options, such as blue bonds, to fund maritime infrastructure and conservation efforts (Nigerian Maritime Administration and Safety Agency, 2024; Olisa Agbakoba Legal, 2024).</w:t>
      </w:r>
    </w:p>
    <w:p w14:paraId="42791FEA" w14:textId="0487575E" w:rsidR="0097483E" w:rsidRPr="00EA38DE" w:rsidRDefault="009748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 conclusion, Sustainable Ocean Governance Theory highlights those stable economic conditions alone are not enough to ensure a thriving shipping industry integrated within a sustainable blue economy. Robust governance frameworks and policy coherence are essential. Exchange rate volatility and blue economy development impact the shipping industry’s financial performance, but their effects are mediated by the quality of governance. To build a financially resilient and competitive maritime sector, Nigeria must strengthen its governance institutions, ensure policy transparency, and foster coordinated implementation across blue economy sectors. Only by doing so can the country secure a sustainable and prosperous role in the global maritime arena (</w:t>
      </w:r>
      <w:r w:rsidR="00E35F77" w:rsidRPr="00EA38DE">
        <w:rPr>
          <w:rFonts w:ascii="Times New Roman" w:hAnsi="Times New Roman" w:cs="Times New Roman"/>
          <w:sz w:val="24"/>
          <w:szCs w:val="24"/>
        </w:rPr>
        <w:t>UNCTAD, 2021; World Bank, 2020; Okene et al., 2023</w:t>
      </w:r>
      <w:r w:rsidRPr="00EA38DE">
        <w:rPr>
          <w:rFonts w:ascii="Times New Roman" w:eastAsia="Times New Roman" w:hAnsi="Times New Roman" w:cs="Times New Roman"/>
          <w:sz w:val="24"/>
          <w:szCs w:val="24"/>
        </w:rPr>
        <w:t>).</w:t>
      </w:r>
    </w:p>
    <w:p w14:paraId="1F006946" w14:textId="5444EC68" w:rsidR="008D7E3E" w:rsidRPr="00EA38DE" w:rsidRDefault="0018348C" w:rsidP="00A86755">
      <w:pPr>
        <w:pStyle w:val="Heading4"/>
        <w:spacing w:before="0" w:after="240" w:line="480" w:lineRule="auto"/>
        <w:jc w:val="both"/>
        <w:rPr>
          <w:rFonts w:ascii="Times New Roman" w:hAnsi="Times New Roman" w:cs="Times New Roman"/>
          <w:b/>
          <w:i w:val="0"/>
          <w:color w:val="auto"/>
          <w:sz w:val="24"/>
          <w:szCs w:val="24"/>
        </w:rPr>
      </w:pPr>
      <w:r w:rsidRPr="00EA38DE">
        <w:rPr>
          <w:rFonts w:ascii="Times New Roman" w:hAnsi="Times New Roman" w:cs="Times New Roman"/>
          <w:b/>
          <w:i w:val="0"/>
          <w:color w:val="auto"/>
          <w:sz w:val="24"/>
          <w:szCs w:val="24"/>
        </w:rPr>
        <w:lastRenderedPageBreak/>
        <w:t>2.4</w:t>
      </w:r>
      <w:r w:rsidR="008D7E3E" w:rsidRPr="00EA38DE">
        <w:rPr>
          <w:rFonts w:ascii="Times New Roman" w:hAnsi="Times New Roman" w:cs="Times New Roman"/>
          <w:b/>
          <w:i w:val="0"/>
          <w:color w:val="auto"/>
          <w:sz w:val="24"/>
          <w:szCs w:val="24"/>
        </w:rPr>
        <w:t>.</w:t>
      </w:r>
      <w:r w:rsidR="0097483E" w:rsidRPr="00EA38DE">
        <w:rPr>
          <w:rFonts w:ascii="Times New Roman" w:hAnsi="Times New Roman" w:cs="Times New Roman"/>
          <w:b/>
          <w:i w:val="0"/>
          <w:color w:val="auto"/>
          <w:sz w:val="24"/>
          <w:szCs w:val="24"/>
        </w:rPr>
        <w:t>3</w:t>
      </w:r>
      <w:r w:rsidR="008D7E3E" w:rsidRPr="00EA38DE">
        <w:rPr>
          <w:rFonts w:ascii="Times New Roman" w:hAnsi="Times New Roman" w:cs="Times New Roman"/>
          <w:b/>
          <w:i w:val="0"/>
          <w:color w:val="auto"/>
          <w:sz w:val="24"/>
          <w:szCs w:val="24"/>
        </w:rPr>
        <w:tab/>
      </w:r>
      <w:r w:rsidR="008D7E3E" w:rsidRPr="00EA38DE">
        <w:rPr>
          <w:rStyle w:val="Strong"/>
          <w:rFonts w:ascii="Times New Roman" w:hAnsi="Times New Roman" w:cs="Times New Roman"/>
          <w:i w:val="0"/>
          <w:color w:val="auto"/>
          <w:sz w:val="24"/>
          <w:szCs w:val="24"/>
        </w:rPr>
        <w:t>Purchasing Power Parity (PPP)</w:t>
      </w:r>
      <w:r w:rsidR="00936938" w:rsidRPr="00EA38DE">
        <w:rPr>
          <w:rStyle w:val="Strong"/>
          <w:rFonts w:ascii="Times New Roman" w:hAnsi="Times New Roman" w:cs="Times New Roman"/>
          <w:i w:val="0"/>
          <w:color w:val="auto"/>
          <w:sz w:val="24"/>
          <w:szCs w:val="24"/>
        </w:rPr>
        <w:t xml:space="preserve"> Theory</w:t>
      </w:r>
    </w:p>
    <w:p w14:paraId="6DD357C7" w14:textId="334C3897" w:rsidR="008D7E3E" w:rsidRPr="00EA38DE" w:rsidRDefault="008D7E3E" w:rsidP="00A86755">
      <w:pPr>
        <w:pStyle w:val="NormalWeb"/>
        <w:spacing w:before="0" w:beforeAutospacing="0" w:after="240" w:afterAutospacing="0" w:line="480" w:lineRule="auto"/>
        <w:jc w:val="both"/>
      </w:pPr>
      <w:r w:rsidRPr="00EA38DE">
        <w:t xml:space="preserve">The Purchasing Power Parity (PPP) theory, originally proposed by Gunter Cassel in 1981, offers valuable insights into how exchange rate volatility impacts the financial performance of Nigeria’s shipping industry, particularly as the country develops its blue economy (Cassel, 1981; Alagidede &amp; Ibrahim, 2017). According to PPP, exchange rates should adjust in response to differences in the price levels of goods and services between countries, maintaining parity in purchasing power. In practice, when inflation rates or relative prices shift, currency values change, which in turn affects trade flows and, consequently, the performance of shipping and maritime </w:t>
      </w:r>
      <w:r w:rsidR="007C7891" w:rsidRPr="00EA38DE">
        <w:t>logistics, Bahmani et.al.</w:t>
      </w:r>
      <w:r w:rsidRPr="00EA38DE">
        <w:t xml:space="preserve"> </w:t>
      </w:r>
      <w:r w:rsidR="007C7891" w:rsidRPr="00EA38DE">
        <w:t>(</w:t>
      </w:r>
      <w:r w:rsidRPr="00EA38DE">
        <w:t>2009).</w:t>
      </w:r>
    </w:p>
    <w:p w14:paraId="5FDB53B8" w14:textId="77777777" w:rsidR="008D7E3E" w:rsidRPr="00EA38DE" w:rsidRDefault="008D7E3E" w:rsidP="00A86755">
      <w:pPr>
        <w:pStyle w:val="NormalWeb"/>
        <w:spacing w:before="0" w:beforeAutospacing="0" w:after="240" w:afterAutospacing="0" w:line="480" w:lineRule="auto"/>
        <w:jc w:val="both"/>
      </w:pPr>
      <w:r w:rsidRPr="00EA38DE">
        <w:t>In Nigeria, the PPP framework is useful for understanding how shifts in the value of the naira especially against major trade currencies like the U.S. dollar or the euro affect the cost structure of the shipping industry (Akinbobola, 2012). A depreciation of the naira increases the cost of importing foreign goods and services, including freight rates, marine equipment, and port logistics, most of which are priced in foreign currencies. This rise in costs may discourage imports, reduce shipping volumes, and ultimately lower revenue for shipping companies and port authorities (Ogunleye, 2010).</w:t>
      </w:r>
    </w:p>
    <w:p w14:paraId="7C279F5E" w14:textId="77777777" w:rsidR="008D7E3E" w:rsidRPr="00EA38DE" w:rsidRDefault="008D7E3E" w:rsidP="00A86755">
      <w:pPr>
        <w:pStyle w:val="NormalWeb"/>
        <w:spacing w:before="0" w:beforeAutospacing="0" w:after="240" w:afterAutospacing="0" w:line="480" w:lineRule="auto"/>
        <w:jc w:val="both"/>
      </w:pPr>
      <w:r w:rsidRPr="00EA38DE">
        <w:t>On the flip side, when the naira appreciates, the cost of imports may decrease, potentially encouraging greater trade activity. Increased import volumes translate to higher shipping demand and improved financial performance for maritime logistics providers. However, such gains are often unstable in the face of persistent currency volatility and inflationary pressures, which distort pricing, erode competitiveness, and introduce uncertainty into shipping operations and long-term investment planning (Oladipo, 2007).</w:t>
      </w:r>
    </w:p>
    <w:p w14:paraId="1719DE13" w14:textId="77777777" w:rsidR="008D7E3E" w:rsidRPr="00EA38DE" w:rsidRDefault="008D7E3E" w:rsidP="00A86755">
      <w:pPr>
        <w:pStyle w:val="NormalWeb"/>
        <w:spacing w:before="0" w:beforeAutospacing="0" w:after="240" w:afterAutospacing="0" w:line="480" w:lineRule="auto"/>
        <w:jc w:val="both"/>
      </w:pPr>
      <w:r w:rsidRPr="00EA38DE">
        <w:lastRenderedPageBreak/>
        <w:t>The PPP theory also highlights the interconnectedness of consumer demand, pricing, and international trade flows, all of which are central to the blue economy’s performance. Nigeria’s blue economy sectors such as fisheries, aquaculture, desalination, and marine tourism are increasingly tied to global markets. As exchange rate induced price shifts affect the affordability and competitiveness of Nigeria’s blue economy exports, the downstream effects ripple into the shipping industry. For instance, if fish or aquaculture products become too expensive due to costlier shipping or input inflation, foreign demand may fall, reducing export volumes and limiting growth in shipping revenue (Adegbite &amp; Masha, 2021).</w:t>
      </w:r>
    </w:p>
    <w:p w14:paraId="56693B5E" w14:textId="77777777" w:rsidR="008D7E3E" w:rsidRPr="00EA38DE" w:rsidRDefault="008D7E3E" w:rsidP="00A86755">
      <w:pPr>
        <w:pStyle w:val="NormalWeb"/>
        <w:spacing w:before="0" w:beforeAutospacing="0" w:after="240" w:afterAutospacing="0" w:line="480" w:lineRule="auto"/>
        <w:jc w:val="both"/>
      </w:pPr>
      <w:r w:rsidRPr="00EA38DE">
        <w:t>Furthermore, regional competitors may gain an edge if their currencies remain more stable. Neighboring countries like Ghana could experience increased demand for their exports and shipping services, drawing trade away from Nigeria. This would lead to a loss of shipping market share for Nigerian ports and logistics operators, further straining the financial health of the domestic maritime sector (Kutu &amp; Ngalawa, 2016).</w:t>
      </w:r>
    </w:p>
    <w:p w14:paraId="1E177565" w14:textId="118A683E"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central postulation of the PPP theory is that, in the absence of transportation costs and trade barriers, the same basket of goods should have the same price across countries when expressed in a common currency. This forms the basis of the </w:t>
      </w:r>
      <w:r w:rsidRPr="00EA38DE">
        <w:rPr>
          <w:rFonts w:ascii="Times New Roman" w:eastAsia="Times New Roman" w:hAnsi="Times New Roman" w:cs="Times New Roman"/>
          <w:bCs/>
          <w:sz w:val="24"/>
          <w:szCs w:val="24"/>
        </w:rPr>
        <w:t>Law of One Price</w:t>
      </w:r>
      <w:r w:rsidR="00655338"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Krugman,</w:t>
      </w:r>
      <w:r w:rsidR="00655338" w:rsidRPr="00EA38DE">
        <w:rPr>
          <w:rFonts w:ascii="Times New Roman" w:eastAsia="Times New Roman" w:hAnsi="Times New Roman" w:cs="Times New Roman"/>
          <w:sz w:val="24"/>
          <w:szCs w:val="24"/>
        </w:rPr>
        <w:t xml:space="preserve"> et.al,</w:t>
      </w:r>
      <w:r w:rsidRPr="00EA38DE">
        <w:rPr>
          <w:rFonts w:ascii="Times New Roman" w:eastAsia="Times New Roman" w:hAnsi="Times New Roman" w:cs="Times New Roman"/>
          <w:sz w:val="24"/>
          <w:szCs w:val="24"/>
        </w:rPr>
        <w:t xml:space="preserve"> </w:t>
      </w:r>
      <w:r w:rsidR="00655338"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2018). There are two main forms of PPP: </w:t>
      </w:r>
      <w:r w:rsidRPr="00EA38DE">
        <w:rPr>
          <w:rFonts w:ascii="Times New Roman" w:eastAsia="Times New Roman" w:hAnsi="Times New Roman" w:cs="Times New Roman"/>
          <w:bCs/>
          <w:sz w:val="24"/>
          <w:szCs w:val="24"/>
        </w:rPr>
        <w:t>Absolute PPP</w:t>
      </w:r>
      <w:r w:rsidRPr="00EA38DE">
        <w:rPr>
          <w:rFonts w:ascii="Times New Roman" w:eastAsia="Times New Roman" w:hAnsi="Times New Roman" w:cs="Times New Roman"/>
          <w:sz w:val="24"/>
          <w:szCs w:val="24"/>
        </w:rPr>
        <w:t xml:space="preserve"> and </w:t>
      </w:r>
      <w:r w:rsidRPr="00EA38DE">
        <w:rPr>
          <w:rFonts w:ascii="Times New Roman" w:eastAsia="Times New Roman" w:hAnsi="Times New Roman" w:cs="Times New Roman"/>
          <w:bCs/>
          <w:sz w:val="24"/>
          <w:szCs w:val="24"/>
        </w:rPr>
        <w:t>Relative PPP</w:t>
      </w:r>
      <w:r w:rsidRPr="00EA38DE">
        <w:rPr>
          <w:rFonts w:ascii="Times New Roman" w:eastAsia="Times New Roman" w:hAnsi="Times New Roman" w:cs="Times New Roman"/>
          <w:sz w:val="24"/>
          <w:szCs w:val="24"/>
        </w:rPr>
        <w:t>. Absolute PPP suggests that the nominal exchange rate between two countries should equal the ratio of their overall price levels. For example, if a standardized basket of goods costs ₦100 in Nigeria and $1 in the United States, the PPP exchange rate should be ₦100 per $1. This relationship is expressed mathematically as:</w:t>
      </w:r>
    </w:p>
    <w:p w14:paraId="04FF5AEB"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ab/>
      </w:r>
      <w:r w:rsidRPr="00EA38DE">
        <w:rPr>
          <w:rFonts w:ascii="Times New Roman" w:eastAsia="Times New Roman" w:hAnsi="Times New Roman" w:cs="Times New Roman"/>
          <w:sz w:val="24"/>
          <w:szCs w:val="24"/>
        </w:rPr>
        <w:tab/>
      </w:r>
      <w:r w:rsidRPr="00EA38DE">
        <w:rPr>
          <w:rFonts w:ascii="Times New Roman" w:eastAsia="Times New Roman" w:hAnsi="Times New Roman" w:cs="Times New Roman"/>
          <w:sz w:val="24"/>
          <w:szCs w:val="24"/>
        </w:rPr>
        <w:tab/>
      </w:r>
      <w:r w:rsidRPr="00EA38DE">
        <w:rPr>
          <w:rFonts w:ascii="Times New Roman" w:eastAsia="Times New Roman" w:hAnsi="Times New Roman" w:cs="Times New Roman"/>
          <w:i/>
          <w:sz w:val="24"/>
          <w:szCs w:val="24"/>
        </w:rPr>
        <w:t>E</w:t>
      </w:r>
      <w:r w:rsidRPr="00EA38DE">
        <w:rPr>
          <w:rFonts w:ascii="Times New Roman" w:eastAsia="Times New Roman" w:hAnsi="Times New Roman" w:cs="Times New Roman"/>
          <w:sz w:val="24"/>
          <w:szCs w:val="24"/>
        </w:rPr>
        <w:t xml:space="preserve">=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Pd</m:t>
            </m:r>
          </m:num>
          <m:den>
            <m:r>
              <w:rPr>
                <w:rFonts w:ascii="Cambria Math" w:eastAsia="Times New Roman" w:hAnsi="Cambria Math" w:cs="Times New Roman"/>
                <w:sz w:val="24"/>
                <w:szCs w:val="24"/>
              </w:rPr>
              <m:t>Pf</m:t>
            </m:r>
          </m:den>
        </m:f>
      </m:oMath>
    </w:p>
    <w:p w14:paraId="534F97D3"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Where </w:t>
      </w:r>
      <w:r w:rsidRPr="00EA38DE">
        <w:rPr>
          <w:rFonts w:ascii="Times New Roman" w:eastAsia="Times New Roman" w:hAnsi="Times New Roman" w:cs="Times New Roman"/>
          <w:i/>
          <w:sz w:val="24"/>
          <w:szCs w:val="24"/>
        </w:rPr>
        <w:t>E</w:t>
      </w:r>
      <w:r w:rsidRPr="00EA38DE">
        <w:rPr>
          <w:rFonts w:ascii="Times New Roman" w:eastAsia="Times New Roman" w:hAnsi="Times New Roman" w:cs="Times New Roman"/>
          <w:sz w:val="24"/>
          <w:szCs w:val="24"/>
        </w:rPr>
        <w:t xml:space="preserve"> is the exchange rate (domestic currency per unit of foreign currency), Pd is the domestic price level, and Pf​ is the foreign price level.</w:t>
      </w:r>
    </w:p>
    <w:p w14:paraId="2F806B2C"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Relative PPP, by contrast, focuses on the </w:t>
      </w:r>
      <w:r w:rsidRPr="00EA38DE">
        <w:rPr>
          <w:rFonts w:ascii="Times New Roman" w:eastAsia="Times New Roman" w:hAnsi="Times New Roman" w:cs="Times New Roman"/>
          <w:bCs/>
          <w:sz w:val="24"/>
          <w:szCs w:val="24"/>
        </w:rPr>
        <w:t>rate of change</w:t>
      </w:r>
      <w:r w:rsidRPr="00EA38DE">
        <w:rPr>
          <w:rFonts w:ascii="Times New Roman" w:eastAsia="Times New Roman" w:hAnsi="Times New Roman" w:cs="Times New Roman"/>
          <w:sz w:val="24"/>
          <w:szCs w:val="24"/>
        </w:rPr>
        <w:t xml:space="preserve"> in prices over time and its impact on exchange rate movements. It posits that the rate of depreciation or appreciation of a currency is determined by the difference in inflation rates between two countries (Froot &amp; Rogoff, 1995). Mathematically, it can be expressed as:</w:t>
      </w:r>
    </w:p>
    <w:p w14:paraId="6C9C3193"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ab/>
      </w:r>
      <w:r w:rsidRPr="00EA38DE">
        <w:rPr>
          <w:rFonts w:ascii="Times New Roman" w:eastAsia="Times New Roman" w:hAnsi="Times New Roman" w:cs="Times New Roman"/>
          <w:sz w:val="24"/>
          <w:szCs w:val="24"/>
        </w:rPr>
        <w:tab/>
      </w:r>
      <w:r w:rsidRPr="00EA38DE">
        <w:rPr>
          <w:rFonts w:ascii="Times New Roman" w:eastAsia="Times New Roman" w:hAnsi="Times New Roman" w:cs="Times New Roman"/>
          <w:sz w:val="24"/>
          <w:szCs w:val="24"/>
        </w:rPr>
        <w:tab/>
      </w:r>
      <w:r w:rsidRPr="00EA38DE">
        <w:rPr>
          <w:rFonts w:ascii="Times New Roman" w:eastAsia="Times New Roman" w:hAnsi="Times New Roman" w:cs="Times New Roman"/>
          <w:sz w:val="24"/>
          <w:szCs w:val="24"/>
        </w:rPr>
        <w:tab/>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Et</m:t>
            </m:r>
          </m:num>
          <m:den>
            <m:r>
              <w:rPr>
                <w:rFonts w:ascii="Cambria Math" w:eastAsia="Times New Roman" w:hAnsi="Cambria Math" w:cs="Times New Roman"/>
                <w:sz w:val="24"/>
                <w:szCs w:val="24"/>
              </w:rPr>
              <m:t>Eo</m:t>
            </m:r>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m:rPr>
                <m:sty m:val="p"/>
              </m:rPr>
              <w:rPr>
                <w:rFonts w:ascii="Cambria Math" w:eastAsia="Times New Roman" w:hAnsi="Cambria Math" w:cs="Times New Roman"/>
                <w:sz w:val="24"/>
                <w:szCs w:val="24"/>
              </w:rPr>
              <m:t>(1+πd)</m:t>
            </m:r>
          </m:num>
          <m:den>
            <m:r>
              <m:rPr>
                <m:sty m:val="p"/>
              </m:rPr>
              <w:rPr>
                <w:rFonts w:ascii="Cambria Math" w:eastAsia="Times New Roman" w:hAnsi="Cambria Math" w:cs="Times New Roman"/>
                <w:sz w:val="24"/>
                <w:szCs w:val="24"/>
              </w:rPr>
              <m:t>(1+πf​)</m:t>
            </m:r>
          </m:den>
        </m:f>
      </m:oMath>
      <w:r w:rsidRPr="00EA38DE">
        <w:rPr>
          <w:rFonts w:ascii="Times New Roman" w:eastAsia="Times New Roman" w:hAnsi="Times New Roman" w:cs="Times New Roman"/>
          <w:sz w:val="24"/>
          <w:szCs w:val="24"/>
        </w:rPr>
        <w:t xml:space="preserve"> or approximately Δ</w:t>
      </w:r>
      <w:r w:rsidRPr="00EA38DE">
        <w:rPr>
          <w:rFonts w:ascii="Times New Roman" w:eastAsia="Times New Roman" w:hAnsi="Times New Roman" w:cs="Times New Roman"/>
          <w:i/>
          <w:sz w:val="24"/>
          <w:szCs w:val="24"/>
        </w:rPr>
        <w:t xml:space="preserve">E </w:t>
      </w:r>
      <w:r w:rsidRPr="00EA38DE">
        <w:rPr>
          <w:rFonts w:ascii="Times New Roman" w:eastAsia="Times New Roman" w:hAnsi="Times New Roman" w:cs="Times New Roman"/>
          <w:sz w:val="24"/>
          <w:szCs w:val="24"/>
        </w:rPr>
        <w:t xml:space="preserve">≈ πd − πf </w:t>
      </w:r>
    </w:p>
    <w:p w14:paraId="3F26D641"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Where </w:t>
      </w:r>
      <w:r w:rsidRPr="00EA38DE">
        <w:rPr>
          <w:rFonts w:ascii="Times New Roman" w:eastAsia="Times New Roman" w:hAnsi="Times New Roman" w:cs="Times New Roman"/>
          <w:i/>
          <w:sz w:val="24"/>
          <w:szCs w:val="24"/>
        </w:rPr>
        <w:t>Et</w:t>
      </w:r>
      <w:r w:rsidRPr="00EA38DE">
        <w:rPr>
          <w:rFonts w:ascii="Times New Roman" w:eastAsia="Times New Roman" w:hAnsi="Times New Roman" w:cs="Times New Roman"/>
          <w:sz w:val="24"/>
          <w:szCs w:val="24"/>
        </w:rPr>
        <w:t xml:space="preserve"> and </w:t>
      </w:r>
      <w:r w:rsidRPr="00EA38DE">
        <w:rPr>
          <w:rFonts w:ascii="Times New Roman" w:eastAsia="Times New Roman" w:hAnsi="Times New Roman" w:cs="Times New Roman"/>
          <w:i/>
          <w:sz w:val="24"/>
          <w:szCs w:val="24"/>
        </w:rPr>
        <w:t>Eo</w:t>
      </w:r>
      <w:r w:rsidRPr="00EA38DE">
        <w:rPr>
          <w:rFonts w:ascii="Times New Roman" w:eastAsia="Times New Roman" w:hAnsi="Times New Roman" w:cs="Times New Roman"/>
          <w:sz w:val="24"/>
          <w:szCs w:val="24"/>
        </w:rPr>
        <w:t xml:space="preserve"> are the exchange rates at time t and time 0 respectively, and πd and πf ​ are the inflation rates in the domestic and foreign economies.</w:t>
      </w:r>
    </w:p>
    <w:p w14:paraId="4FF64D36"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The PPP theory relies on several simplifying assumptions: the absence of transportation and transaction costs, the non-existence of trade barriers such as tariffs or quotas, the presence of homogeneous and perfectly substitutable goods, and the existence of competitive and efficient markets where prices adjust rapidly (Rogoff, 1996). Furthermore, it assumes stable economic conditions and similar consumer preferences across countries.</w:t>
      </w:r>
    </w:p>
    <w:p w14:paraId="36FCE30A" w14:textId="089D5B95"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While, these assumptions often do not hold particularly in developing countries like Nigeria, where inflation, currency controls, and trade distortions are common PPP remains a useful theoretical benchmark for evaluating long-term exchange rate behavior.</w:t>
      </w:r>
    </w:p>
    <w:p w14:paraId="1E9EC8FB"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the Nigerian context, PPP provides insights into how fluctuations in the exchange rate, especially between the naira and major currencies such as the U.S. dollar or the euro, affect the </w:t>
      </w:r>
      <w:r w:rsidRPr="00EA38DE">
        <w:rPr>
          <w:rFonts w:ascii="Times New Roman" w:eastAsia="Times New Roman" w:hAnsi="Times New Roman" w:cs="Times New Roman"/>
          <w:bCs/>
          <w:sz w:val="24"/>
          <w:szCs w:val="24"/>
        </w:rPr>
        <w:t>financial performance of the shipping industry</w:t>
      </w:r>
      <w:r w:rsidRPr="00EA38DE">
        <w:rPr>
          <w:rFonts w:ascii="Times New Roman" w:eastAsia="Times New Roman" w:hAnsi="Times New Roman" w:cs="Times New Roman"/>
          <w:sz w:val="24"/>
          <w:szCs w:val="24"/>
        </w:rPr>
        <w:t xml:space="preserve"> and broader </w:t>
      </w:r>
      <w:r w:rsidRPr="00EA38DE">
        <w:rPr>
          <w:rFonts w:ascii="Times New Roman" w:eastAsia="Times New Roman" w:hAnsi="Times New Roman" w:cs="Times New Roman"/>
          <w:bCs/>
          <w:sz w:val="24"/>
          <w:szCs w:val="24"/>
        </w:rPr>
        <w:t>blue economy</w:t>
      </w:r>
      <w:r w:rsidRPr="00EA38DE">
        <w:rPr>
          <w:rFonts w:ascii="Times New Roman" w:eastAsia="Times New Roman" w:hAnsi="Times New Roman" w:cs="Times New Roman"/>
          <w:sz w:val="24"/>
          <w:szCs w:val="24"/>
        </w:rPr>
        <w:t xml:space="preserve">. A depreciation of the naira, often driven by domestic inflation, increases the cost of imported maritime goods and </w:t>
      </w:r>
      <w:r w:rsidRPr="00EA38DE">
        <w:rPr>
          <w:rFonts w:ascii="Times New Roman" w:eastAsia="Times New Roman" w:hAnsi="Times New Roman" w:cs="Times New Roman"/>
          <w:sz w:val="24"/>
          <w:szCs w:val="24"/>
        </w:rPr>
        <w:lastRenderedPageBreak/>
        <w:t>services, such as freight charges, ship maintenance equipment, and port logistics (Akinlo &amp; Apanisile, 2015). This escalation in operational costs can reduce trade volumes and shrink the revenue base of shipping companies and port authorities.</w:t>
      </w:r>
    </w:p>
    <w:p w14:paraId="4C911090" w14:textId="0C5CD1A4"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On the other hand, appreciation of the naira may reduce the cost of imports, potentially encouraging trade and increasing shipping volumes. However, the instability of Nigeria’s currency, combined with inflationary pressures, often distorts prices and hampers competitiveness, leading to uncertainty in investment planning and maritime operations (Enebeli</w:t>
      </w:r>
      <w:r w:rsidR="00887359" w:rsidRPr="00EA38DE">
        <w:rPr>
          <w:rFonts w:ascii="Times New Roman" w:eastAsia="Times New Roman" w:hAnsi="Times New Roman" w:cs="Times New Roman"/>
          <w:sz w:val="24"/>
          <w:szCs w:val="24"/>
        </w:rPr>
        <w:t xml:space="preserve"> &amp; </w:t>
      </w:r>
      <w:r w:rsidRPr="00EA38DE">
        <w:rPr>
          <w:rFonts w:ascii="Times New Roman" w:eastAsia="Times New Roman" w:hAnsi="Times New Roman" w:cs="Times New Roman"/>
          <w:sz w:val="24"/>
          <w:szCs w:val="24"/>
        </w:rPr>
        <w:t>Uzor, 2020).</w:t>
      </w:r>
    </w:p>
    <w:p w14:paraId="381181B0" w14:textId="17CF0C31"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Moreover, the PPP framework emphasizes the interconnectedness between price levels, consumer demand, and international trade flows all of which are integral to the blue economy. As Nigeria’s maritime industries including aquaculture, fisheries, marine tourism, and offshore resource management become increasingly integrated with global markets, exchange rate-induced price volatility can affect their global competitiveness. Higher input costs may lead to reduced export volumes, affecting shipping demand and undermining growth (UNCTAD, 2020). Furthermore, regional competitors with more stable currencies, such as Ghana, may attract increased shipping demand and trade flows, eroding Nigeria’s market share in the West African maritime corridor.</w:t>
      </w:r>
    </w:p>
    <w:p w14:paraId="12A90F96"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conclusion, </w:t>
      </w:r>
      <w:r w:rsidRPr="00EA38DE">
        <w:rPr>
          <w:rFonts w:ascii="Times New Roman" w:eastAsia="Times New Roman" w:hAnsi="Times New Roman" w:cs="Times New Roman"/>
          <w:bCs/>
          <w:sz w:val="24"/>
          <w:szCs w:val="24"/>
        </w:rPr>
        <w:t>the purchasing power parity (PPP) theory provides a useful framework</w:t>
      </w:r>
      <w:r w:rsidRPr="00EA38DE">
        <w:rPr>
          <w:rFonts w:ascii="Times New Roman" w:eastAsia="Times New Roman" w:hAnsi="Times New Roman" w:cs="Times New Roman"/>
          <w:sz w:val="24"/>
          <w:szCs w:val="24"/>
        </w:rPr>
        <w:t xml:space="preserve"> for analyzing how </w:t>
      </w:r>
      <w:r w:rsidRPr="00EA38DE">
        <w:rPr>
          <w:rFonts w:ascii="Times New Roman" w:eastAsia="Times New Roman" w:hAnsi="Times New Roman" w:cs="Times New Roman"/>
          <w:bCs/>
          <w:sz w:val="24"/>
          <w:szCs w:val="24"/>
        </w:rPr>
        <w:t>exchange rate volatility and price-level changes</w:t>
      </w:r>
      <w:r w:rsidRPr="00EA38DE">
        <w:rPr>
          <w:rFonts w:ascii="Times New Roman" w:eastAsia="Times New Roman" w:hAnsi="Times New Roman" w:cs="Times New Roman"/>
          <w:sz w:val="24"/>
          <w:szCs w:val="24"/>
        </w:rPr>
        <w:t xml:space="preserve"> impact the </w:t>
      </w:r>
      <w:r w:rsidRPr="00EA38DE">
        <w:rPr>
          <w:rFonts w:ascii="Times New Roman" w:eastAsia="Times New Roman" w:hAnsi="Times New Roman" w:cs="Times New Roman"/>
          <w:bCs/>
          <w:sz w:val="24"/>
          <w:szCs w:val="24"/>
        </w:rPr>
        <w:t>shipping industry’s financial performance in Nigeria</w:t>
      </w:r>
      <w:r w:rsidRPr="00EA38DE">
        <w:rPr>
          <w:rFonts w:ascii="Times New Roman" w:eastAsia="Times New Roman" w:hAnsi="Times New Roman" w:cs="Times New Roman"/>
          <w:sz w:val="24"/>
          <w:szCs w:val="24"/>
        </w:rPr>
        <w:t>, particularly within the broader blue economy context. To stabilize trade flows and sustain maritime sector profitability, policies aimed at controlling inflation, reducing currency fluctuations, and strengthening local blue economy industries are essential. Such measures will help Nigeria’s shipping sector remain competitive and financially resilient in an increasingly globalized trade environment. (Akinlo &amp; Apanisile, 2015).</w:t>
      </w:r>
    </w:p>
    <w:p w14:paraId="7AC7AE60" w14:textId="6633547E" w:rsidR="008D7E3E" w:rsidRPr="00EA38DE" w:rsidRDefault="008D7E3E" w:rsidP="00A86755">
      <w:pPr>
        <w:pStyle w:val="NormalWeb"/>
        <w:spacing w:before="0" w:beforeAutospacing="0" w:after="240" w:afterAutospacing="0" w:line="480" w:lineRule="auto"/>
        <w:jc w:val="both"/>
        <w:rPr>
          <w:b/>
          <w:bCs/>
        </w:rPr>
      </w:pPr>
      <w:r w:rsidRPr="00EA38DE">
        <w:rPr>
          <w:rStyle w:val="Strong"/>
        </w:rPr>
        <w:lastRenderedPageBreak/>
        <w:t>2.4.</w:t>
      </w:r>
      <w:r w:rsidR="0097483E" w:rsidRPr="00EA38DE">
        <w:rPr>
          <w:rStyle w:val="Strong"/>
        </w:rPr>
        <w:t>4</w:t>
      </w:r>
      <w:r w:rsidRPr="00EA38DE">
        <w:rPr>
          <w:rStyle w:val="Strong"/>
        </w:rPr>
        <w:tab/>
        <w:t>Traditional Flow Theory</w:t>
      </w:r>
    </w:p>
    <w:p w14:paraId="5979A49D" w14:textId="531BA5AB" w:rsidR="008D7E3E" w:rsidRPr="00EA38DE" w:rsidRDefault="008D7E3E" w:rsidP="00A86755">
      <w:pPr>
        <w:pStyle w:val="NormalWeb"/>
        <w:spacing w:before="0" w:beforeAutospacing="0" w:after="240" w:afterAutospacing="0" w:line="480" w:lineRule="auto"/>
        <w:jc w:val="both"/>
      </w:pPr>
      <w:r w:rsidRPr="00EA38DE">
        <w:t>The Traditional Flow Theory emerged from classical trade theory and was shaped by economists such as</w:t>
      </w:r>
      <w:r w:rsidRPr="00EA38DE">
        <w:rPr>
          <w:b/>
        </w:rPr>
        <w:t xml:space="preserve"> </w:t>
      </w:r>
      <w:r w:rsidRPr="00EA38DE">
        <w:rPr>
          <w:rStyle w:val="Strong"/>
          <w:b w:val="0"/>
        </w:rPr>
        <w:t>Robert Mundell</w:t>
      </w:r>
      <w:r w:rsidRPr="00EA38DE">
        <w:rPr>
          <w:b/>
        </w:rPr>
        <w:t xml:space="preserve"> </w:t>
      </w:r>
      <w:r w:rsidRPr="00EA38DE">
        <w:t>and</w:t>
      </w:r>
      <w:r w:rsidRPr="00EA38DE">
        <w:rPr>
          <w:b/>
        </w:rPr>
        <w:t xml:space="preserve"> </w:t>
      </w:r>
      <w:r w:rsidRPr="00EA38DE">
        <w:rPr>
          <w:rStyle w:val="Strong"/>
          <w:b w:val="0"/>
        </w:rPr>
        <w:t>Marcus Fleming</w:t>
      </w:r>
      <w:r w:rsidRPr="00EA38DE">
        <w:rPr>
          <w:b/>
        </w:rPr>
        <w:t>,</w:t>
      </w:r>
      <w:r w:rsidRPr="00EA38DE">
        <w:t xml:space="preserve"> and later elaborated upon by scholars like </w:t>
      </w:r>
      <w:r w:rsidRPr="00EA38DE">
        <w:rPr>
          <w:rStyle w:val="Strong"/>
          <w:b w:val="0"/>
        </w:rPr>
        <w:t>Paul Krugman</w:t>
      </w:r>
      <w:r w:rsidRPr="00EA38DE">
        <w:rPr>
          <w:b/>
        </w:rPr>
        <w:t xml:space="preserve"> </w:t>
      </w:r>
      <w:r w:rsidRPr="00EA38DE">
        <w:t>and</w:t>
      </w:r>
      <w:r w:rsidRPr="00EA38DE">
        <w:rPr>
          <w:b/>
        </w:rPr>
        <w:t xml:space="preserve"> </w:t>
      </w:r>
      <w:r w:rsidRPr="00EA38DE">
        <w:rPr>
          <w:rStyle w:val="Strong"/>
          <w:b w:val="0"/>
        </w:rPr>
        <w:t>Maurice Obstfeld</w:t>
      </w:r>
      <w:r w:rsidRPr="00EA38DE">
        <w:t xml:space="preserve"> in the context of open economy macroeconomic models. The Traditional Flow Theory provides a foundational framework for understanding how exchange rate volatility and trade dynamics influence the financial performance of the shipping industry in Nigeria, especially within the context of the growing blue economy (Mundell, 1963; Dornbusch, 1976; Krugman</w:t>
      </w:r>
      <w:r w:rsidR="00887359" w:rsidRPr="00EA38DE">
        <w:t xml:space="preserve"> et.al.</w:t>
      </w:r>
      <w:r w:rsidRPr="00EA38DE">
        <w:t xml:space="preserve"> 2018). This theory posits that a country’s exchange rate is closely linked to its trade balance: trade surpluses tend to appreciate a nation's currency, while trade deficits typically lead to depreciation (Krugman et al., 2018).</w:t>
      </w:r>
    </w:p>
    <w:p w14:paraId="2AAD1219" w14:textId="07FB98BE" w:rsidR="008D7E3E" w:rsidRPr="00EA38DE" w:rsidRDefault="008D7E3E" w:rsidP="00A86755">
      <w:pPr>
        <w:pStyle w:val="NormalWeb"/>
        <w:spacing w:before="0" w:beforeAutospacing="0" w:after="240" w:afterAutospacing="0" w:line="480" w:lineRule="auto"/>
        <w:jc w:val="both"/>
      </w:pPr>
      <w:r w:rsidRPr="00EA38DE">
        <w:t>For Nigeria, where the economy heavily depends on the export of oil, agricultural commodities, and increasingly, marine-based products from the blue economy (such as fish and seafood), fluctuations in the trade balance directly impact the naira’s exchange rate (Okonkwo &amp; Ukeje, 2015). When the value of exports declines whether due to falling global demand, commodity price shocks, or operational bottlenecks Nigeria’s trade deficit may widen. This puts downward pressure on the currency, making shipping services more expensive, particularly those priced in foreign currencies. As foreign shipping companies adjust their rates to cover exchange rate losses, Nigerian shippers and importers face increased costs, reducing the profitability of maritime trade Adegbite</w:t>
      </w:r>
      <w:r w:rsidR="00005B7D" w:rsidRPr="00EA38DE">
        <w:t>,</w:t>
      </w:r>
      <w:r w:rsidR="00887359" w:rsidRPr="00EA38DE">
        <w:t xml:space="preserve"> et.al.</w:t>
      </w:r>
      <w:r w:rsidRPr="00EA38DE">
        <w:t xml:space="preserve"> </w:t>
      </w:r>
      <w:r w:rsidR="00887359" w:rsidRPr="00EA38DE">
        <w:t>(</w:t>
      </w:r>
      <w:r w:rsidRPr="00EA38DE">
        <w:t>2021).</w:t>
      </w:r>
    </w:p>
    <w:p w14:paraId="4C9C149C" w14:textId="77777777" w:rsidR="008D7E3E" w:rsidRPr="00EA38DE" w:rsidRDefault="008D7E3E" w:rsidP="00A86755">
      <w:pPr>
        <w:pStyle w:val="NormalWeb"/>
        <w:spacing w:before="0" w:beforeAutospacing="0" w:after="240" w:afterAutospacing="0" w:line="480" w:lineRule="auto"/>
        <w:jc w:val="both"/>
      </w:pPr>
      <w:r w:rsidRPr="00EA38DE">
        <w:t xml:space="preserve">The shipping industry, which serves as a logistical backbone for international trade, is highly sensitive to these changes. As shipping services become more expensive due to currency depreciation, import volumes may decline, which in turn affects shipping company revenues and </w:t>
      </w:r>
      <w:r w:rsidRPr="00EA38DE">
        <w:lastRenderedPageBreak/>
        <w:t>port activity. These fluctuations in trade flows driven by exchange rate instability make it harder for shipping firms to plan investments or maintain steady income, increasing the sector’s financial risk (Onyemaechi, 2020).</w:t>
      </w:r>
    </w:p>
    <w:p w14:paraId="1ACF821C"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This theory is rooted in classical demand and supply dynamics in the </w:t>
      </w:r>
      <w:r w:rsidRPr="00EA38DE">
        <w:rPr>
          <w:rStyle w:val="Strong"/>
          <w:rFonts w:ascii="Times New Roman" w:hAnsi="Times New Roman" w:cs="Times New Roman"/>
          <w:b w:val="0"/>
          <w:bCs w:val="0"/>
          <w:sz w:val="24"/>
          <w:szCs w:val="24"/>
        </w:rPr>
        <w:t>foreign exchange market</w:t>
      </w:r>
      <w:r w:rsidRPr="00EA38DE">
        <w:rPr>
          <w:rFonts w:ascii="Times New Roman" w:hAnsi="Times New Roman" w:cs="Times New Roman"/>
          <w:sz w:val="24"/>
          <w:szCs w:val="24"/>
        </w:rPr>
        <w:t xml:space="preserve">, where trade flows directly impact the availability of foreign currency. </w:t>
      </w:r>
      <w:r w:rsidRPr="00EA38DE">
        <w:rPr>
          <w:rStyle w:val="Strong"/>
          <w:rFonts w:ascii="Times New Roman" w:hAnsi="Times New Roman" w:cs="Times New Roman"/>
          <w:b w:val="0"/>
          <w:bCs w:val="0"/>
          <w:sz w:val="24"/>
          <w:szCs w:val="24"/>
        </w:rPr>
        <w:t>Exports</w:t>
      </w:r>
      <w:r w:rsidRPr="00EA38DE">
        <w:rPr>
          <w:rFonts w:ascii="Times New Roman" w:hAnsi="Times New Roman" w:cs="Times New Roman"/>
          <w:sz w:val="24"/>
          <w:szCs w:val="24"/>
        </w:rPr>
        <w:t xml:space="preserve"> generate a supply of foreign exchange, while </w:t>
      </w:r>
      <w:r w:rsidRPr="00EA38DE">
        <w:rPr>
          <w:rStyle w:val="Strong"/>
          <w:rFonts w:ascii="Times New Roman" w:hAnsi="Times New Roman" w:cs="Times New Roman"/>
          <w:b w:val="0"/>
          <w:bCs w:val="0"/>
          <w:sz w:val="24"/>
          <w:szCs w:val="24"/>
        </w:rPr>
        <w:t>imports</w:t>
      </w:r>
      <w:r w:rsidRPr="00EA38DE">
        <w:rPr>
          <w:rFonts w:ascii="Times New Roman" w:hAnsi="Times New Roman" w:cs="Times New Roman"/>
          <w:sz w:val="24"/>
          <w:szCs w:val="24"/>
        </w:rPr>
        <w:t xml:space="preserve"> create a demand for foreign currency. Thus, the trade balance plays a central role in determining the </w:t>
      </w:r>
      <w:r w:rsidRPr="00EA38DE">
        <w:rPr>
          <w:rStyle w:val="Strong"/>
          <w:rFonts w:ascii="Times New Roman" w:hAnsi="Times New Roman" w:cs="Times New Roman"/>
          <w:b w:val="0"/>
          <w:bCs w:val="0"/>
          <w:sz w:val="24"/>
          <w:szCs w:val="24"/>
        </w:rPr>
        <w:t>direction of exchange rate changes</w:t>
      </w:r>
      <w:r w:rsidRPr="00EA38DE">
        <w:rPr>
          <w:rFonts w:ascii="Times New Roman" w:hAnsi="Times New Roman" w:cs="Times New Roman"/>
          <w:sz w:val="24"/>
          <w:szCs w:val="24"/>
        </w:rPr>
        <w:t>.</w:t>
      </w:r>
    </w:p>
    <w:p w14:paraId="25BF330E"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Mathematically, the theory can be expressed through a basic equilibrium condition in the foreign exchange market. The demand for foreign exchange (which arises from imports) is denoted as: </w:t>
      </w:r>
      <w:r w:rsidRPr="00EA38DE">
        <w:rPr>
          <w:rFonts w:ascii="Times New Roman" w:hAnsi="Times New Roman" w:cs="Times New Roman"/>
          <w:i/>
          <w:sz w:val="24"/>
          <w:szCs w:val="24"/>
        </w:rPr>
        <w:t>D</w:t>
      </w:r>
      <w:r w:rsidRPr="00EA38DE">
        <w:rPr>
          <w:rFonts w:ascii="Times New Roman" w:hAnsi="Times New Roman" w:cs="Times New Roman"/>
          <w:i/>
          <w:sz w:val="24"/>
          <w:szCs w:val="24"/>
          <w:vertAlign w:val="subscript"/>
        </w:rPr>
        <w:t>FX,</w:t>
      </w:r>
      <w:r w:rsidRPr="00EA38DE">
        <w:rPr>
          <w:rFonts w:ascii="Times New Roman" w:hAnsi="Times New Roman" w:cs="Times New Roman"/>
          <w:sz w:val="24"/>
          <w:szCs w:val="24"/>
        </w:rPr>
        <w:t xml:space="preserve"> and the supply of foreign exchange (arising from exports) is denoted as </w:t>
      </w:r>
      <w:r w:rsidRPr="00EA38DE">
        <w:rPr>
          <w:rFonts w:ascii="Times New Roman" w:hAnsi="Times New Roman" w:cs="Times New Roman"/>
          <w:i/>
          <w:sz w:val="24"/>
          <w:szCs w:val="24"/>
        </w:rPr>
        <w:t>S</w:t>
      </w:r>
      <w:r w:rsidRPr="00EA38DE">
        <w:rPr>
          <w:rFonts w:ascii="Times New Roman" w:hAnsi="Times New Roman" w:cs="Times New Roman"/>
          <w:i/>
          <w:sz w:val="24"/>
          <w:szCs w:val="24"/>
          <w:vertAlign w:val="subscript"/>
        </w:rPr>
        <w:t>FX</w:t>
      </w:r>
      <w:r w:rsidRPr="00EA38DE">
        <w:rPr>
          <w:rFonts w:ascii="Times New Roman" w:hAnsi="Times New Roman" w:cs="Times New Roman"/>
          <w:sz w:val="24"/>
          <w:szCs w:val="24"/>
        </w:rPr>
        <w:t>. At equilibrium, the following condition holds:</w:t>
      </w:r>
    </w:p>
    <w:p w14:paraId="3316737B" w14:textId="77777777" w:rsidR="008D7E3E" w:rsidRPr="00EA38DE" w:rsidRDefault="008D7E3E" w:rsidP="00A86755">
      <w:pPr>
        <w:pStyle w:val="NoSpacing"/>
        <w:spacing w:after="240" w:line="480" w:lineRule="auto"/>
        <w:ind w:left="3600" w:firstLine="720"/>
        <w:jc w:val="both"/>
        <w:rPr>
          <w:rFonts w:ascii="Times New Roman" w:hAnsi="Times New Roman" w:cs="Times New Roman"/>
          <w:sz w:val="24"/>
          <w:szCs w:val="24"/>
        </w:rPr>
      </w:pPr>
      <w:r w:rsidRPr="00EA38DE">
        <w:rPr>
          <w:rFonts w:ascii="Times New Roman" w:hAnsi="Times New Roman" w:cs="Times New Roman"/>
          <w:i/>
          <w:sz w:val="24"/>
          <w:szCs w:val="24"/>
        </w:rPr>
        <w:t>D</w:t>
      </w:r>
      <w:r w:rsidRPr="00EA38DE">
        <w:rPr>
          <w:rFonts w:ascii="Times New Roman" w:hAnsi="Times New Roman" w:cs="Times New Roman"/>
          <w:i/>
          <w:sz w:val="24"/>
          <w:szCs w:val="24"/>
          <w:vertAlign w:val="subscript"/>
        </w:rPr>
        <w:t xml:space="preserve">FX </w:t>
      </w:r>
      <w:r w:rsidRPr="00EA38DE">
        <w:rPr>
          <w:rFonts w:ascii="Times New Roman" w:hAnsi="Times New Roman" w:cs="Times New Roman"/>
          <w:i/>
          <w:sz w:val="24"/>
          <w:szCs w:val="24"/>
        </w:rPr>
        <w:t>= S</w:t>
      </w:r>
      <w:r w:rsidRPr="00EA38DE">
        <w:rPr>
          <w:rFonts w:ascii="Times New Roman" w:hAnsi="Times New Roman" w:cs="Times New Roman"/>
          <w:i/>
          <w:sz w:val="24"/>
          <w:szCs w:val="24"/>
          <w:vertAlign w:val="subscript"/>
        </w:rPr>
        <w:t>FX</w:t>
      </w:r>
      <w:r w:rsidRPr="00EA38DE">
        <w:rPr>
          <w:rFonts w:ascii="Times New Roman" w:hAnsi="Times New Roman" w:cs="Times New Roman"/>
          <w:sz w:val="24"/>
          <w:szCs w:val="24"/>
        </w:rPr>
        <w:t>.</w:t>
      </w:r>
    </w:p>
    <w:p w14:paraId="7F5915E3"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This implies that the value of imports (M) must equal the value of exports (X) for the exchange rate to remain stable. When imports exceed exports (i.e., when M&gt;X), the resulting trade deficit creates excess demand for foreign currency, leading to a depreciation of the domestic currency. Conversely, when exports exceed imports (i.e., X &gt; M), the resulting surplus leads to excess supply of foreign currency and appreciation of the domestic currency.</w:t>
      </w:r>
    </w:p>
    <w:p w14:paraId="17A9AE5D"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This relationship can also be written as:</w:t>
      </w:r>
    </w:p>
    <w:p w14:paraId="6392D3DD" w14:textId="77777777" w:rsidR="008D7E3E" w:rsidRPr="00EA38DE" w:rsidRDefault="008D7E3E" w:rsidP="00A86755">
      <w:pPr>
        <w:pStyle w:val="NoSpacing"/>
        <w:spacing w:after="240" w:line="480" w:lineRule="auto"/>
        <w:jc w:val="both"/>
        <w:rPr>
          <w:rFonts w:ascii="Times New Roman" w:hAnsi="Times New Roman" w:cs="Times New Roman"/>
          <w:i/>
          <w:sz w:val="24"/>
          <w:szCs w:val="24"/>
        </w:rPr>
      </w:pPr>
      <w:r w:rsidRPr="00EA38DE">
        <w:rPr>
          <w:rFonts w:ascii="Times New Roman" w:hAnsi="Times New Roman" w:cs="Times New Roman"/>
          <w:sz w:val="24"/>
          <w:szCs w:val="24"/>
        </w:rPr>
        <w:tab/>
      </w:r>
      <w:r w:rsidRPr="00EA38DE">
        <w:rPr>
          <w:rFonts w:ascii="Times New Roman" w:hAnsi="Times New Roman" w:cs="Times New Roman"/>
          <w:sz w:val="24"/>
          <w:szCs w:val="24"/>
        </w:rPr>
        <w:tab/>
      </w:r>
      <w:r w:rsidRPr="00EA38DE">
        <w:rPr>
          <w:rFonts w:ascii="Times New Roman" w:hAnsi="Times New Roman" w:cs="Times New Roman"/>
          <w:sz w:val="24"/>
          <w:szCs w:val="24"/>
        </w:rPr>
        <w:tab/>
      </w:r>
      <w:r w:rsidRPr="00EA38DE">
        <w:rPr>
          <w:rFonts w:ascii="Times New Roman" w:hAnsi="Times New Roman" w:cs="Times New Roman"/>
          <w:sz w:val="24"/>
          <w:szCs w:val="24"/>
        </w:rPr>
        <w:tab/>
      </w:r>
      <w:r w:rsidRPr="00EA38DE">
        <w:rPr>
          <w:rFonts w:ascii="Times New Roman" w:hAnsi="Times New Roman" w:cs="Times New Roman"/>
          <w:sz w:val="24"/>
          <w:szCs w:val="24"/>
        </w:rPr>
        <w:tab/>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dE</m:t>
            </m:r>
          </m:num>
          <m:den>
            <m:r>
              <w:rPr>
                <w:rFonts w:ascii="Cambria Math" w:eastAsia="Times New Roman" w:hAnsi="Cambria Math" w:cs="Times New Roman"/>
                <w:sz w:val="24"/>
                <w:szCs w:val="24"/>
              </w:rPr>
              <m:t>dt</m:t>
            </m:r>
          </m:den>
        </m:f>
      </m:oMath>
      <w:r w:rsidRPr="00EA38DE">
        <w:rPr>
          <w:rFonts w:ascii="Times New Roman" w:eastAsiaTheme="minorEastAsia" w:hAnsi="Times New Roman" w:cs="Times New Roman"/>
          <w:sz w:val="24"/>
          <w:szCs w:val="24"/>
        </w:rPr>
        <w:t xml:space="preserve"> = </w:t>
      </w:r>
      <w:r w:rsidRPr="00EA38DE">
        <w:rPr>
          <w:rStyle w:val="mord"/>
          <w:rFonts w:ascii="Times New Roman" w:hAnsi="Times New Roman" w:cs="Times New Roman"/>
          <w:i/>
          <w:sz w:val="24"/>
          <w:szCs w:val="24"/>
        </w:rPr>
        <w:t>f</w:t>
      </w:r>
      <w:r w:rsidRPr="00EA38DE">
        <w:rPr>
          <w:rStyle w:val="mopen"/>
          <w:rFonts w:ascii="Times New Roman" w:hAnsi="Times New Roman" w:cs="Times New Roman"/>
          <w:i/>
          <w:sz w:val="24"/>
          <w:szCs w:val="24"/>
        </w:rPr>
        <w:t>(</w:t>
      </w:r>
      <w:r w:rsidRPr="00EA38DE">
        <w:rPr>
          <w:rStyle w:val="mord"/>
          <w:rFonts w:ascii="Times New Roman" w:hAnsi="Times New Roman" w:cs="Times New Roman"/>
          <w:i/>
          <w:sz w:val="24"/>
          <w:szCs w:val="24"/>
        </w:rPr>
        <w:t>X</w:t>
      </w:r>
      <w:r w:rsidRPr="00EA38DE">
        <w:rPr>
          <w:rStyle w:val="mbin"/>
          <w:rFonts w:ascii="Times New Roman" w:hAnsi="Times New Roman" w:cs="Times New Roman"/>
          <w:i/>
          <w:sz w:val="24"/>
          <w:szCs w:val="24"/>
        </w:rPr>
        <w:t>−</w:t>
      </w:r>
      <w:r w:rsidRPr="00EA38DE">
        <w:rPr>
          <w:rStyle w:val="mord"/>
          <w:rFonts w:ascii="Times New Roman" w:hAnsi="Times New Roman" w:cs="Times New Roman"/>
          <w:i/>
          <w:sz w:val="24"/>
          <w:szCs w:val="24"/>
        </w:rPr>
        <w:t>M</w:t>
      </w:r>
      <w:r w:rsidRPr="00EA38DE">
        <w:rPr>
          <w:rStyle w:val="mclose"/>
          <w:rFonts w:ascii="Times New Roman" w:hAnsi="Times New Roman" w:cs="Times New Roman"/>
          <w:i/>
          <w:sz w:val="24"/>
          <w:szCs w:val="24"/>
        </w:rPr>
        <w:t>)</w:t>
      </w:r>
    </w:p>
    <w:p w14:paraId="12D6BA54" w14:textId="7F42F649"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Where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dE</m:t>
            </m:r>
          </m:num>
          <m:den>
            <m:r>
              <w:rPr>
                <w:rFonts w:ascii="Cambria Math" w:eastAsia="Times New Roman" w:hAnsi="Cambria Math" w:cs="Times New Roman"/>
                <w:sz w:val="24"/>
                <w:szCs w:val="24"/>
              </w:rPr>
              <m:t>dt</m:t>
            </m:r>
          </m:den>
        </m:f>
      </m:oMath>
      <w:r w:rsidRPr="00EA38DE">
        <w:rPr>
          <w:rFonts w:ascii="Times New Roman" w:eastAsiaTheme="minorEastAsia" w:hAnsi="Times New Roman" w:cs="Times New Roman"/>
          <w:sz w:val="24"/>
          <w:szCs w:val="24"/>
        </w:rPr>
        <w:t xml:space="preserve"> </w:t>
      </w:r>
      <w:r w:rsidRPr="00EA38DE">
        <w:rPr>
          <w:rFonts w:ascii="Times New Roman" w:hAnsi="Times New Roman" w:cs="Times New Roman"/>
          <w:sz w:val="24"/>
          <w:szCs w:val="24"/>
        </w:rPr>
        <w:t xml:space="preserve">represents the rate of change in the exchange rate over time, and X− M is the trade balance. A negative trade balance (X&lt; M) implies that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dE</m:t>
            </m:r>
          </m:num>
          <m:den>
            <m:r>
              <w:rPr>
                <w:rFonts w:ascii="Cambria Math" w:eastAsia="Times New Roman" w:hAnsi="Cambria Math" w:cs="Times New Roman"/>
                <w:sz w:val="24"/>
                <w:szCs w:val="24"/>
              </w:rPr>
              <m:t>dt</m:t>
            </m:r>
          </m:den>
        </m:f>
      </m:oMath>
      <w:r w:rsidRPr="00EA38DE">
        <w:rPr>
          <w:rFonts w:ascii="Times New Roman" w:eastAsiaTheme="minorEastAsia" w:hAnsi="Times New Roman" w:cs="Times New Roman"/>
          <w:sz w:val="24"/>
          <w:szCs w:val="24"/>
        </w:rPr>
        <w:t xml:space="preserve"> </w:t>
      </w:r>
      <w:r w:rsidRPr="00EA38DE">
        <w:rPr>
          <w:rFonts w:ascii="Times New Roman" w:hAnsi="Times New Roman" w:cs="Times New Roman"/>
          <w:sz w:val="24"/>
          <w:szCs w:val="24"/>
        </w:rPr>
        <w:t xml:space="preserve">&gt; 0 meaning the domestic currency is depreciating. A positive balance (X&gt;M) indicates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dE</m:t>
            </m:r>
          </m:num>
          <m:den>
            <m:r>
              <w:rPr>
                <w:rFonts w:ascii="Cambria Math" w:eastAsia="Times New Roman" w:hAnsi="Cambria Math" w:cs="Times New Roman"/>
                <w:sz w:val="24"/>
                <w:szCs w:val="24"/>
              </w:rPr>
              <m:t>dt</m:t>
            </m:r>
          </m:den>
        </m:f>
      </m:oMath>
      <w:r w:rsidRPr="00EA38DE">
        <w:rPr>
          <w:rFonts w:ascii="Times New Roman" w:eastAsiaTheme="minorEastAsia" w:hAnsi="Times New Roman" w:cs="Times New Roman"/>
          <w:sz w:val="24"/>
          <w:szCs w:val="24"/>
        </w:rPr>
        <w:t xml:space="preserve"> </w:t>
      </w:r>
      <w:r w:rsidRPr="00EA38DE">
        <w:rPr>
          <w:rFonts w:ascii="Times New Roman" w:hAnsi="Times New Roman" w:cs="Times New Roman"/>
          <w:sz w:val="24"/>
          <w:szCs w:val="24"/>
        </w:rPr>
        <w:t>​&lt;0, signaling currency appreciation</w:t>
      </w:r>
      <w:r w:rsidR="00887359" w:rsidRPr="00EA38DE">
        <w:rPr>
          <w:rFonts w:ascii="Times New Roman" w:hAnsi="Times New Roman" w:cs="Times New Roman"/>
          <w:sz w:val="24"/>
          <w:szCs w:val="24"/>
        </w:rPr>
        <w:t xml:space="preserve">, </w:t>
      </w:r>
      <w:r w:rsidRPr="00EA38DE">
        <w:rPr>
          <w:rFonts w:ascii="Times New Roman" w:hAnsi="Times New Roman" w:cs="Times New Roman"/>
          <w:sz w:val="24"/>
          <w:szCs w:val="24"/>
        </w:rPr>
        <w:t>Krugman</w:t>
      </w:r>
      <w:r w:rsidR="00887359" w:rsidRPr="00EA38DE">
        <w:rPr>
          <w:rFonts w:ascii="Times New Roman" w:hAnsi="Times New Roman" w:cs="Times New Roman"/>
          <w:sz w:val="24"/>
          <w:szCs w:val="24"/>
        </w:rPr>
        <w:t xml:space="preserve"> et.al.</w:t>
      </w:r>
      <w:r w:rsidRPr="00EA38DE">
        <w:rPr>
          <w:rFonts w:ascii="Times New Roman" w:hAnsi="Times New Roman" w:cs="Times New Roman"/>
          <w:sz w:val="24"/>
          <w:szCs w:val="24"/>
        </w:rPr>
        <w:t xml:space="preserve"> </w:t>
      </w:r>
      <w:r w:rsidR="00887359" w:rsidRPr="00EA38DE">
        <w:rPr>
          <w:rFonts w:ascii="Times New Roman" w:hAnsi="Times New Roman" w:cs="Times New Roman"/>
          <w:sz w:val="24"/>
          <w:szCs w:val="24"/>
        </w:rPr>
        <w:t>(</w:t>
      </w:r>
      <w:r w:rsidRPr="00EA38DE">
        <w:rPr>
          <w:rFonts w:ascii="Times New Roman" w:hAnsi="Times New Roman" w:cs="Times New Roman"/>
          <w:sz w:val="24"/>
          <w:szCs w:val="24"/>
        </w:rPr>
        <w:t>2018).</w:t>
      </w:r>
    </w:p>
    <w:p w14:paraId="52B6D15A"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Furthermore, the Marshall–Lerner condition refines this theory by stating that a depreciation of the currency will only improve the trade balance if the sum of the price elasticities of exports and imports is greater than one. This condition highlights the importance of how responsive trade flows are to changes in exchange rates.</w:t>
      </w:r>
    </w:p>
    <w:p w14:paraId="4A8A434F" w14:textId="6CC4FCEE" w:rsidR="008D7E3E" w:rsidRPr="00EA38DE" w:rsidRDefault="008D7E3E" w:rsidP="00A86755">
      <w:pPr>
        <w:pStyle w:val="NormalWeb"/>
        <w:spacing w:before="0" w:beforeAutospacing="0" w:after="240" w:afterAutospacing="0" w:line="480" w:lineRule="auto"/>
        <w:jc w:val="both"/>
      </w:pPr>
      <w:r w:rsidRPr="00EA38DE">
        <w:t>Furthermore, the Traditional Flow Theory emphasizes the role of domestic income levels in determining exchange rate movements and trade activity (Dornbusch, 1976; Krugman et</w:t>
      </w:r>
      <w:r w:rsidR="00522EF8" w:rsidRPr="00EA38DE">
        <w:t>.</w:t>
      </w:r>
      <w:r w:rsidRPr="00EA38DE">
        <w:t xml:space="preserve"> al., 2018). In Nigeria, low or unstable domestic income can suppress demand for foreign goods, leading to a decrease in import volumes. This decline reduces cargo throughput and negatively impacts shipping volumes, particularly for companies involved in containerized or bulk import logistics. Similarly, if relative prices of Nigerian goods rise on global markets due to inflation or currency misalignment, export competitiveness can decline further impacting outbound shipping volumes and weakening the financial performance of both private shipping firms and public port authorities (Onyemaechi, 2020; Adegbite et</w:t>
      </w:r>
      <w:r w:rsidR="00522EF8" w:rsidRPr="00EA38DE">
        <w:t>.</w:t>
      </w:r>
      <w:r w:rsidRPr="00EA38DE">
        <w:t xml:space="preserve"> al., 2021).</w:t>
      </w:r>
    </w:p>
    <w:p w14:paraId="354510D5" w14:textId="77777777" w:rsidR="008D7E3E" w:rsidRPr="00EA38DE" w:rsidRDefault="008D7E3E" w:rsidP="00A86755">
      <w:pPr>
        <w:pStyle w:val="NormalWeb"/>
        <w:spacing w:before="0" w:beforeAutospacing="0" w:after="240" w:afterAutospacing="0" w:line="480" w:lineRule="auto"/>
        <w:jc w:val="both"/>
      </w:pPr>
      <w:r w:rsidRPr="00EA38DE">
        <w:t xml:space="preserve">The emergence of the blue economy which includes sectors such as aquaculture, offshore energy, fisheries, desalination, and maritime tourism offers potential to diversify Nigeria’s export base and enhance trade performance. However, these sectors also rely on stable exchange rates to attract investment, import critical equipment, and participate in global supply chains. When exchange </w:t>
      </w:r>
      <w:r w:rsidRPr="00EA38DE">
        <w:lastRenderedPageBreak/>
        <w:t>rate volatility disrupts their operations, the downstream effects are felt across the shipping industry in the form of reduced cargo volumes, delayed infrastructure development, and uncertain revenue streams (UNCTAD, 2020).</w:t>
      </w:r>
    </w:p>
    <w:p w14:paraId="35A37AC5" w14:textId="7DE64100" w:rsidR="008D7E3E" w:rsidRPr="00EA38DE" w:rsidRDefault="008D7E3E" w:rsidP="00A86755">
      <w:pPr>
        <w:pStyle w:val="NormalWeb"/>
        <w:spacing w:before="0" w:beforeAutospacing="0" w:after="240" w:afterAutospacing="0" w:line="480" w:lineRule="auto"/>
        <w:jc w:val="both"/>
      </w:pPr>
      <w:r w:rsidRPr="00EA38DE">
        <w:t xml:space="preserve">In conclusion, the Traditional Flow Theory effectively explains how exchange rate volatility, shaped by trade balances and income dynamics, directly influences the financial stability and operational performance of the Nigerian shipping industry. In the context of an expanding blue economy, mitigating currency </w:t>
      </w:r>
      <w:r w:rsidR="005C5DB8" w:rsidRPr="00EA38DE">
        <w:t>volatility</w:t>
      </w:r>
      <w:r w:rsidRPr="00EA38DE">
        <w:t xml:space="preserve"> and fostering stable trade conditions are essential for enabling sustainable growth in shipping and maritime logistics (Krugman et al., 2018; UNCTAD, 2020)</w:t>
      </w:r>
    </w:p>
    <w:p w14:paraId="5BA9A4AB" w14:textId="7B53B4FB" w:rsidR="008D7E3E" w:rsidRPr="00EA38DE" w:rsidRDefault="008D7E3E" w:rsidP="00A86755">
      <w:pPr>
        <w:pStyle w:val="NoSpacing"/>
        <w:spacing w:after="24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2.4.</w:t>
      </w:r>
      <w:r w:rsidR="0097483E" w:rsidRPr="00EA38DE">
        <w:rPr>
          <w:rFonts w:ascii="Times New Roman" w:hAnsi="Times New Roman" w:cs="Times New Roman"/>
          <w:b/>
          <w:sz w:val="24"/>
          <w:szCs w:val="24"/>
        </w:rPr>
        <w:t>5</w:t>
      </w:r>
      <w:r w:rsidRPr="00EA38DE">
        <w:rPr>
          <w:rFonts w:ascii="Times New Roman" w:hAnsi="Times New Roman" w:cs="Times New Roman"/>
          <w:b/>
          <w:sz w:val="24"/>
          <w:szCs w:val="24"/>
        </w:rPr>
        <w:tab/>
        <w:t>Balance of Payments (BoP) Theory</w:t>
      </w:r>
    </w:p>
    <w:p w14:paraId="161F0A71"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The Balance of Payments (BoP) Theory of exchange rate determination was primarily propounded by James E. Meade in the mid-20th century. The theory posits that a country’s exchange rate is fundamentally determined by the balance of its international transactions specifically, the relationship between the supply of and demand for foreign exchange arising from exports, imports, capital flows, and other external financial operations (Meade, 1951).</w:t>
      </w:r>
    </w:p>
    <w:p w14:paraId="3FE04E1E"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According to this theory, if a country experiences a BoP surplus that is, when the value of its exports exceeds its imports or when it attracts more foreign capital than it sends abroad there is increased demand for the domestic currency. This results in an appreciation of the currency. On the other hand, a BoP deficit where imports exceed exports or capital outflows surpass inflows causes a depreciation of the domestic currency due to excess demand for foreign exchange (Salvatore, 2016).</w:t>
      </w:r>
    </w:p>
    <w:p w14:paraId="1B21B02A" w14:textId="0C3D106D"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Mathematically, the exchange rate </w:t>
      </w:r>
      <w:r w:rsidR="00774FC2" w:rsidRPr="00EA38DE">
        <w:rPr>
          <w:rFonts w:ascii="Times New Roman" w:hAnsi="Times New Roman" w:cs="Times New Roman"/>
          <w:sz w:val="24"/>
          <w:szCs w:val="24"/>
        </w:rPr>
        <w:t>EXR</w:t>
      </w:r>
      <w:r w:rsidRPr="00EA38DE">
        <w:rPr>
          <w:rFonts w:ascii="Times New Roman" w:hAnsi="Times New Roman" w:cs="Times New Roman"/>
          <w:sz w:val="24"/>
          <w:szCs w:val="24"/>
        </w:rPr>
        <w:t xml:space="preserve"> (defined as the domestic currency per unit of foreign currency) can be expressed as a function of the balance of payments:</w:t>
      </w:r>
    </w:p>
    <w:p w14:paraId="766FF7DF" w14:textId="2DE577DD"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E=f(X−M) </w:t>
      </w:r>
    </w:p>
    <w:p w14:paraId="40852431"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Where:</w:t>
      </w:r>
    </w:p>
    <w:p w14:paraId="4ECA4125"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X represents exports (inflow of foreign currency),</w:t>
      </w:r>
    </w:p>
    <w:p w14:paraId="4031FE03"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M represents imports (outflow of foreign currency).</w:t>
      </w:r>
    </w:p>
    <w:p w14:paraId="58EA7D33"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If X&gt;M the BoP is in surplus, increasing the supply of foreign currency and causing the exchange rate to appreciate. If X&lt;M, the BoP is in deficit, increasing demand for foreign currency and causing the exchange rate to depreciate (Krugman &amp; Obstfeld, 2018).</w:t>
      </w:r>
    </w:p>
    <w:p w14:paraId="36D1EBA3"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In the context of Nigeria, the BoP theory offers a robust framework for understanding the persistent exchange rate volatility and its impact on key sectors, particularly the blue economy and shipping industry. Nigeria’s economy is heavily reliant on oil exports and simultaneously burdened with high levels of imports, especially for industrial, maritime, and consumer goods. This structural trade imbalance often results in BoP deficits, which apply constant downward pressure on the naira, leading to repeated cycles of depreciation.</w:t>
      </w:r>
    </w:p>
    <w:p w14:paraId="2E49AB73" w14:textId="17D9D248"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Within the blue economy, sectors such as fisheries and aquaculture are significantly affected by this currency volatility. For example, the cost of imported fish feed, hatchery equipment, and cold storage infrastructure rises sharply during periods of naira depreciation, thus eroding profit margins and making local production less competitive. While</w:t>
      </w:r>
      <w:r w:rsidR="00FB13D9" w:rsidRPr="00EA38DE">
        <w:rPr>
          <w:rFonts w:ascii="Times New Roman" w:hAnsi="Times New Roman" w:cs="Times New Roman"/>
          <w:sz w:val="24"/>
          <w:szCs w:val="24"/>
        </w:rPr>
        <w:t>,</w:t>
      </w:r>
      <w:r w:rsidRPr="00EA38DE">
        <w:rPr>
          <w:rFonts w:ascii="Times New Roman" w:hAnsi="Times New Roman" w:cs="Times New Roman"/>
          <w:sz w:val="24"/>
          <w:szCs w:val="24"/>
        </w:rPr>
        <w:t xml:space="preserve"> a weaker naira could theoretically make Nigerian fish exports more attractive internationally, the sector's limited scalability and </w:t>
      </w:r>
      <w:r w:rsidRPr="00EA38DE">
        <w:rPr>
          <w:rFonts w:ascii="Times New Roman" w:hAnsi="Times New Roman" w:cs="Times New Roman"/>
          <w:sz w:val="24"/>
          <w:szCs w:val="24"/>
        </w:rPr>
        <w:lastRenderedPageBreak/>
        <w:t>compliance challenges with international standards reduce its ability to capitalize on such opportunities (Olaniyi et al., 2020).</w:t>
      </w:r>
    </w:p>
    <w:p w14:paraId="3B800BFF" w14:textId="7A7A38C8"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Similarly, desalination projects, which are capital-intensive and depend heavily on foreign tech</w:t>
      </w:r>
      <w:r w:rsidR="00A86755" w:rsidRPr="00EA38DE">
        <w:rPr>
          <w:rFonts w:ascii="Times New Roman" w:hAnsi="Times New Roman" w:cs="Times New Roman"/>
          <w:sz w:val="24"/>
          <w:szCs w:val="24"/>
        </w:rPr>
        <w:t xml:space="preserve">nology and finance, become more </w:t>
      </w:r>
      <w:r w:rsidRPr="00EA38DE">
        <w:rPr>
          <w:rFonts w:ascii="Times New Roman" w:hAnsi="Times New Roman" w:cs="Times New Roman"/>
          <w:sz w:val="24"/>
          <w:szCs w:val="24"/>
        </w:rPr>
        <w:t>costly when the naira depreciates. The increase in the local currency value of foreign-denominated debts and operational costs inhibits project implementation and scalability.</w:t>
      </w:r>
      <w:r w:rsidR="00FB13D9" w:rsidRPr="00EA38DE">
        <w:rPr>
          <w:rFonts w:ascii="Times New Roman" w:hAnsi="Times New Roman" w:cs="Times New Roman"/>
          <w:sz w:val="24"/>
          <w:szCs w:val="24"/>
        </w:rPr>
        <w:t xml:space="preserve"> </w:t>
      </w:r>
      <w:r w:rsidRPr="00EA38DE">
        <w:rPr>
          <w:rFonts w:ascii="Times New Roman" w:hAnsi="Times New Roman" w:cs="Times New Roman"/>
          <w:sz w:val="24"/>
          <w:szCs w:val="24"/>
        </w:rPr>
        <w:t>For the shipping industry, the implications are even more direct and severe. Nigerian shipping firms often lease vessels and obtain marine insurance in foreign currencies. A weaker naira raises the cost of debt servicing, vessel maintenance, and international port handling fees significantly affecting operational efficiency and financial performance. Additionally, exchange rate volatility introduces financial uncertainty, making it difficult for companies to plan investments, price services accurately, or attract foreign investors to maritime infrastructure (Okonjo-Iweala, 2021).</w:t>
      </w:r>
    </w:p>
    <w:p w14:paraId="3A58F879"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In conclusion, the BoP Theory, as formulated by James Meade, provides a comprehensive explanation for exchange rate movements by linking them to external trade and capital flows. Its application to Nigeria demonstrates how macroeconomic imbalances translate into currency volatility, which in turn affects the blue economy and shipping sector through increased costs, reduced investment, and financial instability. Addressing these challenges requires structural reforms that promote export diversification, reduce import dependency, and stabilize the external sector.</w:t>
      </w:r>
    </w:p>
    <w:p w14:paraId="024114B3" w14:textId="4607C515" w:rsidR="008D7E3E" w:rsidRPr="00EA38DE" w:rsidRDefault="008E012D" w:rsidP="00A86755">
      <w:pPr>
        <w:pStyle w:val="NoSpacing"/>
        <w:spacing w:after="24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2.</w:t>
      </w:r>
      <w:r w:rsidR="008D7E3E" w:rsidRPr="00EA38DE">
        <w:rPr>
          <w:rFonts w:ascii="Times New Roman" w:hAnsi="Times New Roman" w:cs="Times New Roman"/>
          <w:b/>
          <w:sz w:val="24"/>
          <w:szCs w:val="24"/>
        </w:rPr>
        <w:t>4.</w:t>
      </w:r>
      <w:r w:rsidR="009160E7" w:rsidRPr="00EA38DE">
        <w:rPr>
          <w:rFonts w:ascii="Times New Roman" w:hAnsi="Times New Roman" w:cs="Times New Roman"/>
          <w:b/>
          <w:sz w:val="24"/>
          <w:szCs w:val="24"/>
        </w:rPr>
        <w:t>6</w:t>
      </w:r>
      <w:r w:rsidR="008D7E3E" w:rsidRPr="00EA38DE">
        <w:rPr>
          <w:rFonts w:ascii="Times New Roman" w:hAnsi="Times New Roman" w:cs="Times New Roman"/>
          <w:b/>
          <w:sz w:val="24"/>
          <w:szCs w:val="24"/>
        </w:rPr>
        <w:tab/>
        <w:t xml:space="preserve">The </w:t>
      </w:r>
      <w:r w:rsidR="008D7E3E" w:rsidRPr="00EA38DE">
        <w:rPr>
          <w:rFonts w:ascii="Times New Roman" w:eastAsia="Times New Roman" w:hAnsi="Times New Roman" w:cs="Times New Roman"/>
          <w:b/>
          <w:bCs/>
          <w:sz w:val="24"/>
          <w:szCs w:val="24"/>
        </w:rPr>
        <w:t>Transaction Exposure Theory</w:t>
      </w:r>
      <w:r w:rsidR="008D7E3E" w:rsidRPr="00EA38DE">
        <w:rPr>
          <w:rFonts w:ascii="Times New Roman" w:hAnsi="Times New Roman" w:cs="Times New Roman"/>
          <w:b/>
          <w:sz w:val="24"/>
          <w:szCs w:val="24"/>
        </w:rPr>
        <w:t xml:space="preserve"> </w:t>
      </w:r>
    </w:p>
    <w:p w14:paraId="15C3C93B" w14:textId="76CFC712"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w:t>
      </w:r>
      <w:r w:rsidRPr="00EA38DE">
        <w:rPr>
          <w:rFonts w:ascii="Times New Roman" w:eastAsia="Times New Roman" w:hAnsi="Times New Roman" w:cs="Times New Roman"/>
          <w:bCs/>
          <w:sz w:val="24"/>
          <w:szCs w:val="24"/>
        </w:rPr>
        <w:t>Transaction Exposure Theory</w:t>
      </w:r>
      <w:r w:rsidRPr="00EA38DE">
        <w:rPr>
          <w:rFonts w:ascii="Times New Roman" w:hAnsi="Times New Roman" w:cs="Times New Roman"/>
          <w:sz w:val="24"/>
          <w:szCs w:val="24"/>
        </w:rPr>
        <w:t xml:space="preserve"> is a fundamental concept in international finance that explains the risk firms face due to exchange rate </w:t>
      </w:r>
      <w:r w:rsidR="007C28B7" w:rsidRPr="00EA38DE">
        <w:rPr>
          <w:rFonts w:ascii="Times New Roman" w:hAnsi="Times New Roman" w:cs="Times New Roman"/>
          <w:sz w:val="24"/>
          <w:szCs w:val="24"/>
        </w:rPr>
        <w:t>volatility</w:t>
      </w:r>
      <w:r w:rsidRPr="00EA38DE">
        <w:rPr>
          <w:rFonts w:ascii="Times New Roman" w:hAnsi="Times New Roman" w:cs="Times New Roman"/>
          <w:sz w:val="24"/>
          <w:szCs w:val="24"/>
        </w:rPr>
        <w:t xml:space="preserve"> between the initiation and settlement of cross-</w:t>
      </w:r>
      <w:r w:rsidRPr="00EA38DE">
        <w:rPr>
          <w:rFonts w:ascii="Times New Roman" w:hAnsi="Times New Roman" w:cs="Times New Roman"/>
          <w:sz w:val="24"/>
          <w:szCs w:val="24"/>
        </w:rPr>
        <w:lastRenderedPageBreak/>
        <w:t xml:space="preserve">border transactions. This theory was notably developed and expanded by </w:t>
      </w:r>
      <w:r w:rsidR="003A38AA">
        <w:rPr>
          <w:rFonts w:ascii="Times New Roman" w:eastAsia="Times New Roman" w:hAnsi="Times New Roman" w:cs="Times New Roman"/>
          <w:bCs/>
          <w:sz w:val="24"/>
          <w:szCs w:val="24"/>
        </w:rPr>
        <w:t xml:space="preserve">Howard </w:t>
      </w:r>
      <w:r w:rsidRPr="00EA38DE">
        <w:rPr>
          <w:rFonts w:ascii="Times New Roman" w:eastAsia="Times New Roman" w:hAnsi="Times New Roman" w:cs="Times New Roman"/>
          <w:bCs/>
          <w:sz w:val="24"/>
          <w:szCs w:val="24"/>
        </w:rPr>
        <w:t>E. Thompson</w:t>
      </w:r>
      <w:r w:rsidRPr="00EA38DE">
        <w:rPr>
          <w:rFonts w:ascii="Times New Roman" w:hAnsi="Times New Roman" w:cs="Times New Roman"/>
          <w:sz w:val="24"/>
          <w:szCs w:val="24"/>
        </w:rPr>
        <w:t xml:space="preserve"> and </w:t>
      </w:r>
      <w:r w:rsidRPr="00EA38DE">
        <w:rPr>
          <w:rFonts w:ascii="Times New Roman" w:eastAsia="Times New Roman" w:hAnsi="Times New Roman" w:cs="Times New Roman"/>
          <w:bCs/>
          <w:sz w:val="24"/>
          <w:szCs w:val="24"/>
        </w:rPr>
        <w:t>Michael G. Gannon</w:t>
      </w:r>
      <w:r w:rsidRPr="00EA38DE">
        <w:rPr>
          <w:rFonts w:ascii="Times New Roman" w:hAnsi="Times New Roman" w:cs="Times New Roman"/>
          <w:sz w:val="24"/>
          <w:szCs w:val="24"/>
        </w:rPr>
        <w:t xml:space="preserve"> in the 1970s as part of their work on managing foreign exchange risk in international business operations (Thompson &amp; Gannon, 1977). Transaction exposure arises when a firm enters into a contractual agreement involving future cash flows either receivables or payables that are denominated in a foreign currency. If the exchange rate changes unfavorably between the contract date and the settlement date, the firm may incur financial losses, even if the underlying transaction itself remains economically sound.</w:t>
      </w:r>
    </w:p>
    <w:p w14:paraId="130BAABD" w14:textId="77777777" w:rsidR="008D7E3E" w:rsidRPr="00EA38DE" w:rsidRDefault="008D7E3E" w:rsidP="00A86755">
      <w:pPr>
        <w:pStyle w:val="NoSpacing"/>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This type of exposure is particularly relevant in economies like Nigeria, where currency volatility is a frequent occurrence due to macroeconomic instability, oil price shocks, and external trade imbalances. The mathematical representation of transaction exposure involves measuring the gain or loss resulting from changes in exchange rates. Let </w:t>
      </w:r>
      <w:r w:rsidRPr="00EA38DE">
        <w:rPr>
          <w:rFonts w:ascii="Times New Roman" w:eastAsia="Times New Roman" w:hAnsi="Times New Roman" w:cs="Times New Roman"/>
          <w:i/>
          <w:sz w:val="24"/>
          <w:szCs w:val="24"/>
        </w:rPr>
        <w:t>A</w:t>
      </w:r>
      <w:r w:rsidRPr="00EA38DE">
        <w:rPr>
          <w:rFonts w:ascii="Times New Roman" w:eastAsia="Times New Roman" w:hAnsi="Times New Roman" w:cs="Times New Roman"/>
          <w:i/>
          <w:sz w:val="24"/>
          <w:szCs w:val="24"/>
          <w:vertAlign w:val="subscript"/>
        </w:rPr>
        <w:t>t</w:t>
      </w:r>
      <w:r w:rsidRPr="00EA38DE">
        <w:rPr>
          <w:rFonts w:ascii="Times New Roman" w:eastAsia="Times New Roman" w:hAnsi="Times New Roman" w:cs="Times New Roman"/>
          <w:sz w:val="24"/>
          <w:szCs w:val="24"/>
          <w:vertAlign w:val="subscript"/>
        </w:rPr>
        <w:t>​</w:t>
      </w:r>
      <w:r w:rsidRPr="00EA38DE">
        <w:rPr>
          <w:rFonts w:ascii="Times New Roman" w:eastAsia="Times New Roman" w:hAnsi="Times New Roman" w:cs="Times New Roman"/>
          <w:sz w:val="24"/>
          <w:szCs w:val="24"/>
        </w:rPr>
        <w:t xml:space="preserve"> represent the amount payable or receivable in foreign currency at time </w:t>
      </w:r>
      <w:r w:rsidRPr="00EA38DE">
        <w:rPr>
          <w:rFonts w:ascii="Times New Roman" w:eastAsia="Times New Roman" w:hAnsi="Times New Roman" w:cs="Times New Roman"/>
          <w:i/>
          <w:sz w:val="24"/>
          <w:szCs w:val="24"/>
        </w:rPr>
        <w:t>t, Et</w:t>
      </w:r>
      <w:r w:rsidRPr="00EA38DE">
        <w:rPr>
          <w:rFonts w:ascii="Times New Roman" w:eastAsia="Times New Roman" w:hAnsi="Times New Roman" w:cs="Times New Roman"/>
          <w:sz w:val="24"/>
          <w:szCs w:val="24"/>
        </w:rPr>
        <w:t xml:space="preserve">​ the exchange rate at the time the contract is initiated, and </w:t>
      </w:r>
      <w:r w:rsidRPr="00EA38DE">
        <w:rPr>
          <w:rFonts w:ascii="Times New Roman" w:eastAsia="Times New Roman" w:hAnsi="Times New Roman" w:cs="Times New Roman"/>
          <w:i/>
          <w:sz w:val="24"/>
          <w:szCs w:val="24"/>
        </w:rPr>
        <w:t>E</w:t>
      </w:r>
      <w:r w:rsidRPr="00EA38DE">
        <w:rPr>
          <w:rFonts w:ascii="Times New Roman" w:eastAsia="Times New Roman" w:hAnsi="Times New Roman" w:cs="Times New Roman"/>
          <w:i/>
          <w:sz w:val="24"/>
          <w:szCs w:val="24"/>
          <w:vertAlign w:val="subscript"/>
        </w:rPr>
        <w:t>t+1</w:t>
      </w:r>
      <w:r w:rsidRPr="00EA38DE">
        <w:rPr>
          <w:rFonts w:ascii="Times New Roman" w:eastAsia="Times New Roman" w:hAnsi="Times New Roman" w:cs="Times New Roman"/>
          <w:i/>
          <w:sz w:val="24"/>
          <w:szCs w:val="24"/>
        </w:rPr>
        <w:t>​</w:t>
      </w:r>
      <w:r w:rsidRPr="00EA38DE">
        <w:rPr>
          <w:rFonts w:ascii="Times New Roman" w:eastAsia="Times New Roman" w:hAnsi="Times New Roman" w:cs="Times New Roman"/>
          <w:sz w:val="24"/>
          <w:szCs w:val="24"/>
        </w:rPr>
        <w:t xml:space="preserve"> the rate at settlement. The transaction’s value in local currency at settlement is </w:t>
      </w:r>
      <w:r w:rsidRPr="00EA38DE">
        <w:rPr>
          <w:rFonts w:ascii="Times New Roman" w:eastAsia="Times New Roman" w:hAnsi="Times New Roman" w:cs="Times New Roman"/>
          <w:i/>
          <w:sz w:val="24"/>
          <w:szCs w:val="24"/>
        </w:rPr>
        <w:t>V</w:t>
      </w:r>
      <w:r w:rsidRPr="00EA38DE">
        <w:rPr>
          <w:rFonts w:ascii="Times New Roman" w:eastAsia="Times New Roman" w:hAnsi="Times New Roman" w:cs="Times New Roman"/>
          <w:i/>
          <w:sz w:val="24"/>
          <w:szCs w:val="24"/>
          <w:vertAlign w:val="subscript"/>
        </w:rPr>
        <w:t>t+1</w:t>
      </w:r>
      <w:r w:rsidRPr="00EA38DE">
        <w:rPr>
          <w:rFonts w:ascii="Times New Roman" w:eastAsia="Times New Roman" w:hAnsi="Times New Roman" w:cs="Times New Roman"/>
          <w:sz w:val="24"/>
          <w:szCs w:val="24"/>
        </w:rPr>
        <w:t>=</w:t>
      </w:r>
      <w:r w:rsidRPr="00EA38DE">
        <w:rPr>
          <w:rFonts w:ascii="Times New Roman" w:eastAsia="Times New Roman" w:hAnsi="Times New Roman" w:cs="Times New Roman"/>
          <w:i/>
          <w:sz w:val="24"/>
          <w:szCs w:val="24"/>
        </w:rPr>
        <w:t>A</w:t>
      </w:r>
      <w:r w:rsidRPr="00EA38DE">
        <w:rPr>
          <w:rFonts w:ascii="Times New Roman" w:eastAsia="Times New Roman" w:hAnsi="Times New Roman" w:cs="Times New Roman"/>
          <w:i/>
          <w:sz w:val="24"/>
          <w:szCs w:val="24"/>
          <w:vertAlign w:val="subscript"/>
        </w:rPr>
        <w:t>t</w:t>
      </w:r>
      <w:r w:rsidRPr="00EA38DE">
        <w:rPr>
          <w:rFonts w:ascii="Times New Roman" w:eastAsia="Times New Roman" w:hAnsi="Times New Roman" w:cs="Times New Roman"/>
          <w:sz w:val="24"/>
          <w:szCs w:val="24"/>
        </w:rPr>
        <w:t>×</w:t>
      </w:r>
      <w:r w:rsidRPr="00EA38DE">
        <w:rPr>
          <w:rFonts w:ascii="Times New Roman" w:eastAsia="Times New Roman" w:hAnsi="Times New Roman" w:cs="Times New Roman"/>
          <w:i/>
          <w:sz w:val="24"/>
          <w:szCs w:val="24"/>
        </w:rPr>
        <w:t>E</w:t>
      </w:r>
      <w:r w:rsidRPr="00EA38DE">
        <w:rPr>
          <w:rFonts w:ascii="Times New Roman" w:eastAsia="Times New Roman" w:hAnsi="Times New Roman" w:cs="Times New Roman"/>
          <w:i/>
          <w:sz w:val="24"/>
          <w:szCs w:val="24"/>
          <w:vertAlign w:val="subscript"/>
        </w:rPr>
        <w:t>t+1</w:t>
      </w:r>
      <w:r w:rsidRPr="00EA38DE">
        <w:rPr>
          <w:rFonts w:ascii="Times New Roman" w:eastAsia="Times New Roman" w:hAnsi="Times New Roman" w:cs="Times New Roman"/>
          <w:sz w:val="24"/>
          <w:szCs w:val="24"/>
        </w:rPr>
        <w:t xml:space="preserve"> and the gain or loss due to currency movement is given by </w:t>
      </w:r>
      <w:r w:rsidRPr="00EA38DE">
        <w:rPr>
          <w:rFonts w:ascii="Times New Roman" w:eastAsia="Times New Roman" w:hAnsi="Times New Roman" w:cs="Times New Roman"/>
          <w:i/>
          <w:sz w:val="24"/>
          <w:szCs w:val="24"/>
        </w:rPr>
        <w:t>ΔV=A</w:t>
      </w:r>
      <w:r w:rsidRPr="00EA38DE">
        <w:rPr>
          <w:rFonts w:ascii="Times New Roman" w:eastAsia="Times New Roman" w:hAnsi="Times New Roman" w:cs="Times New Roman"/>
          <w:i/>
          <w:sz w:val="24"/>
          <w:szCs w:val="24"/>
          <w:vertAlign w:val="subscript"/>
        </w:rPr>
        <w:t>t</w:t>
      </w:r>
      <w:r w:rsidRPr="00EA38DE">
        <w:rPr>
          <w:rFonts w:ascii="Times New Roman" w:eastAsia="Times New Roman" w:hAnsi="Times New Roman" w:cs="Times New Roman"/>
          <w:i/>
          <w:sz w:val="24"/>
          <w:szCs w:val="24"/>
        </w:rPr>
        <w:t>×(E</w:t>
      </w:r>
      <w:r w:rsidRPr="00EA38DE">
        <w:rPr>
          <w:rFonts w:ascii="Times New Roman" w:eastAsia="Times New Roman" w:hAnsi="Times New Roman" w:cs="Times New Roman"/>
          <w:i/>
          <w:sz w:val="24"/>
          <w:szCs w:val="24"/>
          <w:vertAlign w:val="subscript"/>
        </w:rPr>
        <w:t>t+1</w:t>
      </w:r>
      <w:r w:rsidRPr="00EA38DE">
        <w:rPr>
          <w:rFonts w:ascii="Times New Roman" w:eastAsia="Times New Roman" w:hAnsi="Times New Roman" w:cs="Times New Roman"/>
          <w:i/>
          <w:sz w:val="24"/>
          <w:szCs w:val="24"/>
        </w:rPr>
        <w:t>−E</w:t>
      </w:r>
      <w:r w:rsidRPr="00EA38DE">
        <w:rPr>
          <w:rFonts w:ascii="Times New Roman" w:eastAsia="Times New Roman" w:hAnsi="Times New Roman" w:cs="Times New Roman"/>
          <w:i/>
          <w:sz w:val="24"/>
          <w:szCs w:val="24"/>
          <w:vertAlign w:val="subscript"/>
        </w:rPr>
        <w:t>t</w:t>
      </w:r>
      <w:r w:rsidRPr="00EA38DE">
        <w:rPr>
          <w:rFonts w:ascii="Times New Roman" w:eastAsia="Times New Roman" w:hAnsi="Times New Roman" w:cs="Times New Roman"/>
          <w:i/>
          <w:sz w:val="24"/>
          <w:szCs w:val="24"/>
        </w:rPr>
        <w:t>).</w:t>
      </w:r>
      <w:r w:rsidRPr="00EA38DE">
        <w:rPr>
          <w:rFonts w:ascii="Times New Roman" w:eastAsia="Times New Roman" w:hAnsi="Times New Roman" w:cs="Times New Roman"/>
          <w:sz w:val="24"/>
          <w:szCs w:val="24"/>
        </w:rPr>
        <w:t xml:space="preserve"> This formula shows that a depreciation of the domestic currency (naira) increases the cost of foreign currency payables, resulting in losses, while the reverse applies to receivables.</w:t>
      </w:r>
    </w:p>
    <w:p w14:paraId="41A1D805" w14:textId="53598717" w:rsidR="008D7E3E" w:rsidRPr="00EA38DE" w:rsidRDefault="008D7E3E" w:rsidP="00A86755">
      <w:pPr>
        <w:pStyle w:val="NoSpacing"/>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the </w:t>
      </w:r>
      <w:r w:rsidRPr="00EA38DE">
        <w:rPr>
          <w:rFonts w:ascii="Times New Roman" w:eastAsia="Times New Roman" w:hAnsi="Times New Roman" w:cs="Times New Roman"/>
          <w:bCs/>
          <w:sz w:val="24"/>
          <w:szCs w:val="24"/>
        </w:rPr>
        <w:t>Nigerian blue economy</w:t>
      </w:r>
      <w:r w:rsidRPr="00EA38DE">
        <w:rPr>
          <w:rFonts w:ascii="Times New Roman" w:eastAsia="Times New Roman" w:hAnsi="Times New Roman" w:cs="Times New Roman"/>
          <w:sz w:val="24"/>
          <w:szCs w:val="24"/>
        </w:rPr>
        <w:t>, which includes sectors like fisheries, aquaculture, and desalination, transaction exposure has significant implications. Many inputs essential to fish farming and aquaculture, such as hatchery equipment, fish feed, and packaging materials, are imported and priced in foreign currencies. When the naira depreciates between the time of ordering and payment, these inputs become more expensive, straining operational budgets and profit margins</w:t>
      </w:r>
      <w:r w:rsidR="00887359"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Olaniyi et</w:t>
      </w:r>
      <w:r w:rsidR="00887359"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al., </w:t>
      </w:r>
      <w:r w:rsidR="00887359"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2020). Similarly, companies involved in exporting fish or other marine products may face </w:t>
      </w:r>
      <w:r w:rsidRPr="00EA38DE">
        <w:rPr>
          <w:rFonts w:ascii="Times New Roman" w:eastAsia="Times New Roman" w:hAnsi="Times New Roman" w:cs="Times New Roman"/>
          <w:sz w:val="24"/>
          <w:szCs w:val="24"/>
        </w:rPr>
        <w:lastRenderedPageBreak/>
        <w:t>unfavorable exchange rate movements that reduce the local value of export revenues if the naira appreciates after a contract has been signed.</w:t>
      </w:r>
    </w:p>
    <w:p w14:paraId="78E91CF7" w14:textId="77777777" w:rsidR="008D7E3E" w:rsidRPr="00EA38DE" w:rsidRDefault="008D7E3E" w:rsidP="00A86755">
      <w:pPr>
        <w:pStyle w:val="NoSpacing"/>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w:t>
      </w:r>
      <w:r w:rsidRPr="00EA38DE">
        <w:rPr>
          <w:rFonts w:ascii="Times New Roman" w:eastAsia="Times New Roman" w:hAnsi="Times New Roman" w:cs="Times New Roman"/>
          <w:bCs/>
          <w:sz w:val="24"/>
          <w:szCs w:val="24"/>
        </w:rPr>
        <w:t>desalination projects</w:t>
      </w:r>
      <w:r w:rsidRPr="00EA38DE">
        <w:rPr>
          <w:rFonts w:ascii="Times New Roman" w:eastAsia="Times New Roman" w:hAnsi="Times New Roman" w:cs="Times New Roman"/>
          <w:sz w:val="24"/>
          <w:szCs w:val="24"/>
        </w:rPr>
        <w:t>, transaction exposure also arises through foreign-denominated loans or grants. If the naira weakens after the agreement but before repayment, the real cost of servicing that debt increases, potentially leading to financial stress or project delays.</w:t>
      </w:r>
    </w:p>
    <w:p w14:paraId="2209382D" w14:textId="77777777" w:rsidR="008D7E3E" w:rsidRPr="00EA38DE" w:rsidRDefault="008D7E3E" w:rsidP="00A86755">
      <w:pPr>
        <w:pStyle w:val="NoSpacing"/>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w:t>
      </w:r>
      <w:r w:rsidRPr="00EA38DE">
        <w:rPr>
          <w:rFonts w:ascii="Times New Roman" w:eastAsia="Times New Roman" w:hAnsi="Times New Roman" w:cs="Times New Roman"/>
          <w:bCs/>
          <w:sz w:val="24"/>
          <w:szCs w:val="24"/>
        </w:rPr>
        <w:t>shipping industry</w:t>
      </w:r>
      <w:r w:rsidRPr="00EA38DE">
        <w:rPr>
          <w:rFonts w:ascii="Times New Roman" w:eastAsia="Times New Roman" w:hAnsi="Times New Roman" w:cs="Times New Roman"/>
          <w:sz w:val="24"/>
          <w:szCs w:val="24"/>
        </w:rPr>
        <w:t xml:space="preserve"> in Nigeria is particularly vulnerable to transaction exposure due to its heavy reliance on foreign services and capital. Many shipping companies lease vessels, procure spare parts, and purchase marine insurance in U.S. dollars or euros. Naira depreciation between agreement and payment periods leads to unplanned cost increases. Additionally, while many of these firms generate revenue in local currency, their liabilities remain in foreign currency, resulting in a </w:t>
      </w:r>
      <w:r w:rsidRPr="00EA38DE">
        <w:rPr>
          <w:rFonts w:ascii="Times New Roman" w:eastAsia="Times New Roman" w:hAnsi="Times New Roman" w:cs="Times New Roman"/>
          <w:bCs/>
          <w:sz w:val="24"/>
          <w:szCs w:val="24"/>
        </w:rPr>
        <w:t>currency mismatch</w:t>
      </w:r>
      <w:r w:rsidRPr="00EA38DE">
        <w:rPr>
          <w:rFonts w:ascii="Times New Roman" w:eastAsia="Times New Roman" w:hAnsi="Times New Roman" w:cs="Times New Roman"/>
          <w:sz w:val="24"/>
          <w:szCs w:val="24"/>
        </w:rPr>
        <w:t xml:space="preserve"> that exacerbates financial instability (Salvatore, 2016).</w:t>
      </w:r>
    </w:p>
    <w:p w14:paraId="56BCE758" w14:textId="77777777" w:rsidR="008D7E3E" w:rsidRPr="00EA38DE" w:rsidRDefault="008D7E3E" w:rsidP="00A86755">
      <w:pPr>
        <w:pStyle w:val="NoSpacing"/>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Another critical challenge is the limited availability of hedging instruments in Nigeria. Unlike more developed markets, most Nigerian maritime and aquaculture businesses do not have access to forward contracts, currency swaps, or options to mitigate transaction exposure. This lack of financial risk management tools amplifies their vulnerability to exchange rate shocks (Krugman &amp; Obstfeld, 2018).</w:t>
      </w:r>
    </w:p>
    <w:p w14:paraId="2804025F" w14:textId="2F81E2D7" w:rsidR="008D7E3E" w:rsidRPr="00EA38DE" w:rsidRDefault="008D7E3E" w:rsidP="00A86755">
      <w:pPr>
        <w:pStyle w:val="NoSpacing"/>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conclusion, the </w:t>
      </w:r>
      <w:r w:rsidRPr="00EA38DE">
        <w:rPr>
          <w:rFonts w:ascii="Times New Roman" w:eastAsia="Times New Roman" w:hAnsi="Times New Roman" w:cs="Times New Roman"/>
          <w:bCs/>
          <w:sz w:val="24"/>
          <w:szCs w:val="24"/>
        </w:rPr>
        <w:t>Transaction Exposure Theory</w:t>
      </w:r>
      <w:r w:rsidRPr="00EA38DE">
        <w:rPr>
          <w:rFonts w:ascii="Times New Roman" w:eastAsia="Times New Roman" w:hAnsi="Times New Roman" w:cs="Times New Roman"/>
          <w:sz w:val="24"/>
          <w:szCs w:val="24"/>
        </w:rPr>
        <w:t xml:space="preserve">, as articulated by </w:t>
      </w:r>
      <w:r w:rsidRPr="00EA38DE">
        <w:rPr>
          <w:rFonts w:ascii="Times New Roman" w:eastAsia="Times New Roman" w:hAnsi="Times New Roman" w:cs="Times New Roman"/>
          <w:bCs/>
          <w:sz w:val="24"/>
          <w:szCs w:val="24"/>
        </w:rPr>
        <w:t>Thompson and Gannon</w:t>
      </w:r>
      <w:r w:rsidRPr="00EA38DE">
        <w:rPr>
          <w:rFonts w:ascii="Times New Roman" w:eastAsia="Times New Roman" w:hAnsi="Times New Roman" w:cs="Times New Roman"/>
          <w:sz w:val="24"/>
          <w:szCs w:val="24"/>
        </w:rPr>
        <w:t xml:space="preserve">, provides a valuable framework for understanding how </w:t>
      </w:r>
      <w:r w:rsidR="00792D4F" w:rsidRPr="00EA38DE">
        <w:rPr>
          <w:rFonts w:ascii="Times New Roman" w:eastAsia="Times New Roman" w:hAnsi="Times New Roman" w:cs="Times New Roman"/>
          <w:sz w:val="24"/>
          <w:szCs w:val="24"/>
        </w:rPr>
        <w:t>short- and medium-term</w:t>
      </w:r>
      <w:r w:rsidRPr="00EA38DE">
        <w:rPr>
          <w:rFonts w:ascii="Times New Roman" w:eastAsia="Times New Roman" w:hAnsi="Times New Roman" w:cs="Times New Roman"/>
          <w:sz w:val="24"/>
          <w:szCs w:val="24"/>
        </w:rPr>
        <w:t xml:space="preserve"> exchange rate volatility can directly impact the financial health of firms operating in Nigeria’s </w:t>
      </w:r>
      <w:r w:rsidRPr="00EA38DE">
        <w:rPr>
          <w:rFonts w:ascii="Times New Roman" w:eastAsia="Times New Roman" w:hAnsi="Times New Roman" w:cs="Times New Roman"/>
          <w:bCs/>
          <w:sz w:val="24"/>
          <w:szCs w:val="24"/>
        </w:rPr>
        <w:t>blue economy</w:t>
      </w:r>
      <w:r w:rsidRPr="00EA38DE">
        <w:rPr>
          <w:rFonts w:ascii="Times New Roman" w:eastAsia="Times New Roman" w:hAnsi="Times New Roman" w:cs="Times New Roman"/>
          <w:sz w:val="24"/>
          <w:szCs w:val="24"/>
        </w:rPr>
        <w:t xml:space="preserve"> and </w:t>
      </w:r>
      <w:r w:rsidRPr="00EA38DE">
        <w:rPr>
          <w:rFonts w:ascii="Times New Roman" w:eastAsia="Times New Roman" w:hAnsi="Times New Roman" w:cs="Times New Roman"/>
          <w:bCs/>
          <w:sz w:val="24"/>
          <w:szCs w:val="24"/>
        </w:rPr>
        <w:t>shipping sector</w:t>
      </w:r>
      <w:r w:rsidRPr="00EA38DE">
        <w:rPr>
          <w:rFonts w:ascii="Times New Roman" w:eastAsia="Times New Roman" w:hAnsi="Times New Roman" w:cs="Times New Roman"/>
          <w:sz w:val="24"/>
          <w:szCs w:val="24"/>
        </w:rPr>
        <w:t xml:space="preserve">. The theory highlights the importance of exchange rate management, access to hedging tools, and sound financial planning to protect firms from currency-related losses. Addressing transaction exposure is essential for promoting investment, reducing cost </w:t>
      </w:r>
      <w:r w:rsidRPr="00EA38DE">
        <w:rPr>
          <w:rFonts w:ascii="Times New Roman" w:eastAsia="Times New Roman" w:hAnsi="Times New Roman" w:cs="Times New Roman"/>
          <w:sz w:val="24"/>
          <w:szCs w:val="24"/>
        </w:rPr>
        <w:lastRenderedPageBreak/>
        <w:t>unpredictability, and ensuring the long-term sustainability of Nigeria's maritime and aquatic industries.</w:t>
      </w:r>
    </w:p>
    <w:p w14:paraId="3CDBC377" w14:textId="67FAF44A" w:rsidR="008D7E3E" w:rsidRPr="00EA38DE" w:rsidRDefault="00C27F8E" w:rsidP="00A86755">
      <w:pPr>
        <w:pStyle w:val="Heading3"/>
        <w:spacing w:before="0" w:beforeAutospacing="0" w:after="240" w:afterAutospacing="0" w:line="480" w:lineRule="auto"/>
        <w:jc w:val="both"/>
        <w:rPr>
          <w:sz w:val="24"/>
          <w:szCs w:val="24"/>
        </w:rPr>
      </w:pPr>
      <w:r w:rsidRPr="00EA38DE">
        <w:rPr>
          <w:rStyle w:val="Strong"/>
          <w:b/>
          <w:bCs/>
          <w:sz w:val="24"/>
          <w:szCs w:val="24"/>
        </w:rPr>
        <w:t>2.4.7</w:t>
      </w:r>
      <w:r w:rsidR="008D7E3E" w:rsidRPr="00EA38DE">
        <w:rPr>
          <w:rStyle w:val="Strong"/>
          <w:b/>
          <w:bCs/>
          <w:sz w:val="24"/>
          <w:szCs w:val="24"/>
        </w:rPr>
        <w:tab/>
        <w:t>Theoretical Framework</w:t>
      </w:r>
    </w:p>
    <w:p w14:paraId="55E6749C"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w:t>
      </w:r>
      <w:r w:rsidRPr="00EA38DE">
        <w:rPr>
          <w:rFonts w:ascii="Times New Roman" w:eastAsia="Times New Roman" w:hAnsi="Times New Roman" w:cs="Times New Roman"/>
          <w:bCs/>
          <w:sz w:val="24"/>
          <w:szCs w:val="24"/>
        </w:rPr>
        <w:t>Traditional Flow Theory</w:t>
      </w:r>
      <w:r w:rsidRPr="00EA38DE">
        <w:rPr>
          <w:rFonts w:ascii="Times New Roman" w:eastAsia="Times New Roman" w:hAnsi="Times New Roman" w:cs="Times New Roman"/>
          <w:sz w:val="24"/>
          <w:szCs w:val="24"/>
        </w:rPr>
        <w:t xml:space="preserve"> offers a valuable lens for understanding how </w:t>
      </w:r>
      <w:r w:rsidRPr="00EA38DE">
        <w:rPr>
          <w:rFonts w:ascii="Times New Roman" w:eastAsia="Times New Roman" w:hAnsi="Times New Roman" w:cs="Times New Roman"/>
          <w:bCs/>
          <w:sz w:val="24"/>
          <w:szCs w:val="24"/>
        </w:rPr>
        <w:t>exchange rate volatility and blue economy activities</w:t>
      </w:r>
      <w:r w:rsidRPr="00EA38DE">
        <w:rPr>
          <w:rFonts w:ascii="Times New Roman" w:eastAsia="Times New Roman" w:hAnsi="Times New Roman" w:cs="Times New Roman"/>
          <w:sz w:val="24"/>
          <w:szCs w:val="24"/>
        </w:rPr>
        <w:t xml:space="preserve"> influence the financial performance of Nigeria’s shipping industry. This theory posits a direct relationship between exchange rate movements, trade balances, and the demand for foreign currency key drivers of trade volumes and shipping transport services (Acha &amp; Acha, 2014). Given that the shipping industry is intrinsically tied to trade flows, any fluctuation in exchange rates can significantly affect its operational costs, cargo volumes, and profitability.</w:t>
      </w:r>
    </w:p>
    <w:p w14:paraId="05147059"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In Nigeria, the economy is heavily dependent on the export of crude oil, agricultural products, and increasingly, marine resources tied to the blue economy, such as fisheries and aquaculture. When the naira depreciates due to trade deficits or macroeconomic instability, the cost of importing goods along with shipping services often priced in foreign currencies rises. This drives up operational costs for shipping companies, reduces import volumes, and negatively affects profitability (Ayodele, 2004). Conversely, favorable exchange rates can enhance affordability of imports, potentially increasing trade volumes and stimulating demand for shipping and port services.</w:t>
      </w:r>
    </w:p>
    <w:p w14:paraId="7C26BA7B"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The shipping industry also plays a critical role in supporting and benefiting from Nigeria’s expanding blue economy sectors. As activities like fisheries, aquaculture, offshore energy, and coastal tourism grow, they generate increased demand for specialized maritime logistics, cold chain services, and intermodal transportation. However, this growth potential is undermined when exchange rate volatility creates uncertainty in project financing, inflates costs of imported maritime equipment, or discourages foreign investment in port and shipping infrastructure.</w:t>
      </w:r>
    </w:p>
    <w:p w14:paraId="74CCEAB4" w14:textId="3BAA851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The Traditional Flow Theory also highlights how broader macroeconomic variables such as domestic income levels and relative price changes interact with exchange rate movements to influence trade flows and shipping activity. For instance, a rise in Nigeria’s domestic income may boost demand for imported consumer goods, increasing shipping volumes. Similarly, </w:t>
      </w:r>
      <w:r w:rsidR="00EA6E76"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in global demand for Nigeria’s oil and marine exports directly affect outbound cargo levels, shaping the operational and financial dynamics of shipping companies (Davis et al., 2015). The shipping industry, acting as the logistical backbone of international trade, is acutely sensitive to currency instability. When exchange rates fluctuate sharply, shipping firms face unpredictable operational costs, making it difficult to plan budgets, service foreign-denominated loans, or hedge financial risks. For instance, fuel costs, insurance premiums, and port fees many of which are settled in US dollars can rise steeply with a depreciating naira, thereby undermining the industry's financial sustainability (CBN, 2022).</w:t>
      </w:r>
    </w:p>
    <w:p w14:paraId="7454FC7D"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theory posits that a nation's exchange rate responds directly to the net flow of goods and services across its borders. Specifically, when a country experiences a </w:t>
      </w:r>
      <w:r w:rsidRPr="00EA38DE">
        <w:rPr>
          <w:rStyle w:val="Strong"/>
          <w:rFonts w:ascii="Times New Roman" w:hAnsi="Times New Roman" w:cs="Times New Roman"/>
          <w:b w:val="0"/>
          <w:bCs w:val="0"/>
          <w:sz w:val="24"/>
          <w:szCs w:val="24"/>
        </w:rPr>
        <w:t>trade surplus</w:t>
      </w:r>
      <w:r w:rsidRPr="00EA38DE">
        <w:rPr>
          <w:rFonts w:ascii="Times New Roman" w:hAnsi="Times New Roman" w:cs="Times New Roman"/>
          <w:sz w:val="24"/>
          <w:szCs w:val="24"/>
        </w:rPr>
        <w:t xml:space="preserve"> meaning it exports more than it imports the value of its currency tends to </w:t>
      </w:r>
      <w:r w:rsidRPr="00EA38DE">
        <w:rPr>
          <w:rStyle w:val="Strong"/>
          <w:rFonts w:ascii="Times New Roman" w:hAnsi="Times New Roman" w:cs="Times New Roman"/>
          <w:b w:val="0"/>
          <w:bCs w:val="0"/>
          <w:sz w:val="24"/>
          <w:szCs w:val="24"/>
        </w:rPr>
        <w:t>appreciate</w:t>
      </w:r>
      <w:r w:rsidRPr="00EA38DE">
        <w:rPr>
          <w:rFonts w:ascii="Times New Roman" w:hAnsi="Times New Roman" w:cs="Times New Roman"/>
          <w:sz w:val="24"/>
          <w:szCs w:val="24"/>
        </w:rPr>
        <w:t xml:space="preserve">. Conversely, when it faces a </w:t>
      </w:r>
      <w:r w:rsidRPr="00EA38DE">
        <w:rPr>
          <w:rStyle w:val="Strong"/>
          <w:rFonts w:ascii="Times New Roman" w:hAnsi="Times New Roman" w:cs="Times New Roman"/>
          <w:b w:val="0"/>
          <w:bCs w:val="0"/>
          <w:sz w:val="24"/>
          <w:szCs w:val="24"/>
        </w:rPr>
        <w:t>trade deficit</w:t>
      </w:r>
      <w:r w:rsidRPr="00EA38DE">
        <w:rPr>
          <w:rFonts w:ascii="Times New Roman" w:hAnsi="Times New Roman" w:cs="Times New Roman"/>
          <w:sz w:val="24"/>
          <w:szCs w:val="24"/>
        </w:rPr>
        <w:t xml:space="preserve">, the demand for foreign currency exceeds its supply, causing the domestic currency to </w:t>
      </w:r>
      <w:r w:rsidRPr="00EA38DE">
        <w:rPr>
          <w:rStyle w:val="Strong"/>
          <w:rFonts w:ascii="Times New Roman" w:hAnsi="Times New Roman" w:cs="Times New Roman"/>
          <w:b w:val="0"/>
          <w:bCs w:val="0"/>
          <w:sz w:val="24"/>
          <w:szCs w:val="24"/>
        </w:rPr>
        <w:t>depreciate</w:t>
      </w:r>
      <w:r w:rsidRPr="00EA38DE">
        <w:rPr>
          <w:rFonts w:ascii="Times New Roman" w:hAnsi="Times New Roman" w:cs="Times New Roman"/>
          <w:sz w:val="24"/>
          <w:szCs w:val="24"/>
        </w:rPr>
        <w:t xml:space="preserve"> (Mundell, 1963; Dornbusch, 1976).</w:t>
      </w:r>
    </w:p>
    <w:p w14:paraId="7B674669"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the context of Nigeria, the Traditional Flow Theory offers important insights into how exchange rate volatility impacts the shipping industry and the broader blue economy. Nigeria’s economy is heavily reliant on the export of crude oil, agricultural commodities, and increasingly, marine-based products such as seafood and aquaculture goods. Any decline in export earnings whether due to falling global demand, lower commodity prices, or domestic supply constraints tends to widen the </w:t>
      </w:r>
      <w:r w:rsidRPr="00EA38DE">
        <w:rPr>
          <w:rFonts w:ascii="Times New Roman" w:hAnsi="Times New Roman" w:cs="Times New Roman"/>
          <w:sz w:val="24"/>
          <w:szCs w:val="24"/>
        </w:rPr>
        <w:lastRenderedPageBreak/>
        <w:t>trade deficit. This leads to increased demand for foreign currency and a depreciation of the naira, Nigeria’s currency (Okonkwo &amp; Ukeje, 2015).</w:t>
      </w:r>
    </w:p>
    <w:p w14:paraId="440525DA" w14:textId="2C7E75AF"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As the naira depreciates, the cost of imported goods and services rises. This is particularly significant for the shipping industry, which depends on foreign-denominated payments for vessels, port logistics, freight rates, and marine equipment. Increased operational costs are passed on to importers and shippers, leading to reduced profitability and lower shipping volumes</w:t>
      </w:r>
      <w:r w:rsidR="00805E13" w:rsidRPr="00EA38DE">
        <w:rPr>
          <w:rFonts w:ascii="Times New Roman" w:hAnsi="Times New Roman" w:cs="Times New Roman"/>
          <w:sz w:val="24"/>
          <w:szCs w:val="24"/>
        </w:rPr>
        <w:t xml:space="preserve">, </w:t>
      </w:r>
      <w:r w:rsidRPr="00EA38DE">
        <w:rPr>
          <w:rFonts w:ascii="Times New Roman" w:hAnsi="Times New Roman" w:cs="Times New Roman"/>
          <w:sz w:val="24"/>
          <w:szCs w:val="24"/>
        </w:rPr>
        <w:t>Adegbite</w:t>
      </w:r>
      <w:r w:rsidR="00805E13" w:rsidRPr="00EA38DE">
        <w:rPr>
          <w:rFonts w:ascii="Times New Roman" w:hAnsi="Times New Roman" w:cs="Times New Roman"/>
          <w:sz w:val="24"/>
          <w:szCs w:val="24"/>
        </w:rPr>
        <w:t xml:space="preserve"> et.al.</w:t>
      </w:r>
      <w:r w:rsidRPr="00EA38DE">
        <w:rPr>
          <w:rFonts w:ascii="Times New Roman" w:hAnsi="Times New Roman" w:cs="Times New Roman"/>
          <w:sz w:val="24"/>
          <w:szCs w:val="24"/>
        </w:rPr>
        <w:t xml:space="preserve"> </w:t>
      </w:r>
      <w:r w:rsidR="00805E13" w:rsidRPr="00EA38DE">
        <w:rPr>
          <w:rFonts w:ascii="Times New Roman" w:hAnsi="Times New Roman" w:cs="Times New Roman"/>
          <w:sz w:val="24"/>
          <w:szCs w:val="24"/>
        </w:rPr>
        <w:t>(</w:t>
      </w:r>
      <w:r w:rsidRPr="00EA38DE">
        <w:rPr>
          <w:rFonts w:ascii="Times New Roman" w:hAnsi="Times New Roman" w:cs="Times New Roman"/>
          <w:sz w:val="24"/>
          <w:szCs w:val="24"/>
        </w:rPr>
        <w:t>2021). This also affects port revenues and investment planning, as firms find it more difficult to forecast income in an unstable currency environment.</w:t>
      </w:r>
    </w:p>
    <w:p w14:paraId="1489F1D7" w14:textId="77777777" w:rsidR="008D7E3E" w:rsidRPr="00EA38DE" w:rsidRDefault="008D7E3E" w:rsidP="00A86755">
      <w:pPr>
        <w:pStyle w:val="NoSpacing"/>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The Traditional Flow Theory also emphasizes the influence of domestic income levels on trade activity and exchange rate behavior. In Nigeria, unstable or declining incomes reduce consumer demand for imported goods, which in turn decreases import volumes. This has a negative impact on cargo throughput and revenue for shipping companies, especially those engaged in containerized and bulk imports. Similarly, when inflation or currency misalignments make Nigerian exports more expensive on global markets, export competitiveness declines, leading to reduced outbound shipments and financial strain on maritime logistics providers (Onyemaechi, 2020).</w:t>
      </w:r>
    </w:p>
    <w:p w14:paraId="0B0F9030" w14:textId="791A0A32"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By analyzing trade and currency flows through the lens of the Traditional Flow Theory, stakeholders can better understand how exchange rate volatility and blue economy dynamics collectively impact shipping performance. Empirical evidence supports the view that </w:t>
      </w:r>
      <w:r w:rsidR="00780FA0"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in exchange rates directly influence trade volumes and shipping demand (Das &amp; Das, 2012). This makes the theory particularly relevant for Nigeria, where the integration of blue economy </w:t>
      </w:r>
      <w:r w:rsidRPr="00EA38DE">
        <w:rPr>
          <w:rFonts w:ascii="Times New Roman" w:eastAsia="Times New Roman" w:hAnsi="Times New Roman" w:cs="Times New Roman"/>
          <w:sz w:val="24"/>
          <w:szCs w:val="24"/>
        </w:rPr>
        <w:lastRenderedPageBreak/>
        <w:t>strategies with a volatile macroeconomic environment requires coordinated policy efforts to stabilize currency, support infrastructure development, and enhance sectoral resilience.</w:t>
      </w:r>
    </w:p>
    <w:p w14:paraId="6F1B3510" w14:textId="77777777" w:rsidR="008D7E3E" w:rsidRPr="00EA38DE" w:rsidRDefault="008D7E3E"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The Traditional Flow Theory provides a robust framework for analyzing how exchange rate volatility and the evolving blue economy affect the financial performance of</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Nigeria’s shipping industry. The theory underscores the need for stable macroeconomic policies and strategic investments to mitigate currency risks and unlock the full potential of shipping as a driver of sustainable economic growth.</w:t>
      </w:r>
    </w:p>
    <w:p w14:paraId="62560188" w14:textId="0B42CB5F" w:rsidR="00B3699C" w:rsidRPr="00EA38DE" w:rsidRDefault="0066005F" w:rsidP="00A86755">
      <w:pPr>
        <w:pStyle w:val="NormalWeb"/>
        <w:spacing w:before="0" w:beforeAutospacing="0" w:after="240" w:afterAutospacing="0" w:line="480" w:lineRule="auto"/>
        <w:jc w:val="both"/>
        <w:rPr>
          <w:rStyle w:val="Strong"/>
        </w:rPr>
      </w:pPr>
      <w:r w:rsidRPr="00EA38DE">
        <w:rPr>
          <w:rStyle w:val="Strong"/>
        </w:rPr>
        <w:t>2.5</w:t>
      </w:r>
      <w:r w:rsidR="00A45497" w:rsidRPr="00EA38DE">
        <w:rPr>
          <w:rStyle w:val="Strong"/>
        </w:rPr>
        <w:tab/>
      </w:r>
      <w:r w:rsidRPr="00EA38DE">
        <w:rPr>
          <w:rStyle w:val="Strong"/>
        </w:rPr>
        <w:t>Empirical Review</w:t>
      </w:r>
    </w:p>
    <w:p w14:paraId="1943CBA3" w14:textId="7BF24123" w:rsidR="0066005F" w:rsidRPr="00EA38DE" w:rsidRDefault="0066005F" w:rsidP="00A86755">
      <w:pPr>
        <w:pStyle w:val="NormalWeb"/>
        <w:spacing w:before="0" w:beforeAutospacing="0" w:after="240" w:afterAutospacing="0" w:line="480" w:lineRule="auto"/>
        <w:jc w:val="both"/>
        <w:rPr>
          <w:b/>
          <w:bCs/>
        </w:rPr>
      </w:pPr>
      <w:r w:rsidRPr="00EA38DE">
        <w:rPr>
          <w:b/>
          <w:bCs/>
        </w:rPr>
        <w:t>2.5.1</w:t>
      </w:r>
      <w:r w:rsidR="00A45497" w:rsidRPr="00EA38DE">
        <w:rPr>
          <w:b/>
          <w:bCs/>
        </w:rPr>
        <w:tab/>
      </w:r>
      <w:r w:rsidRPr="00EA38DE">
        <w:rPr>
          <w:b/>
          <w:bCs/>
        </w:rPr>
        <w:t>Exchange Rate Volatility and Shipping Industry Financial Performance in Nigeria</w:t>
      </w:r>
    </w:p>
    <w:p w14:paraId="58E7E7B5" w14:textId="610607C6"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Adewuyi</w:t>
      </w:r>
      <w:r w:rsidRPr="00EA38DE">
        <w:rPr>
          <w:rFonts w:ascii="Times New Roman" w:eastAsia="Times New Roman" w:hAnsi="Times New Roman" w:cs="Times New Roman"/>
          <w:sz w:val="24"/>
          <w:szCs w:val="24"/>
        </w:rPr>
        <w:t xml:space="preserve">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Adefolami (2021) explored the relationship between exchange rate volatility and port throughput, a key determinant of financial performance in the shipping sector from 2000 to 2020. Using ARDL modeling, they found that exchange rate volatility had both immediate and lagged effects on cargo volume, impacting revenue generation and cost structures of shipping companies. The study emphasized that stable exchange rate regimes are essential to harness the economic potential of Nigeria’s blue economy.</w:t>
      </w:r>
    </w:p>
    <w:p w14:paraId="53B0ED22" w14:textId="57515439" w:rsidR="0066005F" w:rsidRPr="00EA38DE" w:rsidRDefault="0066005F" w:rsidP="00A86755">
      <w:pPr>
        <w:spacing w:after="240" w:line="480" w:lineRule="auto"/>
        <w:jc w:val="both"/>
        <w:outlineLvl w:val="2"/>
        <w:rPr>
          <w:rFonts w:ascii="Times New Roman" w:eastAsia="Times New Roman" w:hAnsi="Times New Roman" w:cs="Times New Roman"/>
          <w:b/>
          <w:bCs/>
          <w:sz w:val="24"/>
          <w:szCs w:val="24"/>
        </w:rPr>
      </w:pPr>
      <w:r w:rsidRPr="00EA38DE">
        <w:rPr>
          <w:rFonts w:ascii="Times New Roman" w:eastAsia="Times New Roman" w:hAnsi="Times New Roman" w:cs="Times New Roman"/>
          <w:sz w:val="24"/>
          <w:szCs w:val="24"/>
        </w:rPr>
        <w:t>Adeyemo,</w:t>
      </w:r>
      <w:r w:rsidRPr="00EA38DE">
        <w:rPr>
          <w:rFonts w:ascii="Times New Roman" w:hAnsi="Times New Roman" w:cs="Times New Roman"/>
          <w:sz w:val="24"/>
          <w:szCs w:val="24"/>
        </w:rPr>
        <w:t xml:space="preserve"> </w:t>
      </w:r>
      <w:r w:rsidR="007228CC" w:rsidRPr="00EA38DE">
        <w:rPr>
          <w:rFonts w:ascii="Times New Roman" w:hAnsi="Times New Roman" w:cs="Times New Roman"/>
          <w:sz w:val="24"/>
          <w:szCs w:val="24"/>
        </w:rPr>
        <w:t>et al.</w:t>
      </w:r>
      <w:r w:rsidRPr="00EA38DE">
        <w:rPr>
          <w:rFonts w:ascii="Times New Roman" w:hAnsi="Times New Roman" w:cs="Times New Roman"/>
          <w:sz w:val="24"/>
          <w:szCs w:val="24"/>
        </w:rPr>
        <w:t>, (2020) focused on the relationship between exchange rate volatility and the financial performance of firms in the transport and logistics sector, which includes shipping companies from 2005 to 2019. The employed</w:t>
      </w:r>
      <w:r w:rsidRPr="00EA38DE">
        <w:rPr>
          <w:rFonts w:ascii="Times New Roman" w:hAnsi="Times New Roman" w:cs="Times New Roman"/>
          <w:b/>
          <w:bCs/>
          <w:sz w:val="24"/>
          <w:szCs w:val="24"/>
        </w:rPr>
        <w:t xml:space="preserve"> </w:t>
      </w:r>
      <w:r w:rsidRPr="00EA38DE">
        <w:rPr>
          <w:rStyle w:val="Strong"/>
          <w:rFonts w:ascii="Times New Roman" w:hAnsi="Times New Roman" w:cs="Times New Roman"/>
          <w:b w:val="0"/>
          <w:bCs w:val="0"/>
          <w:sz w:val="24"/>
          <w:szCs w:val="24"/>
        </w:rPr>
        <w:t>panel data regression analysis</w:t>
      </w:r>
      <w:r w:rsidRPr="00EA38DE">
        <w:rPr>
          <w:rFonts w:ascii="Times New Roman" w:hAnsi="Times New Roman" w:cs="Times New Roman"/>
          <w:sz w:val="24"/>
          <w:szCs w:val="24"/>
        </w:rPr>
        <w:t xml:space="preserve"> to assess the effect of </w:t>
      </w:r>
      <w:r w:rsidRPr="00EA38DE">
        <w:rPr>
          <w:rStyle w:val="Strong"/>
          <w:rFonts w:ascii="Times New Roman" w:hAnsi="Times New Roman" w:cs="Times New Roman"/>
          <w:b w:val="0"/>
          <w:bCs w:val="0"/>
          <w:sz w:val="24"/>
          <w:szCs w:val="24"/>
        </w:rPr>
        <w:t>exchange rate volatility</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on th</w:t>
      </w:r>
      <w:r w:rsidRPr="00EA38DE">
        <w:rPr>
          <w:rFonts w:ascii="Times New Roman" w:hAnsi="Times New Roman" w:cs="Times New Roman"/>
          <w:b/>
          <w:bCs/>
          <w:sz w:val="24"/>
          <w:szCs w:val="24"/>
        </w:rPr>
        <w:t xml:space="preserve">e </w:t>
      </w:r>
      <w:r w:rsidRPr="00EA38DE">
        <w:rPr>
          <w:rStyle w:val="Strong"/>
          <w:rFonts w:ascii="Times New Roman" w:hAnsi="Times New Roman" w:cs="Times New Roman"/>
          <w:b w:val="0"/>
          <w:bCs w:val="0"/>
          <w:sz w:val="24"/>
          <w:szCs w:val="24"/>
        </w:rPr>
        <w:t>financial performance</w:t>
      </w:r>
      <w:r w:rsidRPr="00EA38DE">
        <w:rPr>
          <w:rFonts w:ascii="Times New Roman" w:hAnsi="Times New Roman" w:cs="Times New Roman"/>
          <w:sz w:val="24"/>
          <w:szCs w:val="24"/>
        </w:rPr>
        <w:t xml:space="preserve"> of transport and logistics firms. The study found that exchange rate volatility negatively affects profitability, as fluctuations in the exchange rate increase the cost of doing business for shipping firms. The study highlighted that firms often </w:t>
      </w:r>
      <w:r w:rsidRPr="00EA38DE">
        <w:rPr>
          <w:rFonts w:ascii="Times New Roman" w:hAnsi="Times New Roman" w:cs="Times New Roman"/>
          <w:sz w:val="24"/>
          <w:szCs w:val="24"/>
        </w:rPr>
        <w:lastRenderedPageBreak/>
        <w:t>struggle to manage the financial risks associated with currency fluctuations, leading to reduced profitability and potential bankruptcy in extreme cases.</w:t>
      </w:r>
    </w:p>
    <w:p w14:paraId="45861E26" w14:textId="460C4A1A" w:rsidR="0066005F" w:rsidRPr="00EA38DE" w:rsidRDefault="0066005F" w:rsidP="00A86755">
      <w:pPr>
        <w:pStyle w:val="NormalWeb"/>
        <w:spacing w:before="0" w:beforeAutospacing="0" w:after="240" w:afterAutospacing="0" w:line="480" w:lineRule="auto"/>
        <w:jc w:val="both"/>
      </w:pPr>
      <w:r w:rsidRPr="00EA38DE">
        <w:t xml:space="preserve">Ahmad </w:t>
      </w:r>
      <w:r w:rsidR="00882A74" w:rsidRPr="00EA38DE">
        <w:t>&amp;</w:t>
      </w:r>
      <w:r w:rsidRPr="00EA38DE">
        <w:t xml:space="preserve"> Wazir (2017) investigated the impact of exchange rate volatility on the financial performance of shipping companies in Pakistan from 2006 to 2016. The study utilized</w:t>
      </w:r>
      <w:r w:rsidRPr="00EA38DE">
        <w:rPr>
          <w:b/>
          <w:bCs/>
        </w:rPr>
        <w:t xml:space="preserve"> </w:t>
      </w:r>
      <w:r w:rsidRPr="00EA38DE">
        <w:rPr>
          <w:rStyle w:val="Strong"/>
          <w:b w:val="0"/>
          <w:bCs w:val="0"/>
        </w:rPr>
        <w:t>time series</w:t>
      </w:r>
      <w:r w:rsidRPr="00EA38DE">
        <w:rPr>
          <w:rStyle w:val="Strong"/>
        </w:rPr>
        <w:t xml:space="preserve"> </w:t>
      </w:r>
      <w:r w:rsidRPr="00EA38DE">
        <w:rPr>
          <w:rStyle w:val="Strong"/>
          <w:b w:val="0"/>
          <w:bCs w:val="0"/>
        </w:rPr>
        <w:t>econometric analysis</w:t>
      </w:r>
      <w:r w:rsidRPr="00EA38DE">
        <w:t>, particularly</w:t>
      </w:r>
      <w:r w:rsidRPr="00EA38DE">
        <w:rPr>
          <w:b/>
          <w:bCs/>
        </w:rPr>
        <w:t xml:space="preserve"> </w:t>
      </w:r>
      <w:r w:rsidRPr="00EA38DE">
        <w:rPr>
          <w:rStyle w:val="Strong"/>
          <w:b w:val="0"/>
          <w:bCs w:val="0"/>
        </w:rPr>
        <w:t>autoregressive distributed lag (ARDL</w:t>
      </w:r>
      <w:r w:rsidRPr="00EA38DE">
        <w:rPr>
          <w:rStyle w:val="Strong"/>
        </w:rPr>
        <w:t>)</w:t>
      </w:r>
      <w:r w:rsidRPr="00EA38DE">
        <w:t xml:space="preserve"> models. Their findings suggest that exchange rate volatility has a significant negative impact on the financial stability of shipping companies, particularly in terms of revenue generation and operational costs.</w:t>
      </w:r>
    </w:p>
    <w:p w14:paraId="453F67C1" w14:textId="26897D7E"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Akpan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Essien (2018) conducted a study spanning the period 2010 to 2017 on the dynamics of transport costs in Nigeria, with a specific focus on the effects of exchange rate fluctuations on logistics and shipping operations. The researchers adopted a quantitative approach, using time-series econometric analysis of import data, exchange rate trends, and sectoral cost indices. Supplementary data were also gathered from port authorities and maritime service providers. Their findings revealed that over 70% of the inputs used in Nigeria’s transport sector including spare parts, heavy equipment, and petroleum products were imported and denominated in U.S. dollars. As a result, naira depreciation significantly increased the cost of transport services, particularly affecting the affordability of maritime logistics, vessel maintenance, and shipping operations. </w:t>
      </w:r>
    </w:p>
    <w:p w14:paraId="2C7C29B0" w14:textId="77777777"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Alege et al. (2016) conducted a macroeconomic study on the impact of exchange rate volatility on investment and sectoral productivity in Nigeria, covering the period from 1981 to 2014. The study employed econometric modeling techniques, specifically a vector autoregressive (VAR) framework and generalized method of moments (GMM), to assess how fluctuations in the naira affected key economic sectors. Their findings showed that persistent exchange rate instability </w:t>
      </w:r>
      <w:r w:rsidRPr="00EA38DE">
        <w:rPr>
          <w:rFonts w:ascii="Times New Roman" w:eastAsia="Times New Roman" w:hAnsi="Times New Roman" w:cs="Times New Roman"/>
          <w:sz w:val="24"/>
          <w:szCs w:val="24"/>
        </w:rPr>
        <w:lastRenderedPageBreak/>
        <w:t>significantly dampens investment confidence and reduces sectoral productivity, especially in import-dependent sectors such as transportation, and maritime logistics</w:t>
      </w:r>
    </w:p>
    <w:p w14:paraId="3257FEDC" w14:textId="5EE2C803"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Alizadeh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Nomikos (2007) conducted a quantitative study analyzing the impact of exchange rate fluctuations on tanker freight rates, using data from 1985 to 2005. The researchers employed a Vector Error Correction Model (VECM) to examine the long-run and short-run dynamics between exchange rate movements and freight market performance. Their findings showed that freight markets are highly sensitive to exchange rate changes, particularly in emerging market economies where shipping transactions are typically conducted in foreign currencies (such as USD).</w:t>
      </w:r>
    </w:p>
    <w:p w14:paraId="74D9010E" w14:textId="77777777" w:rsidR="0066005F" w:rsidRPr="00EA38DE" w:rsidRDefault="0066005F" w:rsidP="00A86755">
      <w:pPr>
        <w:pStyle w:val="NormalWeb"/>
        <w:spacing w:before="0" w:beforeAutospacing="0" w:after="240" w:afterAutospacing="0" w:line="480" w:lineRule="auto"/>
        <w:jc w:val="both"/>
      </w:pPr>
      <w:r w:rsidRPr="00EA38DE">
        <w:rPr>
          <w:rStyle w:val="Strong"/>
          <w:b w:val="0"/>
          <w:bCs w:val="0"/>
        </w:rPr>
        <w:t>Asongu et al. (2020)</w:t>
      </w:r>
      <w:r w:rsidRPr="00EA38DE">
        <w:t xml:space="preserve"> conducted a cross-country panel study spanning </w:t>
      </w:r>
      <w:r w:rsidRPr="00EA38DE">
        <w:rPr>
          <w:rStyle w:val="Strong"/>
          <w:b w:val="0"/>
          <w:bCs w:val="0"/>
        </w:rPr>
        <w:t>2010 to 2018</w:t>
      </w:r>
      <w:r w:rsidRPr="00EA38DE">
        <w:t xml:space="preserve"> involving African coastal states to analyze the impact of sustainable marine policies and currency stability on maritime economic outcomes. Using </w:t>
      </w:r>
      <w:r w:rsidRPr="00EA38DE">
        <w:rPr>
          <w:rStyle w:val="Strong"/>
          <w:b w:val="0"/>
          <w:bCs w:val="0"/>
        </w:rPr>
        <w:t>panel data econometric techniques</w:t>
      </w:r>
      <w:r w:rsidRPr="00EA38DE">
        <w:t xml:space="preserve">, including fixed and random effects models, the study examined how governance quality and exchange rate stability influence the performance of maritime sectors across different countries. Their findings reveal that the implementation of </w:t>
      </w:r>
      <w:r w:rsidRPr="00EA38DE">
        <w:rPr>
          <w:rStyle w:val="Strong"/>
          <w:b w:val="0"/>
          <w:bCs w:val="0"/>
        </w:rPr>
        <w:t>sustainable marine policies</w:t>
      </w:r>
      <w:r w:rsidRPr="00EA38DE">
        <w:t xml:space="preserve">, combined with </w:t>
      </w:r>
      <w:r w:rsidRPr="00EA38DE">
        <w:rPr>
          <w:rStyle w:val="Strong"/>
          <w:b w:val="0"/>
          <w:bCs w:val="0"/>
        </w:rPr>
        <w:t>currency stability</w:t>
      </w:r>
      <w:r w:rsidRPr="00EA38DE">
        <w:t xml:space="preserve">, significantly enhances economic outcomes by promoting environmental sustainability and improving the financial performance of maritime industries. </w:t>
      </w:r>
    </w:p>
    <w:p w14:paraId="440A6CB3" w14:textId="0B3D7C5D"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Botteboom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Rodrigue (2020) conducted a global review study on exchange rate volatility on financial performance in the shipping industry, synthesizing empirical and theoretical research covering the period from 2000 to 2020. Their work employed a meta-analytical and comparative methodological approach, drawing from case studies, industry data, and economic models across major shipping regions (Asia, Europe, North America, and selected developing economies). Their </w:t>
      </w:r>
      <w:r w:rsidRPr="00EA38DE">
        <w:rPr>
          <w:rFonts w:ascii="Times New Roman" w:eastAsia="Times New Roman" w:hAnsi="Times New Roman" w:cs="Times New Roman"/>
          <w:sz w:val="24"/>
          <w:szCs w:val="24"/>
        </w:rPr>
        <w:lastRenderedPageBreak/>
        <w:t>findings highlighted that shipping sector performance is increasingly influenced by a triad of macroeconomic, technological, and regulatory factors:</w:t>
      </w:r>
    </w:p>
    <w:p w14:paraId="5EF8D72F" w14:textId="77777777" w:rsidR="0066005F" w:rsidRPr="00EA38DE" w:rsidRDefault="0066005F" w:rsidP="00A86755">
      <w:pPr>
        <w:pStyle w:val="NormalWeb"/>
        <w:spacing w:before="0" w:beforeAutospacing="0" w:after="240" w:afterAutospacing="0" w:line="480" w:lineRule="auto"/>
        <w:jc w:val="both"/>
      </w:pPr>
      <w:r w:rsidRPr="00EA38DE">
        <w:rPr>
          <w:rStyle w:val="Strong"/>
          <w:b w:val="0"/>
          <w:bCs w:val="0"/>
        </w:rPr>
        <w:t>Chang et al. (2018)</w:t>
      </w:r>
      <w:r w:rsidRPr="00EA38DE">
        <w:t xml:space="preserve"> conducted a </w:t>
      </w:r>
      <w:r w:rsidRPr="00EA38DE">
        <w:rPr>
          <w:rStyle w:val="Strong"/>
          <w:b w:val="0"/>
          <w:bCs w:val="0"/>
        </w:rPr>
        <w:t>regional empirical study</w:t>
      </w:r>
      <w:r w:rsidRPr="00EA38DE">
        <w:t xml:space="preserve"> to assess the impact of </w:t>
      </w:r>
      <w:r w:rsidRPr="00EA38DE">
        <w:rPr>
          <w:rStyle w:val="Strong"/>
          <w:b w:val="0"/>
          <w:bCs w:val="0"/>
        </w:rPr>
        <w:t>exchange rate volatility</w:t>
      </w:r>
      <w:r w:rsidRPr="00EA38DE">
        <w:rPr>
          <w:b/>
          <w:bCs/>
        </w:rPr>
        <w:t xml:space="preserve"> </w:t>
      </w:r>
      <w:r w:rsidRPr="00EA38DE">
        <w:t>on</w:t>
      </w:r>
      <w:r w:rsidRPr="00EA38DE">
        <w:rPr>
          <w:b/>
          <w:bCs/>
        </w:rPr>
        <w:t xml:space="preserve"> </w:t>
      </w:r>
      <w:r w:rsidRPr="00EA38DE">
        <w:rPr>
          <w:rStyle w:val="Strong"/>
          <w:b w:val="0"/>
          <w:bCs w:val="0"/>
        </w:rPr>
        <w:t>container freight rates</w:t>
      </w:r>
      <w:r w:rsidRPr="00EA38DE">
        <w:rPr>
          <w:b/>
          <w:bCs/>
        </w:rPr>
        <w:t xml:space="preserve"> </w:t>
      </w:r>
      <w:r w:rsidRPr="00EA38DE">
        <w:t>and</w:t>
      </w:r>
      <w:r w:rsidRPr="00EA38DE">
        <w:rPr>
          <w:b/>
          <w:bCs/>
        </w:rPr>
        <w:t xml:space="preserve"> </w:t>
      </w:r>
      <w:r w:rsidRPr="00EA38DE">
        <w:rPr>
          <w:rStyle w:val="Strong"/>
          <w:b w:val="0"/>
          <w:bCs w:val="0"/>
        </w:rPr>
        <w:t>shipping firm performance</w:t>
      </w:r>
      <w:r w:rsidRPr="00EA38DE">
        <w:rPr>
          <w:b/>
          <w:bCs/>
        </w:rPr>
        <w:t xml:space="preserve"> </w:t>
      </w:r>
      <w:r w:rsidRPr="00EA38DE">
        <w:t xml:space="preserve">in </w:t>
      </w:r>
      <w:r w:rsidRPr="00EA38DE">
        <w:rPr>
          <w:rStyle w:val="Strong"/>
          <w:b w:val="0"/>
          <w:bCs w:val="0"/>
        </w:rPr>
        <w:t>South Korea and</w:t>
      </w:r>
      <w:r w:rsidRPr="00EA38DE">
        <w:rPr>
          <w:rStyle w:val="Strong"/>
        </w:rPr>
        <w:t xml:space="preserve"> </w:t>
      </w:r>
      <w:r w:rsidRPr="00EA38DE">
        <w:rPr>
          <w:rStyle w:val="Strong"/>
          <w:b w:val="0"/>
          <w:bCs w:val="0"/>
        </w:rPr>
        <w:t>Taiwan</w:t>
      </w:r>
      <w:r w:rsidRPr="00EA38DE">
        <w:rPr>
          <w:b/>
          <w:bCs/>
        </w:rPr>
        <w:t>,</w:t>
      </w:r>
      <w:r w:rsidRPr="00EA38DE">
        <w:t xml:space="preserve"> two major maritime economies in East Asia. The study covered the time period from </w:t>
      </w:r>
      <w:r w:rsidRPr="00EA38DE">
        <w:rPr>
          <w:rStyle w:val="Strong"/>
          <w:b w:val="0"/>
          <w:bCs w:val="0"/>
        </w:rPr>
        <w:t>2000 to 2016</w:t>
      </w:r>
      <w:r w:rsidRPr="00EA38DE">
        <w:t xml:space="preserve">. Using a </w:t>
      </w:r>
      <w:r w:rsidRPr="00EA38DE">
        <w:rPr>
          <w:rStyle w:val="Strong"/>
          <w:b w:val="0"/>
          <w:bCs w:val="0"/>
        </w:rPr>
        <w:t>dynamic panel model</w:t>
      </w:r>
      <w:r w:rsidRPr="00EA38DE">
        <w:t xml:space="preserve">, specifically the </w:t>
      </w:r>
      <w:r w:rsidRPr="00EA38DE">
        <w:rPr>
          <w:rStyle w:val="Strong"/>
          <w:b w:val="0"/>
          <w:bCs w:val="0"/>
        </w:rPr>
        <w:t>Generalized Method of Moments (GMM)</w:t>
      </w:r>
      <w:r w:rsidRPr="00EA38DE">
        <w:t xml:space="preserve"> estimator, the authors examined how fluctuations in the exchange rate particularly depreciation against the U.S. dollar affected </w:t>
      </w:r>
      <w:r w:rsidRPr="00EA38DE">
        <w:rPr>
          <w:rStyle w:val="Strong"/>
          <w:b w:val="0"/>
          <w:bCs w:val="0"/>
        </w:rPr>
        <w:t>freight rates, cargo volumes, and financial indicators</w:t>
      </w:r>
      <w:r w:rsidRPr="00EA38DE">
        <w:t xml:space="preserve"> such as </w:t>
      </w:r>
      <w:r w:rsidRPr="00EA38DE">
        <w:rPr>
          <w:rStyle w:val="Strong"/>
          <w:b w:val="0"/>
          <w:bCs w:val="0"/>
        </w:rPr>
        <w:t>return on assets (ROA)</w:t>
      </w:r>
      <w:r w:rsidRPr="00EA38DE">
        <w:t xml:space="preserve"> for shipping companies. Finding revealed that </w:t>
      </w:r>
      <w:r w:rsidRPr="00EA38DE">
        <w:rPr>
          <w:rStyle w:val="Strong"/>
          <w:b w:val="0"/>
          <w:bCs w:val="0"/>
        </w:rPr>
        <w:t>Currency depreciation</w:t>
      </w:r>
      <w:r w:rsidRPr="00EA38DE">
        <w:rPr>
          <w:b/>
          <w:bCs/>
        </w:rPr>
        <w:t xml:space="preserve"> </w:t>
      </w:r>
      <w:r w:rsidRPr="00EA38DE">
        <w:t xml:space="preserve">led to </w:t>
      </w:r>
      <w:r w:rsidRPr="00EA38DE">
        <w:rPr>
          <w:rStyle w:val="Strong"/>
          <w:b w:val="0"/>
          <w:bCs w:val="0"/>
        </w:rPr>
        <w:t>higher import</w:t>
      </w:r>
      <w:r w:rsidRPr="00EA38DE">
        <w:rPr>
          <w:rStyle w:val="Strong"/>
        </w:rPr>
        <w:t xml:space="preserve"> </w:t>
      </w:r>
      <w:r w:rsidRPr="00EA38DE">
        <w:rPr>
          <w:rStyle w:val="Strong"/>
          <w:b w:val="0"/>
        </w:rPr>
        <w:t>costs</w:t>
      </w:r>
      <w:r w:rsidRPr="00EA38DE">
        <w:t xml:space="preserve">, which in turn </w:t>
      </w:r>
      <w:r w:rsidRPr="00EA38DE">
        <w:rPr>
          <w:rStyle w:val="Strong"/>
          <w:b w:val="0"/>
          <w:bCs w:val="0"/>
        </w:rPr>
        <w:t>reduced shipping volumes</w:t>
      </w:r>
      <w:r w:rsidRPr="00EA38DE">
        <w:t xml:space="preserve"> as trade slowed.</w:t>
      </w:r>
    </w:p>
    <w:p w14:paraId="0B63FCD8" w14:textId="0997BBDB"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Eze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Uchenna (2021) conducted a firm-level financial analysis to examine the effects of exchange rate volatility on the profitability of Nigerian shipping companies. The study covered the period from 2013 to 2020 and focused on five major shipping firms listed on the Nigerian Exchange Group (NGX). Using panel regression analysis, the researchers assessed the relationship between foreign exchange losses and profit margins, drawing data from audited financial statements, annual reports, and industry disclosures. Their findings revealed that foreign exchange losses driven by naira depreciation were consistently among the top contributors to profit margin erosion. The study emphasized that operating expenses increased significantly for shipping lines with dollar-denominated obligations, including vessel leases, insurance premiums, and bunker fuel procurement. </w:t>
      </w:r>
    </w:p>
    <w:p w14:paraId="15E7AAFC" w14:textId="77777777" w:rsidR="0066005F" w:rsidRPr="00EA38DE" w:rsidRDefault="0066005F" w:rsidP="00A86755">
      <w:pPr>
        <w:pStyle w:val="NormalWeb"/>
        <w:spacing w:before="0" w:beforeAutospacing="0" w:after="240" w:afterAutospacing="0" w:line="480" w:lineRule="auto"/>
        <w:jc w:val="both"/>
      </w:pPr>
      <w:r w:rsidRPr="00EA38DE">
        <w:rPr>
          <w:rStyle w:val="Strong"/>
          <w:b w:val="0"/>
          <w:bCs w:val="0"/>
        </w:rPr>
        <w:t>Ezeaku et al. (2018)</w:t>
      </w:r>
      <w:r w:rsidRPr="00EA38DE">
        <w:t xml:space="preserve"> conducted a sectoral analysis covering the period from </w:t>
      </w:r>
      <w:r w:rsidRPr="00EA38DE">
        <w:rPr>
          <w:rStyle w:val="Strong"/>
          <w:b w:val="0"/>
          <w:bCs w:val="0"/>
        </w:rPr>
        <w:t>2000 to 2016</w:t>
      </w:r>
      <w:r w:rsidRPr="00EA38DE">
        <w:t xml:space="preserve"> to examine the impact of exchange rate volatility on the performance of key Nigerian shipping </w:t>
      </w:r>
      <w:r w:rsidRPr="00EA38DE">
        <w:lastRenderedPageBreak/>
        <w:t xml:space="preserve">industries. Using econometric models with a focus on time-series analysis, the study found that shipping firms are particularly vulnerable to unpredictable exchange rate fluctuations, which lead to </w:t>
      </w:r>
      <w:r w:rsidRPr="00EA38DE">
        <w:rPr>
          <w:rStyle w:val="Strong"/>
          <w:b w:val="0"/>
          <w:bCs w:val="0"/>
        </w:rPr>
        <w:t>higher operating</w:t>
      </w:r>
      <w:r w:rsidRPr="00EA38DE">
        <w:rPr>
          <w:rStyle w:val="Strong"/>
        </w:rPr>
        <w:t xml:space="preserve"> </w:t>
      </w:r>
      <w:r w:rsidRPr="00EA38DE">
        <w:rPr>
          <w:rStyle w:val="Strong"/>
          <w:b w:val="0"/>
        </w:rPr>
        <w:t>costs</w:t>
      </w:r>
      <w:r w:rsidRPr="00EA38DE">
        <w:rPr>
          <w:bCs/>
        </w:rPr>
        <w:t>,</w:t>
      </w:r>
      <w:r w:rsidRPr="00EA38DE">
        <w:rPr>
          <w:b/>
          <w:bCs/>
        </w:rPr>
        <w:t xml:space="preserve"> </w:t>
      </w:r>
      <w:r w:rsidRPr="00EA38DE">
        <w:rPr>
          <w:rStyle w:val="Strong"/>
          <w:b w:val="0"/>
          <w:bCs w:val="0"/>
        </w:rPr>
        <w:t>increased uncertainty</w:t>
      </w:r>
      <w:r w:rsidRPr="00EA38DE">
        <w:rPr>
          <w:bCs/>
        </w:rPr>
        <w:t>,</w:t>
      </w:r>
      <w:r w:rsidRPr="00EA38DE">
        <w:t xml:space="preserve"> and </w:t>
      </w:r>
      <w:r w:rsidRPr="00EA38DE">
        <w:rPr>
          <w:rStyle w:val="Strong"/>
          <w:b w:val="0"/>
          <w:bCs w:val="0"/>
        </w:rPr>
        <w:t>reduced profit margins</w:t>
      </w:r>
      <w:r w:rsidRPr="00EA38DE">
        <w:rPr>
          <w:b/>
          <w:bCs/>
        </w:rPr>
        <w:t xml:space="preserve">. </w:t>
      </w:r>
      <w:r w:rsidRPr="00EA38DE">
        <w:t>The findings highlight the significant financial challenges faced by shipping companies in managing currency risks within Nigeria’s volatile macroeconomic environment.</w:t>
      </w:r>
    </w:p>
    <w:p w14:paraId="73974815" w14:textId="5912B870"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Glen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Martin (2005) conducted a comprehensive study examining the impact of foreign exchange volatility on the financial performance of shipping firms listed on the London and Singapore stock exchanges. The research covered a 10-year period from 1994 to 2004 and employed panel econometric techniques, particularly regression analysis, to investigate the relationship between exchange rate fluctuations and key performance indicators such as return on equity (ROE). The findings revealed a statistically significant negative correlation between foreign exchange volatility and ROE in shipping companies operating across multiple currency zones. Firms that lacked exposure management strategies were more vulnerable to profit erosion during currency shocks. </w:t>
      </w:r>
    </w:p>
    <w:p w14:paraId="0DB532DC" w14:textId="062096B1"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Hoffmann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Kumar (2010) conducted a regional empirical study assessing the impact of exchange rate fluctuations on port performance in Latin America and the Caribbean. The study covered data from 1995 to 2008 and utilized cointegration and error correction models (ECM) to analyze the long-run and short-run dynamics between exchange rate movements and port throughput. Their findings indicated that a 1% depreciation in local currency was associated with a 0.6% decline in port throughput. This decline was attributed to the rising cost of imports, which discouraged trade activity and led to reduced volume of cargo handled at ports. Consequently, port authority revenues were negatively affected, and shipping lines experienced reduced economies of scale, impairing profitability.</w:t>
      </w:r>
    </w:p>
    <w:p w14:paraId="7B6CE4AE" w14:textId="77777777"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Hummels et al. (2007) conducted a comprehensive global study on the relationship between international trade costs, logistics, and exchange rate volatility, focusing on how currency fluctuations influence the cost structures of traded goods. The study analyzed data from 1990 to 2005, covering 90 countries, including developing economies in sub-Saharan Africa. Using panel regression modeling, the authors examined how exchange rate depreciation influences freight pricing behavior and shipping demand. Their findings revealed that when local currencies depreciate, shipping firms often increase freight rates to offset the potential value erosion caused by foreign exchange losses. This is particularly common in long-haul and containerized shipping.</w:t>
      </w:r>
    </w:p>
    <w:p w14:paraId="1B8DE159" w14:textId="31E7EFCC"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Ijjo </w:t>
      </w:r>
      <w:r w:rsidR="00882A74" w:rsidRPr="00EA38DE">
        <w:rPr>
          <w:rFonts w:ascii="Times New Roman" w:hAnsi="Times New Roman" w:cs="Times New Roman"/>
          <w:sz w:val="24"/>
          <w:szCs w:val="24"/>
        </w:rPr>
        <w:t>&amp;</w:t>
      </w:r>
      <w:r w:rsidRPr="00EA38DE">
        <w:rPr>
          <w:rFonts w:ascii="Times New Roman" w:hAnsi="Times New Roman" w:cs="Times New Roman"/>
          <w:sz w:val="24"/>
          <w:szCs w:val="24"/>
        </w:rPr>
        <w:t xml:space="preserve"> Olaoluwa (2019) analyzed the effect of exchange rate fluctuations on the shipping industry in Nigeria from 2008 to 2018. The authors employed </w:t>
      </w:r>
      <w:r w:rsidRPr="00EA38DE">
        <w:rPr>
          <w:rStyle w:val="Strong"/>
          <w:rFonts w:ascii="Times New Roman" w:hAnsi="Times New Roman" w:cs="Times New Roman"/>
          <w:b w:val="0"/>
          <w:bCs w:val="0"/>
          <w:sz w:val="24"/>
          <w:szCs w:val="24"/>
        </w:rPr>
        <w:t>time-series econometric analysis</w:t>
      </w:r>
      <w:r w:rsidRPr="00EA38DE">
        <w:rPr>
          <w:rFonts w:ascii="Times New Roman" w:hAnsi="Times New Roman" w:cs="Times New Roman"/>
          <w:b/>
          <w:bCs/>
          <w:sz w:val="24"/>
          <w:szCs w:val="24"/>
        </w:rPr>
        <w:t>,</w:t>
      </w:r>
      <w:r w:rsidRPr="00EA38DE">
        <w:rPr>
          <w:rFonts w:ascii="Times New Roman" w:hAnsi="Times New Roman" w:cs="Times New Roman"/>
          <w:sz w:val="24"/>
          <w:szCs w:val="24"/>
        </w:rPr>
        <w:t xml:space="preserve"> specifically using </w:t>
      </w:r>
      <w:r w:rsidRPr="00EA38DE">
        <w:rPr>
          <w:rStyle w:val="Strong"/>
          <w:rFonts w:ascii="Times New Roman" w:hAnsi="Times New Roman" w:cs="Times New Roman"/>
          <w:b w:val="0"/>
          <w:bCs w:val="0"/>
          <w:sz w:val="24"/>
          <w:szCs w:val="24"/>
        </w:rPr>
        <w:t>Ordinary Least Squares (OLS)</w:t>
      </w:r>
      <w:r w:rsidRPr="00EA38DE">
        <w:rPr>
          <w:rFonts w:ascii="Times New Roman" w:hAnsi="Times New Roman" w:cs="Times New Roman"/>
          <w:sz w:val="24"/>
          <w:szCs w:val="24"/>
        </w:rPr>
        <w:t xml:space="preserve"> regression and </w:t>
      </w:r>
      <w:r w:rsidRPr="00EA38DE">
        <w:rPr>
          <w:rStyle w:val="Strong"/>
          <w:rFonts w:ascii="Times New Roman" w:hAnsi="Times New Roman" w:cs="Times New Roman"/>
          <w:b w:val="0"/>
          <w:bCs w:val="0"/>
          <w:sz w:val="24"/>
          <w:szCs w:val="24"/>
        </w:rPr>
        <w:t>GARCH models</w:t>
      </w:r>
      <w:r w:rsidRPr="00EA38DE">
        <w:rPr>
          <w:rFonts w:ascii="Times New Roman" w:hAnsi="Times New Roman" w:cs="Times New Roman"/>
          <w:sz w:val="24"/>
          <w:szCs w:val="24"/>
        </w:rPr>
        <w:t xml:space="preserve"> to assess the impact of exchange rate volatility on the financial performance of Nigerian shipping firms. Their results revealed a strong negative relationship between exchange rate volatility and the financial performance of Nigerian shipping companies. The researchers found that Nigerian shipping firms were adversely affected by exchange rate volatility due to the increase in the cost of imported goods and services necessary for their operations.</w:t>
      </w:r>
    </w:p>
    <w:p w14:paraId="2D0AC9A8" w14:textId="63CEF394"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Kilian </w:t>
      </w:r>
      <w:r w:rsidR="00882A74"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Zhou (2019) conducted a panel data study covering 28 OECD countries to analyze how exchange rate shocks are transmitted to freight rates and revenues in the maritime shipping sector. The study covered the period from 1995 to 2017, focusing on two major shipping segments: dry bulk carriers and container liners. Using panel regression analysis and structural vector autoregression (SVAR) models, the researchers evaluated how short-term and long-term exchange rate fluctuations influenced the pricing behavior, freight rate volatility, and corporate earnings of </w:t>
      </w:r>
      <w:r w:rsidRPr="00EA38DE">
        <w:rPr>
          <w:rFonts w:ascii="Times New Roman" w:eastAsia="Times New Roman" w:hAnsi="Times New Roman" w:cs="Times New Roman"/>
          <w:sz w:val="24"/>
          <w:szCs w:val="24"/>
        </w:rPr>
        <w:lastRenderedPageBreak/>
        <w:t xml:space="preserve">shipping firms. Finding showed that Short-term exchange rate volatility was found to be more disruptive to dry bulk carriers compared to container shipping lines. </w:t>
      </w:r>
    </w:p>
    <w:p w14:paraId="11E6FFF6" w14:textId="77777777" w:rsidR="0066005F" w:rsidRPr="00EA38DE" w:rsidRDefault="0066005F" w:rsidP="00A86755">
      <w:pPr>
        <w:pStyle w:val="NormalWeb"/>
        <w:spacing w:before="0" w:beforeAutospacing="0" w:after="240" w:afterAutospacing="0" w:line="480" w:lineRule="auto"/>
        <w:jc w:val="both"/>
      </w:pPr>
      <w:r w:rsidRPr="00EA38DE">
        <w:rPr>
          <w:rStyle w:val="Strong"/>
          <w:b w:val="0"/>
          <w:bCs w:val="0"/>
        </w:rPr>
        <w:t>Lee et al. (2020)</w:t>
      </w:r>
      <w:r w:rsidRPr="00EA38DE">
        <w:t xml:space="preserve"> conducted a </w:t>
      </w:r>
      <w:r w:rsidRPr="00EA38DE">
        <w:rPr>
          <w:rStyle w:val="Strong"/>
          <w:b w:val="0"/>
          <w:bCs w:val="0"/>
        </w:rPr>
        <w:t>microeconomic study</w:t>
      </w:r>
      <w:r w:rsidRPr="00EA38DE">
        <w:t xml:space="preserve"> analyzing </w:t>
      </w:r>
      <w:r w:rsidRPr="00EA38DE">
        <w:rPr>
          <w:rStyle w:val="Strong"/>
          <w:b w:val="0"/>
          <w:bCs w:val="0"/>
        </w:rPr>
        <w:t>firm-level data</w:t>
      </w:r>
      <w:r w:rsidRPr="00EA38DE">
        <w:t xml:space="preserve"> from </w:t>
      </w:r>
      <w:r w:rsidRPr="00EA38DE">
        <w:rPr>
          <w:rStyle w:val="Strong"/>
          <w:b w:val="0"/>
          <w:bCs w:val="0"/>
        </w:rPr>
        <w:t>160 shipping companies</w:t>
      </w:r>
      <w:r w:rsidRPr="00EA38DE">
        <w:rPr>
          <w:b/>
          <w:bCs/>
        </w:rPr>
        <w:t xml:space="preserve"> </w:t>
      </w:r>
      <w:r w:rsidRPr="00EA38DE">
        <w:t>spanning</w:t>
      </w:r>
      <w:r w:rsidRPr="00EA38DE">
        <w:rPr>
          <w:b/>
          <w:bCs/>
        </w:rPr>
        <w:t xml:space="preserve"> </w:t>
      </w:r>
      <w:r w:rsidRPr="00EA38DE">
        <w:rPr>
          <w:rStyle w:val="Strong"/>
          <w:b w:val="0"/>
          <w:bCs w:val="0"/>
        </w:rPr>
        <w:t>Europe and Asia</w:t>
      </w:r>
      <w:r w:rsidRPr="00EA38DE">
        <w:t xml:space="preserve"> between </w:t>
      </w:r>
      <w:r w:rsidRPr="00EA38DE">
        <w:rPr>
          <w:rStyle w:val="Strong"/>
          <w:b w:val="0"/>
          <w:bCs w:val="0"/>
        </w:rPr>
        <w:t>2010 and 2018</w:t>
      </w:r>
      <w:r w:rsidRPr="00EA38DE">
        <w:t xml:space="preserve">. The study aimed to assess how </w:t>
      </w:r>
      <w:r w:rsidRPr="00EA38DE">
        <w:rPr>
          <w:rStyle w:val="Strong"/>
          <w:b w:val="0"/>
          <w:bCs w:val="0"/>
        </w:rPr>
        <w:t>foreign exchange risk</w:t>
      </w:r>
      <w:r w:rsidRPr="00EA38DE">
        <w:rPr>
          <w:b/>
          <w:bCs/>
        </w:rPr>
        <w:t xml:space="preserve"> </w:t>
      </w:r>
      <w:r w:rsidRPr="00EA38DE">
        <w:t>affects the</w:t>
      </w:r>
      <w:r w:rsidRPr="00EA38DE">
        <w:rPr>
          <w:b/>
          <w:bCs/>
        </w:rPr>
        <w:t xml:space="preserve"> </w:t>
      </w:r>
      <w:r w:rsidRPr="00EA38DE">
        <w:rPr>
          <w:rStyle w:val="Strong"/>
          <w:b w:val="0"/>
          <w:bCs w:val="0"/>
        </w:rPr>
        <w:t>profitability</w:t>
      </w:r>
      <w:r w:rsidRPr="00EA38DE">
        <w:t xml:space="preserve"> of shipping firms operating in multiple currency environments. Using </w:t>
      </w:r>
      <w:r w:rsidRPr="00EA38DE">
        <w:rPr>
          <w:rStyle w:val="Strong"/>
          <w:b w:val="0"/>
          <w:bCs w:val="0"/>
        </w:rPr>
        <w:t>panel regression models</w:t>
      </w:r>
      <w:r w:rsidRPr="00EA38DE">
        <w:t xml:space="preserve"> with firm fixed effects, combined with data on currency fluctuations and firms’ financial statements, the authors evaluated the relationship between </w:t>
      </w:r>
      <w:r w:rsidRPr="00EA38DE">
        <w:rPr>
          <w:rStyle w:val="Strong"/>
          <w:b w:val="0"/>
          <w:bCs w:val="0"/>
        </w:rPr>
        <w:t>exchange rate volatility</w:t>
      </w:r>
      <w:r w:rsidRPr="00EA38DE">
        <w:t xml:space="preserve"> and key financial indicators such as </w:t>
      </w:r>
      <w:r w:rsidRPr="00EA38DE">
        <w:rPr>
          <w:rStyle w:val="Strong"/>
          <w:b w:val="0"/>
          <w:bCs w:val="0"/>
        </w:rPr>
        <w:t>working capital</w:t>
      </w:r>
      <w:r w:rsidRPr="00EA38DE">
        <w:rPr>
          <w:rStyle w:val="Strong"/>
        </w:rPr>
        <w:t xml:space="preserve"> </w:t>
      </w:r>
      <w:r w:rsidRPr="00EA38DE">
        <w:rPr>
          <w:rStyle w:val="Strong"/>
          <w:b w:val="0"/>
          <w:bCs w:val="0"/>
        </w:rPr>
        <w:t>requirements</w:t>
      </w:r>
      <w:r w:rsidRPr="00EA38DE">
        <w:rPr>
          <w:b/>
          <w:bCs/>
        </w:rPr>
        <w:t xml:space="preserve">, </w:t>
      </w:r>
      <w:r w:rsidRPr="00EA38DE">
        <w:rPr>
          <w:rStyle w:val="Strong"/>
          <w:b w:val="0"/>
          <w:bCs w:val="0"/>
        </w:rPr>
        <w:t>access to external credit</w:t>
      </w:r>
      <w:r w:rsidRPr="00EA38DE">
        <w:rPr>
          <w:b/>
          <w:bCs/>
        </w:rPr>
        <w:t xml:space="preserve">, </w:t>
      </w:r>
      <w:r w:rsidRPr="00EA38DE">
        <w:t>and</w:t>
      </w:r>
      <w:r w:rsidRPr="00EA38DE">
        <w:rPr>
          <w:b/>
          <w:bCs/>
        </w:rPr>
        <w:t xml:space="preserve"> </w:t>
      </w:r>
      <w:r w:rsidRPr="00EA38DE">
        <w:rPr>
          <w:rStyle w:val="Strong"/>
          <w:b w:val="0"/>
          <w:bCs w:val="0"/>
        </w:rPr>
        <w:t>earnings before interest and taxes (EBIT</w:t>
      </w:r>
      <w:r w:rsidRPr="00EA38DE">
        <w:rPr>
          <w:rStyle w:val="Strong"/>
        </w:rPr>
        <w:t>)</w:t>
      </w:r>
      <w:r w:rsidRPr="00EA38DE">
        <w:t>. Findings:</w:t>
      </w:r>
      <w:r w:rsidRPr="00EA38DE">
        <w:rPr>
          <w:b/>
          <w:bCs/>
        </w:rPr>
        <w:t xml:space="preserve"> </w:t>
      </w:r>
      <w:r w:rsidRPr="00EA38DE">
        <w:t>A</w:t>
      </w:r>
      <w:r w:rsidRPr="00EA38DE">
        <w:rPr>
          <w:b/>
          <w:bCs/>
        </w:rPr>
        <w:t xml:space="preserve"> </w:t>
      </w:r>
      <w:r w:rsidRPr="00EA38DE">
        <w:rPr>
          <w:rStyle w:val="Strong"/>
          <w:b w:val="0"/>
          <w:bCs w:val="0"/>
        </w:rPr>
        <w:t>high degree of exchange rate volatility</w:t>
      </w:r>
      <w:r w:rsidRPr="00EA38DE">
        <w:rPr>
          <w:b/>
          <w:bCs/>
        </w:rPr>
        <w:t xml:space="preserve"> </w:t>
      </w:r>
      <w:r w:rsidRPr="00EA38DE">
        <w:t>significantly increased the</w:t>
      </w:r>
      <w:r w:rsidRPr="00EA38DE">
        <w:rPr>
          <w:b/>
          <w:bCs/>
        </w:rPr>
        <w:t xml:space="preserve"> </w:t>
      </w:r>
      <w:r w:rsidRPr="00EA38DE">
        <w:rPr>
          <w:rStyle w:val="Strong"/>
          <w:b w:val="0"/>
          <w:bCs w:val="0"/>
        </w:rPr>
        <w:t>working capital</w:t>
      </w:r>
      <w:r w:rsidRPr="00EA38DE">
        <w:rPr>
          <w:rStyle w:val="Strong"/>
        </w:rPr>
        <w:t xml:space="preserve"> </w:t>
      </w:r>
      <w:r w:rsidRPr="00EA38DE">
        <w:rPr>
          <w:rStyle w:val="Strong"/>
          <w:b w:val="0"/>
          <w:bCs w:val="0"/>
        </w:rPr>
        <w:t>needs</w:t>
      </w:r>
      <w:r w:rsidRPr="00EA38DE">
        <w:rPr>
          <w:b/>
          <w:bCs/>
        </w:rPr>
        <w:t xml:space="preserve"> </w:t>
      </w:r>
      <w:r w:rsidRPr="00EA38DE">
        <w:t>of shipping firms due to cash flow uncertainties.</w:t>
      </w:r>
    </w:p>
    <w:p w14:paraId="65F6303F" w14:textId="56C02A7D" w:rsidR="0066005F" w:rsidRPr="00EA38DE" w:rsidRDefault="0066005F" w:rsidP="00A86755">
      <w:pPr>
        <w:pStyle w:val="NormalWeb"/>
        <w:spacing w:before="0" w:beforeAutospacing="0" w:after="240" w:afterAutospacing="0" w:line="480" w:lineRule="auto"/>
        <w:jc w:val="both"/>
        <w:rPr>
          <w:b/>
          <w:bCs/>
        </w:rPr>
      </w:pPr>
      <w:r w:rsidRPr="00EA38DE">
        <w:rPr>
          <w:rStyle w:val="Strong"/>
          <w:b w:val="0"/>
          <w:bCs w:val="0"/>
        </w:rPr>
        <w:t xml:space="preserve">Obadan </w:t>
      </w:r>
      <w:r w:rsidR="00882A74" w:rsidRPr="00EA38DE">
        <w:rPr>
          <w:rStyle w:val="Strong"/>
          <w:b w:val="0"/>
          <w:bCs w:val="0"/>
        </w:rPr>
        <w:t>&amp;</w:t>
      </w:r>
      <w:r w:rsidRPr="00EA38DE">
        <w:rPr>
          <w:rStyle w:val="Strong"/>
          <w:b w:val="0"/>
          <w:bCs w:val="0"/>
        </w:rPr>
        <w:t xml:space="preserve"> Omoruyi (2021)</w:t>
      </w:r>
      <w:r w:rsidRPr="00EA38DE">
        <w:rPr>
          <w:b/>
          <w:bCs/>
        </w:rPr>
        <w:t xml:space="preserve"> </w:t>
      </w:r>
      <w:r w:rsidRPr="00EA38DE">
        <w:t xml:space="preserve">conducted an evaluative study on the impact of </w:t>
      </w:r>
      <w:r w:rsidRPr="00EA38DE">
        <w:rPr>
          <w:rStyle w:val="Strong"/>
          <w:b w:val="0"/>
          <w:bCs w:val="0"/>
        </w:rPr>
        <w:t>exchange rate instability</w:t>
      </w:r>
      <w:r w:rsidRPr="00EA38DE">
        <w:rPr>
          <w:b/>
          <w:bCs/>
        </w:rPr>
        <w:t xml:space="preserve"> </w:t>
      </w:r>
      <w:r w:rsidRPr="00EA38DE">
        <w:rPr>
          <w:bCs/>
        </w:rPr>
        <w:t>on</w:t>
      </w:r>
      <w:r w:rsidRPr="00EA38DE">
        <w:rPr>
          <w:b/>
          <w:bCs/>
        </w:rPr>
        <w:t xml:space="preserve"> </w:t>
      </w:r>
      <w:r w:rsidRPr="00EA38DE">
        <w:rPr>
          <w:rStyle w:val="Strong"/>
          <w:b w:val="0"/>
          <w:bCs w:val="0"/>
        </w:rPr>
        <w:t>Nigeria’s transport infrastructure projects</w:t>
      </w:r>
      <w:r w:rsidRPr="00EA38DE">
        <w:rPr>
          <w:b/>
          <w:bCs/>
        </w:rPr>
        <w:t xml:space="preserve"> </w:t>
      </w:r>
      <w:r w:rsidRPr="00EA38DE">
        <w:t xml:space="preserve">between </w:t>
      </w:r>
      <w:r w:rsidRPr="00EA38DE">
        <w:rPr>
          <w:rStyle w:val="Strong"/>
          <w:b w:val="0"/>
          <w:bCs w:val="0"/>
        </w:rPr>
        <w:t>2015 and 2020</w:t>
      </w:r>
      <w:r w:rsidRPr="00EA38DE">
        <w:rPr>
          <w:b/>
          <w:bCs/>
        </w:rPr>
        <w:t xml:space="preserve">. </w:t>
      </w:r>
      <w:r w:rsidRPr="00EA38DE">
        <w:t xml:space="preserve">The study utilized a </w:t>
      </w:r>
      <w:r w:rsidRPr="00EA38DE">
        <w:rPr>
          <w:rStyle w:val="Strong"/>
          <w:b w:val="0"/>
          <w:bCs w:val="0"/>
        </w:rPr>
        <w:t>mixed-methods approach</w:t>
      </w:r>
      <w:r w:rsidRPr="00EA38DE">
        <w:rPr>
          <w:b/>
          <w:bCs/>
        </w:rPr>
        <w:t xml:space="preserve"> </w:t>
      </w:r>
      <w:r w:rsidRPr="00EA38DE">
        <w:t xml:space="preserve">combining </w:t>
      </w:r>
      <w:r w:rsidRPr="00EA38DE">
        <w:rPr>
          <w:rStyle w:val="Strong"/>
        </w:rPr>
        <w:t>a</w:t>
      </w:r>
      <w:r w:rsidRPr="00EA38DE">
        <w:rPr>
          <w:rStyle w:val="Strong"/>
          <w:b w:val="0"/>
          <w:bCs w:val="0"/>
        </w:rPr>
        <w:t>nalysis of project financial records</w:t>
      </w:r>
      <w:r w:rsidRPr="00EA38DE">
        <w:rPr>
          <w:b/>
          <w:bCs/>
        </w:rPr>
        <w:t xml:space="preserve">, </w:t>
      </w:r>
      <w:r w:rsidRPr="00EA38DE">
        <w:rPr>
          <w:rStyle w:val="Strong"/>
          <w:b w:val="0"/>
          <w:bCs w:val="0"/>
        </w:rPr>
        <w:t>government budget reports</w:t>
      </w:r>
      <w:r w:rsidRPr="00EA38DE">
        <w:rPr>
          <w:b/>
          <w:bCs/>
        </w:rPr>
        <w:t xml:space="preserve">, </w:t>
      </w:r>
      <w:r w:rsidRPr="00EA38DE">
        <w:t>and</w:t>
      </w:r>
      <w:r w:rsidRPr="00EA38DE">
        <w:rPr>
          <w:b/>
          <w:bCs/>
        </w:rPr>
        <w:t xml:space="preserve"> </w:t>
      </w:r>
      <w:r w:rsidRPr="00EA38DE">
        <w:rPr>
          <w:rStyle w:val="Strong"/>
          <w:b w:val="0"/>
          <w:bCs w:val="0"/>
        </w:rPr>
        <w:t>interviews with key stakeholders</w:t>
      </w:r>
      <w:r w:rsidRPr="00EA38DE">
        <w:rPr>
          <w:b/>
          <w:bCs/>
        </w:rPr>
        <w:t xml:space="preserve"> </w:t>
      </w:r>
      <w:r w:rsidRPr="00EA38DE">
        <w:t>involved</w:t>
      </w:r>
      <w:r w:rsidRPr="00EA38DE">
        <w:rPr>
          <w:b/>
          <w:bCs/>
        </w:rPr>
        <w:t xml:space="preserve"> </w:t>
      </w:r>
      <w:r w:rsidRPr="00EA38DE">
        <w:t>in major infrastructure developments. Finding revealed that Periods of</w:t>
      </w:r>
      <w:r w:rsidRPr="00EA38DE">
        <w:rPr>
          <w:b/>
          <w:bCs/>
        </w:rPr>
        <w:t xml:space="preserve"> </w:t>
      </w:r>
      <w:r w:rsidRPr="00EA38DE">
        <w:rPr>
          <w:rStyle w:val="Strong"/>
          <w:b w:val="0"/>
          <w:bCs w:val="0"/>
        </w:rPr>
        <w:t>exchange rate volatility</w:t>
      </w:r>
      <w:r w:rsidRPr="00EA38DE">
        <w:rPr>
          <w:b/>
          <w:bCs/>
        </w:rPr>
        <w:t xml:space="preserve"> </w:t>
      </w:r>
      <w:r w:rsidRPr="00EA38DE">
        <w:t>contributed to</w:t>
      </w:r>
      <w:r w:rsidRPr="00EA38DE">
        <w:rPr>
          <w:b/>
          <w:bCs/>
        </w:rPr>
        <w:t xml:space="preserve"> </w:t>
      </w:r>
      <w:r w:rsidRPr="00EA38DE">
        <w:rPr>
          <w:rStyle w:val="Strong"/>
          <w:b w:val="0"/>
          <w:bCs w:val="0"/>
        </w:rPr>
        <w:t>significant delays in funding disbursements</w:t>
      </w:r>
      <w:r w:rsidRPr="00EA38DE">
        <w:rPr>
          <w:b/>
          <w:bCs/>
        </w:rPr>
        <w:t xml:space="preserve"> </w:t>
      </w:r>
      <w:r w:rsidRPr="00EA38DE">
        <w:t>for flagship projects such as the</w:t>
      </w:r>
      <w:r w:rsidRPr="00EA38DE">
        <w:rPr>
          <w:b/>
          <w:bCs/>
        </w:rPr>
        <w:t xml:space="preserve"> </w:t>
      </w:r>
      <w:r w:rsidRPr="00EA38DE">
        <w:rPr>
          <w:rStyle w:val="Strong"/>
          <w:b w:val="0"/>
          <w:bCs w:val="0"/>
        </w:rPr>
        <w:t>Lagos-Ibadan railway</w:t>
      </w:r>
      <w:r w:rsidRPr="00EA38DE">
        <w:rPr>
          <w:b/>
          <w:bCs/>
        </w:rPr>
        <w:t xml:space="preserve">, </w:t>
      </w:r>
      <w:r w:rsidRPr="00EA38DE">
        <w:rPr>
          <w:rStyle w:val="Strong"/>
          <w:b w:val="0"/>
          <w:bCs w:val="0"/>
        </w:rPr>
        <w:t>Lekki Deep Seaport</w:t>
      </w:r>
      <w:r w:rsidRPr="00EA38DE">
        <w:rPr>
          <w:b/>
          <w:bCs/>
        </w:rPr>
        <w:t xml:space="preserve">, </w:t>
      </w:r>
      <w:r w:rsidRPr="00EA38DE">
        <w:t>and various</w:t>
      </w:r>
      <w:r w:rsidRPr="00EA38DE">
        <w:rPr>
          <w:b/>
          <w:bCs/>
        </w:rPr>
        <w:t xml:space="preserve"> </w:t>
      </w:r>
      <w:r w:rsidRPr="00EA38DE">
        <w:rPr>
          <w:rStyle w:val="Strong"/>
          <w:b w:val="0"/>
          <w:bCs w:val="0"/>
        </w:rPr>
        <w:t>port terminal upgrades</w:t>
      </w:r>
      <w:r w:rsidRPr="003A38AA">
        <w:rPr>
          <w:bCs/>
        </w:rPr>
        <w:t>.</w:t>
      </w:r>
    </w:p>
    <w:p w14:paraId="30A5BD59" w14:textId="785AD7AA"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Ojo </w:t>
      </w:r>
      <w:r w:rsidR="00882A74" w:rsidRPr="00EA38DE">
        <w:rPr>
          <w:rFonts w:ascii="Times New Roman" w:hAnsi="Times New Roman" w:cs="Times New Roman"/>
          <w:sz w:val="24"/>
          <w:szCs w:val="24"/>
        </w:rPr>
        <w:t>&amp;</w:t>
      </w:r>
      <w:r w:rsidRPr="00EA38DE">
        <w:rPr>
          <w:rFonts w:ascii="Times New Roman" w:hAnsi="Times New Roman" w:cs="Times New Roman"/>
          <w:sz w:val="24"/>
          <w:szCs w:val="24"/>
        </w:rPr>
        <w:t xml:space="preserve"> Olajide (2019) investigated how exchange rate volatility influenced the operational strategies of Nigerian shipping companies from 2010 to 2018. Qualitative analysis combined with case studies of Nigerian shipping companies, focusing on their operational responses to exchange rate volatility, particularly the use of hedging strategies. Their study found that shipping companies </w:t>
      </w:r>
      <w:r w:rsidRPr="00EA38DE">
        <w:rPr>
          <w:rFonts w:ascii="Times New Roman" w:hAnsi="Times New Roman" w:cs="Times New Roman"/>
          <w:sz w:val="24"/>
          <w:szCs w:val="24"/>
        </w:rPr>
        <w:lastRenderedPageBreak/>
        <w:t>often adopt hedging strategies to mitigate the adverse effects of currency fluctuations. However, despite these efforts, exchange rate volatility still resulted in financial strain and challenges in managing operational costs, as these strategies did not fully shield companies from currency risks.</w:t>
      </w:r>
    </w:p>
    <w:p w14:paraId="615DDEB7" w14:textId="1B164C52"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shd w:val="clear" w:color="auto" w:fill="FFFFFF"/>
        </w:rPr>
        <w:t xml:space="preserve">Okene, </w:t>
      </w:r>
      <w:r w:rsidR="006D0A89" w:rsidRPr="00EA38DE">
        <w:rPr>
          <w:rFonts w:ascii="Times New Roman" w:hAnsi="Times New Roman" w:cs="Times New Roman"/>
          <w:sz w:val="24"/>
          <w:szCs w:val="24"/>
          <w:shd w:val="clear" w:color="auto" w:fill="FFFFFF"/>
        </w:rPr>
        <w:t>et al.</w:t>
      </w:r>
      <w:r w:rsidRPr="00EA38DE">
        <w:rPr>
          <w:rFonts w:ascii="Times New Roman" w:hAnsi="Times New Roman" w:cs="Times New Roman"/>
          <w:sz w:val="24"/>
          <w:szCs w:val="24"/>
          <w:shd w:val="clear" w:color="auto" w:fill="FFFFFF"/>
        </w:rPr>
        <w:t> (2024)</w:t>
      </w:r>
      <w:r w:rsidRPr="00EA38DE">
        <w:rPr>
          <w:rFonts w:ascii="Times New Roman" w:hAnsi="Times New Roman" w:cs="Times New Roman"/>
          <w:sz w:val="24"/>
          <w:szCs w:val="24"/>
        </w:rPr>
        <w:t xml:space="preserve"> examined Effects of Exchange Rate Volatility on Maritime Trade Sector in Nigeria. The objective of this study is to examine the effects of exchange rate volatility on maritime trade volume in Nigeria. Maritime trade volume (proxied by seaborne exports and seaborne imports) act as the independent variable while exchange rate volatility serves as the independent variable with money supply depth and total government expenditure acting as control variables. The study used the GARCH modeling technique combined with the ARDL bounds testing approach to examine the secondary time series data sourced from Nigeria Ports Authority and CBN Statistical Bulletin for the period 1995 to 2022. The findings of the study indicate that exchange rate volatility has no significant effect on maritime trade volume both in the short-run and long-run and it was recommended that the government of Nigeria should diversify the economy and encourage the domestic production of goods that are currently imported as this will revitalize the real sector and stabilize the exchange rate.</w:t>
      </w:r>
    </w:p>
    <w:p w14:paraId="6935F515" w14:textId="6F148C0B" w:rsidR="0066005F" w:rsidRPr="00EA38DE" w:rsidRDefault="0066005F" w:rsidP="00A86755">
      <w:pPr>
        <w:pStyle w:val="NormalWeb"/>
        <w:spacing w:before="0" w:beforeAutospacing="0" w:after="240" w:afterAutospacing="0" w:line="480" w:lineRule="auto"/>
        <w:jc w:val="both"/>
      </w:pPr>
      <w:r w:rsidRPr="00EA38DE">
        <w:rPr>
          <w:rStyle w:val="Strong"/>
          <w:b w:val="0"/>
          <w:bCs w:val="0"/>
        </w:rPr>
        <w:t xml:space="preserve">Okonkwo </w:t>
      </w:r>
      <w:r w:rsidR="00882A74" w:rsidRPr="00EA38DE">
        <w:rPr>
          <w:rStyle w:val="Strong"/>
          <w:b w:val="0"/>
          <w:bCs w:val="0"/>
        </w:rPr>
        <w:t>&amp;</w:t>
      </w:r>
      <w:r w:rsidRPr="00EA38DE">
        <w:rPr>
          <w:rStyle w:val="Strong"/>
          <w:b w:val="0"/>
          <w:bCs w:val="0"/>
        </w:rPr>
        <w:t xml:space="preserve"> Ugochukwu (2021)</w:t>
      </w:r>
      <w:r w:rsidRPr="00EA38DE">
        <w:rPr>
          <w:b/>
          <w:bCs/>
        </w:rPr>
        <w:t xml:space="preserve"> </w:t>
      </w:r>
      <w:r w:rsidRPr="00EA38DE">
        <w:t>examined the impact of</w:t>
      </w:r>
      <w:r w:rsidRPr="00EA38DE">
        <w:rPr>
          <w:b/>
          <w:bCs/>
        </w:rPr>
        <w:t xml:space="preserve"> </w:t>
      </w:r>
      <w:r w:rsidRPr="00EA38DE">
        <w:rPr>
          <w:rStyle w:val="Strong"/>
          <w:b w:val="0"/>
          <w:bCs w:val="0"/>
        </w:rPr>
        <w:t>exchange rate dynamics</w:t>
      </w:r>
      <w:r w:rsidRPr="00EA38DE">
        <w:rPr>
          <w:b/>
          <w:bCs/>
        </w:rPr>
        <w:t xml:space="preserve"> </w:t>
      </w:r>
      <w:r w:rsidRPr="00EA38DE">
        <w:t>on the</w:t>
      </w:r>
      <w:r w:rsidRPr="00EA38DE">
        <w:rPr>
          <w:b/>
          <w:bCs/>
        </w:rPr>
        <w:t xml:space="preserve"> </w:t>
      </w:r>
      <w:r w:rsidRPr="00EA38DE">
        <w:rPr>
          <w:rStyle w:val="Strong"/>
          <w:b w:val="0"/>
          <w:bCs w:val="0"/>
        </w:rPr>
        <w:t>profitability of Nigerian shipping firms</w:t>
      </w:r>
      <w:r w:rsidRPr="00EA38DE">
        <w:t xml:space="preserve"> over the period</w:t>
      </w:r>
      <w:r w:rsidRPr="00EA38DE">
        <w:rPr>
          <w:b/>
          <w:bCs/>
        </w:rPr>
        <w:t xml:space="preserve"> </w:t>
      </w:r>
      <w:r w:rsidRPr="00EA38DE">
        <w:rPr>
          <w:rStyle w:val="Strong"/>
          <w:b w:val="0"/>
          <w:bCs w:val="0"/>
        </w:rPr>
        <w:t>2012 to 2020</w:t>
      </w:r>
      <w:r w:rsidRPr="00EA38DE">
        <w:t xml:space="preserve">. The study employed </w:t>
      </w:r>
      <w:r w:rsidRPr="00EA38DE">
        <w:rPr>
          <w:rStyle w:val="Strong"/>
          <w:b w:val="0"/>
          <w:bCs w:val="0"/>
        </w:rPr>
        <w:t>panel regression analysis</w:t>
      </w:r>
      <w:r w:rsidRPr="00EA38DE">
        <w:t xml:space="preserve"> using financial data from a sample of listed shipping companies. </w:t>
      </w:r>
      <w:r w:rsidR="00A86755" w:rsidRPr="00EA38DE">
        <w:t>Consequently</w:t>
      </w:r>
      <w:r w:rsidRPr="00EA38DE">
        <w:t xml:space="preserve">, </w:t>
      </w:r>
      <w:r w:rsidR="00A86755" w:rsidRPr="00EA38DE">
        <w:t>f</w:t>
      </w:r>
      <w:r w:rsidRPr="00EA38DE">
        <w:t xml:space="preserve">inding revealed that volatility adversely affected the </w:t>
      </w:r>
      <w:r w:rsidRPr="00EA38DE">
        <w:rPr>
          <w:rStyle w:val="Strong"/>
          <w:b w:val="0"/>
          <w:bCs w:val="0"/>
        </w:rPr>
        <w:t>financial performance</w:t>
      </w:r>
      <w:r w:rsidRPr="00EA38DE">
        <w:t xml:space="preserve"> of shipping firms, emphasizing the need for effective exchange rate risk management strategies.</w:t>
      </w:r>
    </w:p>
    <w:p w14:paraId="56082854" w14:textId="5E632F85"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Style w:val="Strong"/>
          <w:rFonts w:ascii="Times New Roman" w:hAnsi="Times New Roman" w:cs="Times New Roman"/>
          <w:b w:val="0"/>
          <w:bCs w:val="0"/>
          <w:sz w:val="24"/>
          <w:szCs w:val="24"/>
        </w:rPr>
        <w:t xml:space="preserve">Olayemi </w:t>
      </w:r>
      <w:r w:rsidR="00882A74"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Okpara (2021)</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 xml:space="preserve">investigate the effects of the naira’s persistent volatility on the cost structure and profitability of logistics firms involved in desalination-related supply chains in </w:t>
      </w:r>
      <w:r w:rsidRPr="00EA38DE">
        <w:rPr>
          <w:rFonts w:ascii="Times New Roman" w:hAnsi="Times New Roman" w:cs="Times New Roman"/>
          <w:sz w:val="24"/>
          <w:szCs w:val="24"/>
        </w:rPr>
        <w:lastRenderedPageBreak/>
        <w:t xml:space="preserve">Nigeria, analyzing data from </w:t>
      </w:r>
      <w:r w:rsidRPr="00EA38DE">
        <w:rPr>
          <w:rStyle w:val="Strong"/>
          <w:rFonts w:ascii="Times New Roman" w:hAnsi="Times New Roman" w:cs="Times New Roman"/>
          <w:b w:val="0"/>
          <w:bCs w:val="0"/>
          <w:sz w:val="24"/>
          <w:szCs w:val="24"/>
        </w:rPr>
        <w:t>2012 to 2020</w:t>
      </w:r>
      <w:r w:rsidRPr="00EA38DE">
        <w:rPr>
          <w:rFonts w:ascii="Times New Roman" w:hAnsi="Times New Roman" w:cs="Times New Roman"/>
          <w:sz w:val="24"/>
          <w:szCs w:val="24"/>
        </w:rPr>
        <w:t xml:space="preserve">. Employing a </w:t>
      </w:r>
      <w:r w:rsidRPr="00EA38DE">
        <w:rPr>
          <w:rStyle w:val="Strong"/>
          <w:rFonts w:ascii="Times New Roman" w:hAnsi="Times New Roman" w:cs="Times New Roman"/>
          <w:b w:val="0"/>
          <w:bCs w:val="0"/>
          <w:sz w:val="24"/>
          <w:szCs w:val="24"/>
        </w:rPr>
        <w:t>quantitative econometric methodology</w:t>
      </w:r>
      <w:r w:rsidRPr="00EA38DE">
        <w:rPr>
          <w:rFonts w:ascii="Times New Roman" w:hAnsi="Times New Roman" w:cs="Times New Roman"/>
          <w:sz w:val="24"/>
          <w:szCs w:val="24"/>
        </w:rPr>
        <w:t>, which includes regression analysis of import costs, exchange rate fluctuations, and firm profitability metrics, the study demonstrates that currency instability significantly increases the import costs of desalination equipment and marine chemicals. This dynamic reduces the profitability of shipping firms, as they face the challenge of fixed contract rates while input costs fluctuate, leading to an erosion of profit margins. The findings highlight the critical impact of macroeconomic instability on the financial viability of maritime logistics linked to desalination projects.</w:t>
      </w:r>
    </w:p>
    <w:p w14:paraId="12000878" w14:textId="63C3C5CD"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Olayiwola</w:t>
      </w:r>
      <w:r w:rsidR="00805E13" w:rsidRPr="00EA38DE">
        <w:rPr>
          <w:rFonts w:ascii="Times New Roman" w:eastAsia="Times New Roman" w:hAnsi="Times New Roman" w:cs="Times New Roman"/>
          <w:sz w:val="24"/>
          <w:szCs w:val="24"/>
        </w:rPr>
        <w:t xml:space="preserve"> et.al.</w:t>
      </w:r>
      <w:r w:rsidRPr="00EA38DE">
        <w:rPr>
          <w:rFonts w:ascii="Times New Roman" w:eastAsia="Times New Roman" w:hAnsi="Times New Roman" w:cs="Times New Roman"/>
          <w:sz w:val="24"/>
          <w:szCs w:val="24"/>
        </w:rPr>
        <w:t xml:space="preserve"> (2019) conducted a sector-specific analysis on how macroeconomic instability influences shipping firms' financial outcomes in Nigeria from 2018 to 2024. </w:t>
      </w:r>
      <w:r w:rsidRPr="00EA38DE">
        <w:rPr>
          <w:rFonts w:ascii="Times New Roman" w:hAnsi="Times New Roman" w:cs="Times New Roman"/>
          <w:sz w:val="24"/>
          <w:szCs w:val="24"/>
        </w:rPr>
        <w:t xml:space="preserve">Econometric analysis focused on the impact of macroeconomic instability, specifically foreign exchange fluctuations, on shipping firms’ financial performance in Nigeria. </w:t>
      </w:r>
      <w:r w:rsidRPr="00EA38DE">
        <w:rPr>
          <w:rFonts w:ascii="Times New Roman" w:eastAsia="Times New Roman" w:hAnsi="Times New Roman" w:cs="Times New Roman"/>
          <w:sz w:val="24"/>
          <w:szCs w:val="24"/>
        </w:rPr>
        <w:t>Their finding revealed that naira depreciation against the U.S. dollar and euro adversely affects input costs (e.g., spare parts, bunker fuel, insurance premiums) and ultimately reduces profitability. Their study concluded that foreign exchange risk is a major determinant of financial instability within the Nigerian maritime sector</w:t>
      </w:r>
      <w:r w:rsidR="00D73073" w:rsidRPr="00EA38DE">
        <w:rPr>
          <w:rFonts w:ascii="Times New Roman" w:eastAsia="Times New Roman" w:hAnsi="Times New Roman" w:cs="Times New Roman"/>
          <w:sz w:val="24"/>
          <w:szCs w:val="24"/>
        </w:rPr>
        <w:t>.</w:t>
      </w:r>
    </w:p>
    <w:p w14:paraId="265190ED" w14:textId="77777777" w:rsidR="0066005F" w:rsidRPr="00EA38DE" w:rsidRDefault="0066005F" w:rsidP="00A86755">
      <w:pPr>
        <w:pStyle w:val="NormalWeb"/>
        <w:spacing w:before="0" w:beforeAutospacing="0" w:after="240" w:afterAutospacing="0" w:line="480" w:lineRule="auto"/>
        <w:jc w:val="both"/>
      </w:pPr>
      <w:r w:rsidRPr="00EA38DE">
        <w:rPr>
          <w:rStyle w:val="Strong"/>
          <w:b w:val="0"/>
          <w:bCs w:val="0"/>
        </w:rPr>
        <w:t>Onwuka (2022)</w:t>
      </w:r>
      <w:r w:rsidRPr="00EA38DE">
        <w:t xml:space="preserve"> investigated the impact of exchange rate fluctuations on Nigeria’s fish import bill from </w:t>
      </w:r>
      <w:r w:rsidRPr="00EA38DE">
        <w:rPr>
          <w:rStyle w:val="Strong"/>
          <w:b w:val="0"/>
          <w:bCs w:val="0"/>
        </w:rPr>
        <w:t>2012 to 2021</w:t>
      </w:r>
      <w:r w:rsidRPr="00EA38DE">
        <w:t xml:space="preserve">. The study utilized a </w:t>
      </w:r>
      <w:r w:rsidRPr="00EA38DE">
        <w:rPr>
          <w:rStyle w:val="Strong"/>
          <w:b w:val="0"/>
          <w:bCs w:val="0"/>
        </w:rPr>
        <w:t>GARCH (1,1) model</w:t>
      </w:r>
      <w:r w:rsidRPr="00EA38DE">
        <w:t xml:space="preserve"> to analyze the volatility and dynamic relationship between the naira exchange rate and the cost of importing frozen fish and aquaculture inputs, including feeds and hatchery equipment. Consequently, the study noted a reduction in maritime trade volumes related to aquaculture, reflecting a dampened demand for shipping services in this sector.</w:t>
      </w:r>
    </w:p>
    <w:p w14:paraId="2231A9D1" w14:textId="4BA61D51" w:rsidR="0066005F" w:rsidRPr="00EA38DE" w:rsidRDefault="0066005F" w:rsidP="00A86755">
      <w:pPr>
        <w:pStyle w:val="NormalWeb"/>
        <w:spacing w:before="0" w:beforeAutospacing="0" w:after="240" w:afterAutospacing="0" w:line="480" w:lineRule="auto"/>
        <w:jc w:val="both"/>
      </w:pPr>
      <w:r w:rsidRPr="00EA38DE">
        <w:lastRenderedPageBreak/>
        <w:t xml:space="preserve">Osho </w:t>
      </w:r>
      <w:r w:rsidR="00882A74" w:rsidRPr="00EA38DE">
        <w:rPr>
          <w:shd w:val="clear" w:color="auto" w:fill="FFFFFF"/>
        </w:rPr>
        <w:t>&amp;</w:t>
      </w:r>
      <w:r w:rsidRPr="00EA38DE">
        <w:rPr>
          <w:shd w:val="clear" w:color="auto" w:fill="FFFFFF"/>
        </w:rPr>
        <w:t xml:space="preserve"> Fagbamila (2022) examined the effect of exchange rate fluctuation economic factors on financial performance of multinational companies in Nigeria. It specifically examined the effect of nominal exchange rate, real exchange rate, exchange rate as well as exchange rate fluctuations on the financial performance of listed multinational oil and gas firms in Nigeria performance of deposit money banks in Nigeria. Secondary sources of data were employed to extract useful information from the Audited Annual Reports of the eight (8) oil and gas firms sampled were selected through purposive sampling technique for the investigation for the periods 2006-2020. Correlation and regression analysis were used to test the hypothesis. Findings revealed that nominal exchange rate and interest spread rate have positive and statistically significant relationships with return on asset. The study concluded that exchange rate fluctuation economic factors have strong statistical relationship with the financial performance of listed oil and gas companies in Nigeria.  </w:t>
      </w:r>
    </w:p>
    <w:p w14:paraId="664C88F8" w14:textId="4B64AED8" w:rsidR="0066005F" w:rsidRPr="00EA38DE" w:rsidRDefault="0066005F" w:rsidP="00A86755">
      <w:pPr>
        <w:spacing w:after="240" w:line="480" w:lineRule="auto"/>
        <w:jc w:val="both"/>
        <w:rPr>
          <w:rFonts w:ascii="Times New Roman" w:hAnsi="Times New Roman" w:cs="Times New Roman"/>
          <w:sz w:val="24"/>
          <w:szCs w:val="24"/>
          <w:shd w:val="clear" w:color="auto" w:fill="FFFFFF"/>
        </w:rPr>
      </w:pPr>
      <w:r w:rsidRPr="00EA38DE">
        <w:rPr>
          <w:rFonts w:ascii="Times New Roman" w:hAnsi="Times New Roman" w:cs="Times New Roman"/>
          <w:sz w:val="24"/>
          <w:szCs w:val="24"/>
        </w:rPr>
        <w:t xml:space="preserve">Oyekunle </w:t>
      </w:r>
      <w:r w:rsidR="00805E13" w:rsidRPr="00EA38DE">
        <w:rPr>
          <w:rFonts w:ascii="Times New Roman" w:hAnsi="Times New Roman" w:cs="Times New Roman"/>
          <w:sz w:val="24"/>
          <w:szCs w:val="24"/>
        </w:rPr>
        <w:t>et.al.</w:t>
      </w:r>
      <w:r w:rsidRPr="00EA38DE">
        <w:rPr>
          <w:rFonts w:ascii="Times New Roman" w:hAnsi="Times New Roman" w:cs="Times New Roman"/>
          <w:sz w:val="24"/>
          <w:szCs w:val="24"/>
        </w:rPr>
        <w:t xml:space="preserve"> (2021) examined how exchange rate volatility affected the competitiveness of shipping companies in Nigeria from 2012 to 2023. Analytical study assessing exchange rate volatility effects on Nigerian shipping companies’ competitiveness (likely using econometric or statistical analysis, though exact methods not specified). The study concluded that while exchange rate fluctuations could be detrimental to the financial performance of shipping companies in the short term, a depreciating naira could, in some instances, make Nigerian shipping services more competitive in international markets. </w:t>
      </w:r>
    </w:p>
    <w:p w14:paraId="212F8E54" w14:textId="6E6D98EB" w:rsidR="0066005F" w:rsidRPr="00EA38DE" w:rsidRDefault="0066005F" w:rsidP="00A86755">
      <w:pPr>
        <w:pStyle w:val="NormalWeb"/>
        <w:spacing w:before="0" w:beforeAutospacing="0" w:after="240" w:afterAutospacing="0" w:line="480" w:lineRule="auto"/>
        <w:jc w:val="both"/>
      </w:pPr>
      <w:r w:rsidRPr="00EA38DE">
        <w:rPr>
          <w:rStyle w:val="Strong"/>
          <w:b w:val="0"/>
          <w:bCs w:val="0"/>
        </w:rPr>
        <w:t xml:space="preserve">Silva </w:t>
      </w:r>
      <w:r w:rsidR="00882A74" w:rsidRPr="00EA38DE">
        <w:rPr>
          <w:rStyle w:val="Strong"/>
          <w:b w:val="0"/>
          <w:bCs w:val="0"/>
        </w:rPr>
        <w:t>&amp;</w:t>
      </w:r>
      <w:r w:rsidRPr="00EA38DE">
        <w:rPr>
          <w:rStyle w:val="Strong"/>
          <w:b w:val="0"/>
          <w:bCs w:val="0"/>
        </w:rPr>
        <w:t xml:space="preserve"> Amaral (2019)</w:t>
      </w:r>
      <w:r w:rsidRPr="00EA38DE">
        <w:t xml:space="preserve"> conducted a longitudinal case study examining the interaction between exchange rate regimes, fisheries policy, and maritime transport in </w:t>
      </w:r>
      <w:r w:rsidRPr="00EA38DE">
        <w:rPr>
          <w:rStyle w:val="Strong"/>
          <w:b w:val="0"/>
          <w:bCs w:val="0"/>
        </w:rPr>
        <w:t>Portugal from 2005 to 2018</w:t>
      </w:r>
      <w:r w:rsidRPr="00EA38DE">
        <w:t xml:space="preserve">. The researchers employed </w:t>
      </w:r>
      <w:r w:rsidRPr="00EA38DE">
        <w:rPr>
          <w:bCs/>
        </w:rPr>
        <w:t>a</w:t>
      </w:r>
      <w:r w:rsidRPr="00EA38DE">
        <w:rPr>
          <w:b/>
          <w:bCs/>
        </w:rPr>
        <w:t xml:space="preserve"> </w:t>
      </w:r>
      <w:r w:rsidRPr="00EA38DE">
        <w:rPr>
          <w:rStyle w:val="Strong"/>
          <w:b w:val="0"/>
          <w:bCs w:val="0"/>
        </w:rPr>
        <w:t>mixed-methods approach</w:t>
      </w:r>
      <w:r w:rsidRPr="00EA38DE">
        <w:t xml:space="preserve">, combining </w:t>
      </w:r>
      <w:r w:rsidRPr="00EA38DE">
        <w:rPr>
          <w:rStyle w:val="Strong"/>
          <w:b w:val="0"/>
          <w:bCs w:val="0"/>
        </w:rPr>
        <w:t>quantitative analysis of export and shipping</w:t>
      </w:r>
      <w:r w:rsidRPr="00EA38DE">
        <w:rPr>
          <w:rStyle w:val="Strong"/>
        </w:rPr>
        <w:t xml:space="preserve"> </w:t>
      </w:r>
      <w:r w:rsidRPr="00EA38DE">
        <w:rPr>
          <w:rStyle w:val="Strong"/>
          <w:b w:val="0"/>
        </w:rPr>
        <w:t>cost</w:t>
      </w:r>
      <w:r w:rsidRPr="00EA38DE">
        <w:rPr>
          <w:rStyle w:val="Strong"/>
        </w:rPr>
        <w:t xml:space="preserve"> </w:t>
      </w:r>
      <w:r w:rsidRPr="00EA38DE">
        <w:rPr>
          <w:rStyle w:val="Strong"/>
          <w:b w:val="0"/>
          <w:bCs w:val="0"/>
        </w:rPr>
        <w:t>data</w:t>
      </w:r>
      <w:r w:rsidRPr="00EA38DE">
        <w:t xml:space="preserve"> with </w:t>
      </w:r>
      <w:r w:rsidRPr="00EA38DE">
        <w:rPr>
          <w:rStyle w:val="Strong"/>
          <w:b w:val="0"/>
          <w:bCs w:val="0"/>
        </w:rPr>
        <w:t>policy review and stakeholder interviews</w:t>
      </w:r>
      <w:r w:rsidRPr="00EA38DE">
        <w:rPr>
          <w:b/>
          <w:bCs/>
        </w:rPr>
        <w:t xml:space="preserve"> </w:t>
      </w:r>
      <w:r w:rsidRPr="00EA38DE">
        <w:t xml:space="preserve">(including port authorities, </w:t>
      </w:r>
      <w:r w:rsidRPr="00EA38DE">
        <w:lastRenderedPageBreak/>
        <w:t xml:space="preserve">exporters, and shipping firms). Their analysis focused on </w:t>
      </w:r>
      <w:r w:rsidRPr="00EA38DE">
        <w:rPr>
          <w:rStyle w:val="Strong"/>
          <w:b w:val="0"/>
          <w:bCs w:val="0"/>
        </w:rPr>
        <w:t>refrigerated shipping</w:t>
      </w:r>
      <w:r w:rsidRPr="00EA38DE">
        <w:rPr>
          <w:rStyle w:val="Strong"/>
        </w:rPr>
        <w:t xml:space="preserve"> </w:t>
      </w:r>
      <w:r w:rsidRPr="00EA38DE">
        <w:rPr>
          <w:rStyle w:val="Strong"/>
          <w:b w:val="0"/>
        </w:rPr>
        <w:t>services</w:t>
      </w:r>
      <w:r w:rsidRPr="00EA38DE">
        <w:t xml:space="preserve"> supporting Portugal’s fish export industry. The authors emphasized that long-term demand for shipping services from the fisheries sector is </w:t>
      </w:r>
      <w:r w:rsidRPr="00EA38DE">
        <w:rPr>
          <w:rStyle w:val="Strong"/>
          <w:b w:val="0"/>
          <w:bCs w:val="0"/>
        </w:rPr>
        <w:t>contingent on sustained macroeconomic support</w:t>
      </w:r>
      <w:r w:rsidRPr="00EA38DE">
        <w:t xml:space="preserve"> and </w:t>
      </w:r>
      <w:r w:rsidRPr="00EA38DE">
        <w:rPr>
          <w:rStyle w:val="Strong"/>
          <w:b w:val="0"/>
          <w:bCs w:val="0"/>
        </w:rPr>
        <w:t>logistics infrastructure development</w:t>
      </w:r>
      <w:r w:rsidRPr="00EA38DE">
        <w:t xml:space="preserve"> in shipping sector.</w:t>
      </w:r>
    </w:p>
    <w:p w14:paraId="5F1D4457" w14:textId="1FF695CC" w:rsidR="00A45497" w:rsidRPr="00EA38DE" w:rsidRDefault="0066005F" w:rsidP="00A86755">
      <w:pPr>
        <w:spacing w:after="240" w:line="480" w:lineRule="auto"/>
        <w:jc w:val="both"/>
        <w:outlineLvl w:val="2"/>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Stopford (2009) In his seminal work </w:t>
      </w:r>
      <w:r w:rsidRPr="00EA38DE">
        <w:rPr>
          <w:rFonts w:ascii="Times New Roman" w:eastAsia="Times New Roman" w:hAnsi="Times New Roman" w:cs="Times New Roman"/>
          <w:i/>
          <w:iCs/>
          <w:sz w:val="24"/>
          <w:szCs w:val="24"/>
        </w:rPr>
        <w:t>"Maritime Economics"</w:t>
      </w:r>
      <w:r w:rsidRPr="00EA38DE">
        <w:rPr>
          <w:rFonts w:ascii="Times New Roman" w:eastAsia="Times New Roman" w:hAnsi="Times New Roman" w:cs="Times New Roman"/>
          <w:sz w:val="24"/>
          <w:szCs w:val="24"/>
        </w:rPr>
        <w:t>, Martin Stopford provides a comprehensive analysis of how macroeconomic variables, particularly exchange rate fluctuations, affect the financial performance and investment behavior in the global shipping industry. The study analyzed historical shipping data spanning multiple decades, primarily from the 1970s to the early 2000s, focusing on major shipping nations such as the United States, United Kingdom, Greece, and Japan. Stopford employed a macroeconomic historical analysis, integrating empirical data from shipping markets, fleet earnings, and currency trends, alongside industry case studies. He analyzed how exchange rate volatility interacts with other market dynamics like freight rates, shipbuilding orders, and capital investment cycles. Finding revealed that Reduced fleet profitability, especially for firms with high exposure to foreign-denominated operational costs or revenues.</w:t>
      </w:r>
      <w:r w:rsidR="00294422" w:rsidRPr="00EA38DE">
        <w:rPr>
          <w:rFonts w:ascii="Times New Roman" w:eastAsia="Times New Roman" w:hAnsi="Times New Roman" w:cs="Times New Roman"/>
          <w:sz w:val="24"/>
          <w:szCs w:val="24"/>
        </w:rPr>
        <w:t xml:space="preserve"> </w:t>
      </w:r>
    </w:p>
    <w:p w14:paraId="51509A57" w14:textId="128DA5C5" w:rsidR="0066005F" w:rsidRPr="00EA38DE" w:rsidRDefault="0066005F" w:rsidP="00A86755">
      <w:pPr>
        <w:spacing w:after="24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2.5.2</w:t>
      </w:r>
      <w:r w:rsidR="00730C46" w:rsidRPr="00EA38DE">
        <w:rPr>
          <w:rFonts w:ascii="Times New Roman" w:hAnsi="Times New Roman" w:cs="Times New Roman"/>
          <w:b/>
          <w:bCs/>
          <w:sz w:val="24"/>
          <w:szCs w:val="24"/>
        </w:rPr>
        <w:tab/>
      </w:r>
      <w:r w:rsidRPr="00EA38DE">
        <w:rPr>
          <w:rFonts w:ascii="Times New Roman" w:hAnsi="Times New Roman" w:cs="Times New Roman"/>
          <w:b/>
          <w:bCs/>
          <w:sz w:val="24"/>
          <w:szCs w:val="24"/>
        </w:rPr>
        <w:t>Fisheries and Shipping Industry Financial Performance in Nigeria</w:t>
      </w:r>
    </w:p>
    <w:p w14:paraId="1C3DDC57" w14:textId="5B51A88C"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Adeniran</w:t>
      </w:r>
      <w:r w:rsidRPr="00EA38DE">
        <w:rPr>
          <w:rFonts w:ascii="Times New Roman" w:eastAsia="Times New Roman" w:hAnsi="Times New Roman" w:cs="Times New Roman"/>
          <w:bCs/>
          <w:sz w:val="24"/>
          <w:szCs w:val="24"/>
        </w:rPr>
        <w:t xml:space="preserve"> </w:t>
      </w:r>
      <w:r w:rsidR="00882A74" w:rsidRPr="00EA38DE">
        <w:rPr>
          <w:rFonts w:ascii="Times New Roman" w:eastAsia="Times New Roman" w:hAnsi="Times New Roman" w:cs="Times New Roman"/>
          <w:bCs/>
          <w:sz w:val="24"/>
          <w:szCs w:val="24"/>
        </w:rPr>
        <w:t>&amp;</w:t>
      </w:r>
      <w:r w:rsidRPr="00EA38DE">
        <w:rPr>
          <w:rFonts w:ascii="Times New Roman" w:eastAsia="Times New Roman" w:hAnsi="Times New Roman" w:cs="Times New Roman"/>
          <w:bCs/>
          <w:sz w:val="24"/>
          <w:szCs w:val="24"/>
        </w:rPr>
        <w:t xml:space="preserve"> Oluwole (2020)</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explored the role of investment in the blue economy, with a particular focus on offshore oil and gas, marine aquaculture, and maritime transportation in Nigeria.</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Using the expenditure approach, Adeniran and Oluwole analyzed the flow of public and private investment in Nigeria’s blue economy between 2000 and 2019. They also reviewed government expenditure data on marine services and infrastructure and examined the export and import of marine-related goods.</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 xml:space="preserve">The study highlighted the growing importance of offshore oil and gas as a </w:t>
      </w:r>
      <w:r w:rsidRPr="00EA38DE">
        <w:rPr>
          <w:rFonts w:ascii="Times New Roman" w:eastAsia="Times New Roman" w:hAnsi="Times New Roman" w:cs="Times New Roman"/>
          <w:sz w:val="24"/>
          <w:szCs w:val="24"/>
        </w:rPr>
        <w:lastRenderedPageBreak/>
        <w:t>key driver of investment in Nigeria’s blue economy. However, they also found that investments in sustainable fisheries, marine renewable energy, and eco-tourism were lacking. The authors observed a growing trend in government expenditure on port infrastructure, but at the same time noted a lack of a coherent policy framework to support the growth of marine aquaculture and sustainable fisheries.</w:t>
      </w:r>
    </w:p>
    <w:p w14:paraId="0C3ABC31" w14:textId="132274FB"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Adeoye </w:t>
      </w:r>
      <w:r w:rsidR="00882A74" w:rsidRPr="00EA38DE">
        <w:rPr>
          <w:rFonts w:ascii="Times New Roman" w:hAnsi="Times New Roman" w:cs="Times New Roman"/>
          <w:sz w:val="24"/>
          <w:szCs w:val="24"/>
        </w:rPr>
        <w:t>&amp;</w:t>
      </w:r>
      <w:r w:rsidRPr="00EA38DE">
        <w:rPr>
          <w:rFonts w:ascii="Times New Roman" w:hAnsi="Times New Roman" w:cs="Times New Roman"/>
          <w:sz w:val="24"/>
          <w:szCs w:val="24"/>
        </w:rPr>
        <w:t xml:space="preserve"> Afolabi (2021) conducted an econometric study covering the period 2005 to 2019 to assess the impact of fishery exports on the profitability of Nigerian shipping firms. They employed the Autoregressive Distributed Lag (ARDL) modeling approach to analyze the long-run and short-run dynamics between fisheries trade volumes and financial performance indicators of shipping companies, particularly those operating cold storage and reefer vessels. Their results revealed a long-run positive relationship between increased fisheries export volumes and improved financial performance of shipping firms.</w:t>
      </w:r>
    </w:p>
    <w:p w14:paraId="44525B53" w14:textId="77777777"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Adewuyi et al. (2022) conducted an empirical study from 2018 to 2021 examining cold chain logistics and processing infrastructure within Nigeria’s fisheries sector. The research surveyed 210 fisheries enterprises located near major Nigerian seaports and combined this with regression analysis to evaluate the impact of cold storage availability on shipping activity related to fisheries products. The study revealed that over 65% of marine fish landed at ports are transported through inefficient informal supply chains, resulting in significant post-harvest losses and diminished shipping turnover.</w:t>
      </w:r>
    </w:p>
    <w:p w14:paraId="2686497C" w14:textId="341674D8"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Adeyemi</w:t>
      </w:r>
      <w:r w:rsidRPr="00EA38DE">
        <w:rPr>
          <w:rFonts w:ascii="Times New Roman" w:eastAsia="Times New Roman" w:hAnsi="Times New Roman" w:cs="Times New Roman"/>
          <w:bCs/>
          <w:sz w:val="24"/>
          <w:szCs w:val="24"/>
        </w:rPr>
        <w:t xml:space="preserve"> </w:t>
      </w:r>
      <w:r w:rsidR="003C0157" w:rsidRPr="00EA38DE">
        <w:rPr>
          <w:rFonts w:ascii="Times New Roman" w:eastAsia="Times New Roman" w:hAnsi="Times New Roman" w:cs="Times New Roman"/>
          <w:bCs/>
          <w:sz w:val="24"/>
          <w:szCs w:val="24"/>
        </w:rPr>
        <w:t>&amp;</w:t>
      </w:r>
      <w:r w:rsidRPr="00EA38DE">
        <w:rPr>
          <w:rFonts w:ascii="Times New Roman" w:eastAsia="Times New Roman" w:hAnsi="Times New Roman" w:cs="Times New Roman"/>
          <w:bCs/>
          <w:sz w:val="24"/>
          <w:szCs w:val="24"/>
        </w:rPr>
        <w:t xml:space="preserve"> Adedeji (2021) looked into </w:t>
      </w:r>
      <w:r w:rsidRPr="00EA38DE">
        <w:rPr>
          <w:rFonts w:ascii="Times New Roman" w:eastAsia="Times New Roman" w:hAnsi="Times New Roman" w:cs="Times New Roman"/>
          <w:sz w:val="24"/>
          <w:szCs w:val="24"/>
        </w:rPr>
        <w:t>the role of government expenditure in the growth of the blue economy in Nigeria, particularly in relation to sustainable fisheries management and coastal infrastructure development.</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 xml:space="preserve">The authors utilized an expenditure-based framework to analyze </w:t>
      </w:r>
      <w:r w:rsidRPr="00EA38DE">
        <w:rPr>
          <w:rFonts w:ascii="Times New Roman" w:eastAsia="Times New Roman" w:hAnsi="Times New Roman" w:cs="Times New Roman"/>
          <w:sz w:val="24"/>
          <w:szCs w:val="24"/>
        </w:rPr>
        <w:lastRenderedPageBreak/>
        <w:t>Nigeria's public spending on blue economy-related sectors from 2000 to 2020. They employed time series data on government expenditure from Nigeria’s annual budgets, supplemented with data from the Nigerian Maritime Administration and Safety Agency (NIMASA). The research found a positive but moderate correlation between government spending in sectors like coastal infrastructure, fisheries management, and marine renewable energy, and the growth of Nigeria's blue economy. However, the study found that government spending was often inconsistent and insufficient to address the full scope of challenges in marine resource management.</w:t>
      </w:r>
    </w:p>
    <w:p w14:paraId="08BDD4B8" w14:textId="61021219"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Akinwale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Adepoju (2024) conducted a policy-oriented study spanning 2022 to 2023, aimed at exploring the integration of fisheries development and maritime transport within Nigeria’s evolving blue economy framework. The study employed a qualitative methodology, relying on semi-structured interviews with key stakeholders from the (NIMASA), the Nigerian Institute</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for Oceanography and Marine Research (NIOMR), and the Nigerian Ports Authority (NPA</w:t>
      </w:r>
      <w:r w:rsidRPr="00EA38DE">
        <w:rPr>
          <w:rFonts w:ascii="Times New Roman" w:eastAsia="Times New Roman" w:hAnsi="Times New Roman" w:cs="Times New Roman"/>
          <w:b/>
          <w:bCs/>
          <w:sz w:val="24"/>
          <w:szCs w:val="24"/>
        </w:rPr>
        <w:t>)</w:t>
      </w:r>
      <w:r w:rsidRPr="00EA38DE">
        <w:rPr>
          <w:rFonts w:ascii="Times New Roman" w:eastAsia="Times New Roman" w:hAnsi="Times New Roman" w:cs="Times New Roman"/>
          <w:sz w:val="24"/>
          <w:szCs w:val="24"/>
        </w:rPr>
        <w:t>. Their findings revealed that poor institutional coordination, persistent exchange rate risks, and limited investment in fish-related port infrastructure are major obstacles preventing effective linkages between the fisheries and shipping sectors. These issues have undermined Nigeria’s capacity to maximize synergies under the blue economy agenda.</w:t>
      </w:r>
    </w:p>
    <w:p w14:paraId="759652EF" w14:textId="59506ABA"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Alharthi </w:t>
      </w:r>
      <w:r w:rsidR="003C0157" w:rsidRPr="00EA38DE">
        <w:rPr>
          <w:rFonts w:ascii="Times New Roman" w:hAnsi="Times New Roman" w:cs="Times New Roman"/>
          <w:sz w:val="24"/>
          <w:szCs w:val="24"/>
        </w:rPr>
        <w:t>&amp;</w:t>
      </w:r>
      <w:r w:rsidRPr="00EA38DE">
        <w:rPr>
          <w:rFonts w:ascii="Times New Roman" w:hAnsi="Times New Roman" w:cs="Times New Roman"/>
          <w:sz w:val="24"/>
          <w:szCs w:val="24"/>
        </w:rPr>
        <w:t xml:space="preserve"> Hanif (2020) the study investigated the impact of various factors associated with the blue economy on the economic growth of the South Asian Association for Regional Cooperation (SAARC) countries. The study adopted the feasible Generalized Least Squares (FGLS) technique was employed to handle panel data and correct for heteroskedasticity and autocorrelation across countries. Their analysis, spanning from 1995 to 2018 across eight nations, highlighted fishing production metrics such as total aquaculture and fisheries production, along with agriculture, forestry, and fishing, as significant contributors. They also identified trade and inflation rates as </w:t>
      </w:r>
      <w:r w:rsidRPr="00EA38DE">
        <w:rPr>
          <w:rFonts w:ascii="Times New Roman" w:hAnsi="Times New Roman" w:cs="Times New Roman"/>
          <w:sz w:val="24"/>
          <w:szCs w:val="24"/>
        </w:rPr>
        <w:lastRenderedPageBreak/>
        <w:t>control variables. Employing the feasible generalized least square technique, their findings underscored the statistically significant role of blue economy factors in driving economic growth across SAARC countries, aligning with the United Nations' Sustainable Development Goal 14 aimed at conserving and sustainably utilizing oceans, seas, and marine resources.</w:t>
      </w:r>
    </w:p>
    <w:p w14:paraId="22F88E97" w14:textId="082625E8"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Asiedu </w:t>
      </w:r>
      <w:r w:rsidR="003C0157" w:rsidRPr="00EA38DE">
        <w:rPr>
          <w:rFonts w:ascii="Times New Roman" w:hAnsi="Times New Roman" w:cs="Times New Roman"/>
          <w:sz w:val="24"/>
          <w:szCs w:val="24"/>
        </w:rPr>
        <w:t>&amp;</w:t>
      </w:r>
      <w:r w:rsidRPr="00EA38DE">
        <w:rPr>
          <w:rFonts w:ascii="Times New Roman" w:hAnsi="Times New Roman" w:cs="Times New Roman"/>
          <w:sz w:val="24"/>
          <w:szCs w:val="24"/>
        </w:rPr>
        <w:t xml:space="preserve"> Gyasi (2020) conducted a study on West African economies covering the period 2010 to 2018 to examine the relationship between the fisheries sector and the financial performance of coastal shipping firms. Using a panel data econometric approach, including fixed effects and random effects models, the study analyzed trade volumes, shipping revenues, and fish landing statistics across multiple countries. Their findings indicate that the fisheries sector positively influences shipping firms’ financial performance through volume-driven economies of scale. However, the study also highlighted that volatility in fish landings, caused by factors such as climate change and overfishing, introduces significant uncertainty for shipping companies reliant on seasonal fisheries trade. </w:t>
      </w:r>
    </w:p>
    <w:p w14:paraId="348302C2" w14:textId="77777777"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Béné et al. (2016) conducted an extensive study from 2010 to 2015 examining the role of fisheries in employment generation and trade flows across coastal developing countries. Using a mixed-methods approach, the study combined statistical analysis of employment and trade data with field surveys and case studies of fisheries-dependent communities and export businesses. The research highlighted that inadequate shipping infrastructure and volatile freight costs significantly undermine the profitability of fisheries-based exports, demonstrating a strong interdependence between the shipping industry’s performance and the financial returns of the fisheries sector.</w:t>
      </w:r>
    </w:p>
    <w:p w14:paraId="210DA665" w14:textId="38D85C4B"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Bhattacharya </w:t>
      </w:r>
      <w:r w:rsidR="003C0157" w:rsidRPr="00EA38DE">
        <w:rPr>
          <w:rFonts w:ascii="Times New Roman" w:hAnsi="Times New Roman" w:cs="Times New Roman"/>
          <w:sz w:val="24"/>
          <w:szCs w:val="24"/>
        </w:rPr>
        <w:t>&amp;</w:t>
      </w:r>
      <w:r w:rsidRPr="00EA38DE">
        <w:rPr>
          <w:rFonts w:ascii="Times New Roman" w:hAnsi="Times New Roman" w:cs="Times New Roman"/>
          <w:sz w:val="24"/>
          <w:szCs w:val="24"/>
        </w:rPr>
        <w:t xml:space="preserve"> Dash (2020) examined the determinants of blue economy activities in fisheries and tourism sectors in twenty-one (21) Asia and Pacific Island countries for the period covering </w:t>
      </w:r>
      <w:r w:rsidRPr="00EA38DE">
        <w:rPr>
          <w:rFonts w:ascii="Times New Roman" w:hAnsi="Times New Roman" w:cs="Times New Roman"/>
          <w:sz w:val="24"/>
          <w:szCs w:val="24"/>
        </w:rPr>
        <w:lastRenderedPageBreak/>
        <w:t>1996 to 2016. A panel data approach was adopted and it was found that gross fixed capital formation and access to electricity impact the size of the blue economy positively in Asian and Pacific Island countries. The findings support the need for, and effectiveness of, the implementation of sustainable ocean governance policies in the Asian and Pacific Island regions.</w:t>
      </w:r>
    </w:p>
    <w:p w14:paraId="23B522F8" w14:textId="37241353"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Ekanem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Bako (2021) conducted an applied economic study analyzing the economic impact of fisheries cargo on port operations in Nigeria, with a focus on Lagos and Cross River ports. The study covered a time scope from 2015 to 2020 and employed a mixed-methods approach that combined quantitative data analysis of port throughput records with structured interviews of port officials, customs agents, and logistics operators. These findings suggest that stronger investment in fisheries logistics and trade facilitation could significantly improve the financial health of port authorities and maritime businesses.</w:t>
      </w:r>
    </w:p>
    <w:p w14:paraId="770B595C" w14:textId="38680D22"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Ekpo </w:t>
      </w:r>
      <w:r w:rsidR="003C0157" w:rsidRPr="00EA38DE">
        <w:rPr>
          <w:rFonts w:ascii="Times New Roman" w:hAnsi="Times New Roman" w:cs="Times New Roman"/>
          <w:sz w:val="24"/>
          <w:szCs w:val="24"/>
        </w:rPr>
        <w:t>&amp;</w:t>
      </w:r>
      <w:r w:rsidRPr="00EA38DE">
        <w:rPr>
          <w:rFonts w:ascii="Times New Roman" w:hAnsi="Times New Roman" w:cs="Times New Roman"/>
          <w:sz w:val="24"/>
          <w:szCs w:val="24"/>
        </w:rPr>
        <w:t xml:space="preserve"> Essien (2017) examined the relationship between fisheries output and port logistics in Nigeria over the period 2012 to 2016. Utilizing a quantitative research design, they analyzed fisheries production data alongside port logistics and shipping performance metrics using correlation and regression analysis. Their findings revealed that increases in fish production correspond with higher demand for cold chain logistics, container shipping, and port services. However, the study also highlighted that limited shipping capacity and fluctuating exchange rates contributed to cost overruns, delayed exports, and reduced foreign exchange earnings. These challenges ultimately undermined the financial performance of shipping firms servicing the fisheries sector in Nigeria.</w:t>
      </w:r>
    </w:p>
    <w:p w14:paraId="09701363" w14:textId="745C7579"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Elia </w:t>
      </w:r>
      <w:r w:rsidR="003C0157" w:rsidRPr="00EA38DE">
        <w:rPr>
          <w:rFonts w:ascii="Times New Roman" w:hAnsi="Times New Roman" w:cs="Times New Roman"/>
          <w:sz w:val="24"/>
          <w:szCs w:val="24"/>
        </w:rPr>
        <w:t>&amp;</w:t>
      </w:r>
      <w:r w:rsidRPr="00EA38DE">
        <w:rPr>
          <w:rFonts w:ascii="Times New Roman" w:hAnsi="Times New Roman" w:cs="Times New Roman"/>
          <w:sz w:val="24"/>
          <w:szCs w:val="24"/>
        </w:rPr>
        <w:t xml:space="preserve"> Indrajaya (2022) examined The Role of Blue Economy in Enhancing Sustainable Fisheries Development in Indonesia from 2020 to 2022. The study adopted a mix of quantitative and survey </w:t>
      </w:r>
      <w:r w:rsidRPr="00EA38DE">
        <w:rPr>
          <w:rFonts w:ascii="Times New Roman" w:hAnsi="Times New Roman" w:cs="Times New Roman"/>
          <w:sz w:val="24"/>
          <w:szCs w:val="24"/>
        </w:rPr>
        <w:lastRenderedPageBreak/>
        <w:t xml:space="preserve">approaches to research. Samples were obtained from 150 respondents who are members of Fishermen Cooperative in Indonesia. Findings revealed that blue economy contributes to increase sustainable fisheries development and production. </w:t>
      </w:r>
    </w:p>
    <w:p w14:paraId="2BA48546" w14:textId="5DE305E5"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Erondu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Ukpere (2020) examined the role of blue economy initiatives in Nigeria's economic transformation agenda from 2010 to 2019. Using survey data from stakeholders in the maritime and fisheries sectors, they found that investments in marine infrastructure, coastal tourism, and port modernization contributed positively to financial performance of the shipping industry, especially when supported by effective regulatory frameworks and macroeconomic stability</w:t>
      </w:r>
      <w:r w:rsidR="003A38AA">
        <w:rPr>
          <w:rFonts w:ascii="Times New Roman" w:eastAsia="Times New Roman" w:hAnsi="Times New Roman" w:cs="Times New Roman"/>
          <w:sz w:val="24"/>
          <w:szCs w:val="24"/>
        </w:rPr>
        <w:t>.</w:t>
      </w:r>
    </w:p>
    <w:p w14:paraId="61998CC5" w14:textId="78CDB0FF"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Ibe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Nwaogu (2023) conducted an empirical study examining the relationship between fisheries infrastructure development and the demand for maritime logistics and shipping services in Nigeria. The study covered data from 2010 to 2022 across six coastal Nigerian states including Lagos, Rivers, Akwa Ibom, Cross River, Bayelsa, and Delta. Using panel regression analysis, the authors assessed the impact of infrastructure improvements such as modern landing sites, cold storage units, and fish processing facilities on the performance of specialized shipping services, particularly refrigerated vessels (reefers) and cold-chain logistics providers. The findings revealed a statistically significant positive relationship between investment in fisheries infrastructure and increased demand for maritime logistics. The study emphasized the presence of both backward linkages (e.g., input supply chains) and forward linkages (e.g., export and domestic distribution via shipping) between the fisheries and shipping sectors. </w:t>
      </w:r>
    </w:p>
    <w:p w14:paraId="5ABA4033" w14:textId="77777777"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Mensah et al. (2020), in their study of Ghana’s coastal economy, used a Vector Error Correction Model (VECM) to examine the relationship between fisheries output, exchange rate movements, and port efficiency between 2015 and 2020. They found that fish exports significantly enhanced </w:t>
      </w:r>
      <w:r w:rsidRPr="00EA38DE">
        <w:rPr>
          <w:rFonts w:ascii="Times New Roman" w:eastAsia="Times New Roman" w:hAnsi="Times New Roman" w:cs="Times New Roman"/>
          <w:sz w:val="24"/>
          <w:szCs w:val="24"/>
        </w:rPr>
        <w:lastRenderedPageBreak/>
        <w:t>container traffic and port revenues in Tema and Takoradi, but the benefits were susceptible to local currency devaluation.</w:t>
      </w:r>
    </w:p>
    <w:p w14:paraId="363DCE2D" w14:textId="7C29E7CC"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Oghenekaro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Omodero (2020) employed a panel data approach to analyze the effect of blue economy indicators (such as port infrastructure investment, marine employment, coastal transport output, and fisheries) on the profitability of shipping firms in selected African countries from 2010 to 2018. The results showed that countries with a coordinated blue economy policy recorded higher maritime productivity and shipping sector profitability. For Nigeria, the study revealed low returns due to policy incoherence and underutilization of maritime resources.</w:t>
      </w:r>
    </w:p>
    <w:p w14:paraId="7C1B7287" w14:textId="1A891516"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Ogunbiy</w:t>
      </w:r>
      <w:r w:rsidRPr="00EA38DE">
        <w:rPr>
          <w:rFonts w:ascii="Times New Roman" w:eastAsia="Times New Roman" w:hAnsi="Times New Roman" w:cs="Times New Roman"/>
          <w:bCs/>
          <w:sz w:val="24"/>
          <w:szCs w:val="24"/>
        </w:rPr>
        <w:t xml:space="preserve">i </w:t>
      </w:r>
      <w:r w:rsidR="003C0157" w:rsidRPr="00EA38DE">
        <w:rPr>
          <w:rFonts w:ascii="Times New Roman" w:eastAsia="Times New Roman" w:hAnsi="Times New Roman" w:cs="Times New Roman"/>
          <w:bCs/>
          <w:sz w:val="24"/>
          <w:szCs w:val="24"/>
        </w:rPr>
        <w:t>&amp;</w:t>
      </w:r>
      <w:r w:rsidRPr="00EA38DE">
        <w:rPr>
          <w:rFonts w:ascii="Times New Roman" w:eastAsia="Times New Roman" w:hAnsi="Times New Roman" w:cs="Times New Roman"/>
          <w:bCs/>
          <w:sz w:val="24"/>
          <w:szCs w:val="24"/>
        </w:rPr>
        <w:t xml:space="preserve"> Omotayo (2023)</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estimated the contribution of household consumption of marine products to the blue economy in Nigeria using the expenditure approach.</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Ogunbiyi and Omotayo used a combination of survey data and national economic reports to estimate household consumption of seafood, marine products, and services. They analyzed the trends in consumption of marine resources such as fish, shellfish, and recreational marine tourism from 2000 to 2022.</w:t>
      </w:r>
      <w:r w:rsidRPr="00EA38DE">
        <w:rPr>
          <w:rFonts w:ascii="Times New Roman" w:eastAsia="Times New Roman" w:hAnsi="Times New Roman" w:cs="Times New Roman"/>
          <w:b/>
          <w:bCs/>
          <w:sz w:val="24"/>
          <w:szCs w:val="24"/>
        </w:rPr>
        <w:t xml:space="preserve"> </w:t>
      </w:r>
      <w:r w:rsidRPr="00EA38DE">
        <w:rPr>
          <w:rFonts w:ascii="Times New Roman" w:eastAsia="Times New Roman" w:hAnsi="Times New Roman" w:cs="Times New Roman"/>
          <w:sz w:val="24"/>
          <w:szCs w:val="24"/>
        </w:rPr>
        <w:t>Their analysis revealed that household consumption of seafood had consistently increased, with coastal regions showing significantly higher consumption levels. However, they also found that consumption data was skewed due to limited survey coverage in rural areas, which could lead to underestimation of total household consumption.</w:t>
      </w:r>
    </w:p>
    <w:p w14:paraId="4405B19C" w14:textId="6667A863"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Okoroafo, </w:t>
      </w:r>
      <w:r w:rsidR="006D0A89" w:rsidRPr="00EA38DE">
        <w:rPr>
          <w:rFonts w:ascii="Times New Roman" w:eastAsia="Times New Roman" w:hAnsi="Times New Roman" w:cs="Times New Roman"/>
          <w:sz w:val="24"/>
          <w:szCs w:val="24"/>
        </w:rPr>
        <w:t>et al.</w:t>
      </w:r>
      <w:r w:rsidRPr="00EA38DE">
        <w:rPr>
          <w:rFonts w:ascii="Times New Roman" w:eastAsia="Times New Roman" w:hAnsi="Times New Roman" w:cs="Times New Roman"/>
          <w:sz w:val="24"/>
          <w:szCs w:val="24"/>
        </w:rPr>
        <w:t xml:space="preserve"> (2019</w:t>
      </w:r>
      <w:r w:rsidRPr="00EA38DE">
        <w:rPr>
          <w:rFonts w:ascii="Times New Roman" w:eastAsia="Times New Roman" w:hAnsi="Times New Roman" w:cs="Times New Roman"/>
          <w:bCs/>
          <w:sz w:val="24"/>
          <w:szCs w:val="24"/>
        </w:rPr>
        <w:t xml:space="preserve">) </w:t>
      </w:r>
      <w:r w:rsidRPr="00EA38DE">
        <w:rPr>
          <w:rFonts w:ascii="Times New Roman" w:eastAsia="Times New Roman" w:hAnsi="Times New Roman" w:cs="Times New Roman"/>
          <w:sz w:val="24"/>
          <w:szCs w:val="24"/>
        </w:rPr>
        <w:t>estimated the contribution of the blue economy to Nigeria's GDP using the expenditure approach 2010 to 2019.</w:t>
      </w:r>
      <w:r w:rsidRPr="00EA38DE">
        <w:rPr>
          <w:rFonts w:ascii="Times New Roman" w:eastAsia="Times New Roman" w:hAnsi="Times New Roman" w:cs="Times New Roman"/>
          <w:b/>
          <w:sz w:val="24"/>
          <w:szCs w:val="24"/>
        </w:rPr>
        <w:t xml:space="preserve"> </w:t>
      </w:r>
      <w:r w:rsidRPr="00EA38DE">
        <w:rPr>
          <w:rFonts w:ascii="Times New Roman" w:eastAsia="Times New Roman" w:hAnsi="Times New Roman" w:cs="Times New Roman"/>
          <w:sz w:val="24"/>
          <w:szCs w:val="24"/>
        </w:rPr>
        <w:t>Applied the expenditure approach to estimate the size of the blue economy by breaking down key sectors such as fisheries, shipping, aquaculture, and marine tourism. They used data from the National Bureau of Statistics (NBS), Ministry of Finance, and Nigerian Ports Authority (NPA).</w:t>
      </w:r>
      <w:r w:rsidRPr="00EA38DE">
        <w:rPr>
          <w:rFonts w:ascii="Times New Roman" w:eastAsia="Times New Roman" w:hAnsi="Times New Roman" w:cs="Times New Roman"/>
          <w:b/>
          <w:sz w:val="24"/>
          <w:szCs w:val="24"/>
        </w:rPr>
        <w:t xml:space="preserve"> </w:t>
      </w:r>
      <w:r w:rsidRPr="00EA38DE">
        <w:rPr>
          <w:rFonts w:ascii="Times New Roman" w:eastAsia="Times New Roman" w:hAnsi="Times New Roman" w:cs="Times New Roman"/>
          <w:sz w:val="24"/>
          <w:szCs w:val="24"/>
        </w:rPr>
        <w:t xml:space="preserve">The study found that sectors like fisheries and maritime transport </w:t>
      </w:r>
      <w:r w:rsidRPr="00EA38DE">
        <w:rPr>
          <w:rFonts w:ascii="Times New Roman" w:eastAsia="Times New Roman" w:hAnsi="Times New Roman" w:cs="Times New Roman"/>
          <w:sz w:val="24"/>
          <w:szCs w:val="24"/>
        </w:rPr>
        <w:lastRenderedPageBreak/>
        <w:t>contributed significantly to Nigeria's GDP. However, they highlighted the underreporting of household consumption related to the blue economy and stressed the need for more robust data on investment in marine infrastructure and renewable energy.</w:t>
      </w:r>
    </w:p>
    <w:p w14:paraId="297B7E39" w14:textId="121A190E"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hAnsi="Times New Roman" w:cs="Times New Roman"/>
          <w:sz w:val="24"/>
          <w:szCs w:val="24"/>
        </w:rPr>
        <w:t>World B</w:t>
      </w:r>
      <w:r w:rsidR="003C0157" w:rsidRPr="00EA38DE">
        <w:rPr>
          <w:rFonts w:ascii="Times New Roman" w:hAnsi="Times New Roman" w:cs="Times New Roman"/>
          <w:sz w:val="24"/>
          <w:szCs w:val="24"/>
        </w:rPr>
        <w:t>ank,</w:t>
      </w:r>
      <w:r w:rsidRPr="00EA38DE">
        <w:rPr>
          <w:rFonts w:ascii="Times New Roman" w:hAnsi="Times New Roman" w:cs="Times New Roman"/>
          <w:sz w:val="24"/>
          <w:szCs w:val="24"/>
        </w:rPr>
        <w:t xml:space="preserve"> (2017) report, focusing on the period 2010 to 2016, examined the state of fisheries infrastructure in Nigeria and its impact on the maritime sector. Using a comprehensive sectoral assessment methodology, which combined field surveys, infrastructure audits, and stakeholder consultations, the report identified significant deficiencies in fisheries infrastructure such as cold storage facilities, landing sites, and access roads that limit the sector’s competitiveness. These infrastructural shortcomings lead to the underutilization of shipping capacity and longer vessel turnaround times, which in turn negatively affect the profitability of shipping companies servicing the fisheries sector. The report underscores the interdependency between fisheries development and shipping industry growth, emphasizing that coordinated policy efforts and targeted investments in maritime infrastructure are essential to stimulate both sectors effectively.</w:t>
      </w:r>
    </w:p>
    <w:p w14:paraId="01A60E4D" w14:textId="6FDE991D" w:rsidR="0066005F" w:rsidRPr="00EA38DE" w:rsidRDefault="0066005F" w:rsidP="00A86755">
      <w:pPr>
        <w:spacing w:after="240" w:line="480" w:lineRule="auto"/>
        <w:jc w:val="both"/>
        <w:outlineLvl w:val="2"/>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UNCTAD</w:t>
      </w:r>
      <w:r w:rsidR="002A579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(2021</w:t>
      </w:r>
      <w:r w:rsidR="00730C46" w:rsidRPr="00EA38DE">
        <w:rPr>
          <w:rFonts w:ascii="Times New Roman" w:eastAsia="Times New Roman" w:hAnsi="Times New Roman" w:cs="Times New Roman"/>
          <w:sz w:val="24"/>
          <w:szCs w:val="24"/>
        </w:rPr>
        <w:t>) t</w:t>
      </w:r>
      <w:r w:rsidRPr="00EA38DE">
        <w:rPr>
          <w:rFonts w:ascii="Times New Roman" w:eastAsia="Times New Roman" w:hAnsi="Times New Roman" w:cs="Times New Roman"/>
          <w:sz w:val="24"/>
          <w:szCs w:val="24"/>
        </w:rPr>
        <w:t>he report covers data and case studies from 2015 to 2020, focusing on trends in maritime trade, fisheries exports, and port performance in developing coastal countries, including Nigeria. The study employed a sectoral analysis using international trade statistics, shipping throughput records, and country specific case studies. It also incorporated stakeholder consultations and comparative analysis to evaluate the integration of fisheries into maritime trade systems. Fishery exports, especially when shipped as value-added products (e.g., processed shrimp, frozen tuna), significantly boost both shipping line profitability and port performance.</w:t>
      </w:r>
    </w:p>
    <w:p w14:paraId="5A7F5F49" w14:textId="602D9E8B" w:rsidR="0066005F" w:rsidRPr="00EA38DE" w:rsidRDefault="0066005F" w:rsidP="00A86755">
      <w:pPr>
        <w:spacing w:after="240" w:line="480" w:lineRule="auto"/>
        <w:jc w:val="both"/>
        <w:rPr>
          <w:rFonts w:ascii="Times New Roman" w:hAnsi="Times New Roman" w:cs="Times New Roman"/>
          <w:b/>
          <w:bCs/>
          <w:sz w:val="24"/>
          <w:szCs w:val="24"/>
        </w:rPr>
      </w:pPr>
      <w:r w:rsidRPr="00EA38DE">
        <w:rPr>
          <w:rFonts w:ascii="Times New Roman" w:hAnsi="Times New Roman" w:cs="Times New Roman"/>
          <w:sz w:val="24"/>
          <w:szCs w:val="24"/>
        </w:rPr>
        <w:t xml:space="preserve">Usman </w:t>
      </w:r>
      <w:r w:rsidR="003C0157" w:rsidRPr="00EA38DE">
        <w:rPr>
          <w:rFonts w:ascii="Times New Roman" w:hAnsi="Times New Roman" w:cs="Times New Roman"/>
          <w:sz w:val="24"/>
          <w:szCs w:val="24"/>
        </w:rPr>
        <w:t>&amp;</w:t>
      </w:r>
      <w:r w:rsidRPr="00EA38DE">
        <w:rPr>
          <w:rFonts w:ascii="Times New Roman" w:hAnsi="Times New Roman" w:cs="Times New Roman"/>
          <w:sz w:val="24"/>
          <w:szCs w:val="24"/>
        </w:rPr>
        <w:t xml:space="preserve"> Dikko (2021)</w:t>
      </w:r>
      <w:r w:rsidR="00730C46" w:rsidRPr="00EA38DE">
        <w:rPr>
          <w:rFonts w:ascii="Times New Roman" w:hAnsi="Times New Roman" w:cs="Times New Roman"/>
          <w:sz w:val="24"/>
          <w:szCs w:val="24"/>
        </w:rPr>
        <w:t>,</w:t>
      </w:r>
      <w:r w:rsidRPr="00EA38DE">
        <w:rPr>
          <w:rFonts w:ascii="Times New Roman" w:hAnsi="Times New Roman" w:cs="Times New Roman"/>
          <w:sz w:val="24"/>
          <w:szCs w:val="24"/>
        </w:rPr>
        <w:t xml:space="preserve"> </w:t>
      </w:r>
      <w:r w:rsidR="00730C46" w:rsidRPr="00EA38DE">
        <w:rPr>
          <w:rFonts w:ascii="Times New Roman" w:hAnsi="Times New Roman" w:cs="Times New Roman"/>
          <w:sz w:val="24"/>
          <w:szCs w:val="24"/>
        </w:rPr>
        <w:t>t</w:t>
      </w:r>
      <w:r w:rsidRPr="00EA38DE">
        <w:rPr>
          <w:rFonts w:ascii="Times New Roman" w:hAnsi="Times New Roman" w:cs="Times New Roman"/>
          <w:sz w:val="24"/>
          <w:szCs w:val="24"/>
        </w:rPr>
        <w:t>he study focused on data and field research conducted between 2015 and 2020, targeting Nigeria’s fisheries export sector and its relationship with shipping logistics. Mixed-</w:t>
      </w:r>
      <w:r w:rsidRPr="00EA38DE">
        <w:rPr>
          <w:rFonts w:ascii="Times New Roman" w:hAnsi="Times New Roman" w:cs="Times New Roman"/>
          <w:sz w:val="24"/>
          <w:szCs w:val="24"/>
        </w:rPr>
        <w:lastRenderedPageBreak/>
        <w:t>methods approach, Structured interviews with stakeholders, including officials from the Nigerian Ports Authority (NPA), Nigeria Customs Service, shipping firms, and fish exporters. Econometric modeling to assess the impact of institutional factors on export efficiency and shipping firm performance. Finding revealed that, institutional weaknesses notably bureaucratic delays in customs, excessive regulatory charges, and inadequate port facilities.</w:t>
      </w:r>
    </w:p>
    <w:p w14:paraId="63776004" w14:textId="0627A4DA" w:rsidR="0066005F" w:rsidRPr="00EA38DE" w:rsidRDefault="0066005F" w:rsidP="00A86755">
      <w:pPr>
        <w:spacing w:after="24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2.5.3</w:t>
      </w:r>
      <w:r w:rsidR="00730C46" w:rsidRPr="00EA38DE">
        <w:rPr>
          <w:rFonts w:ascii="Times New Roman" w:hAnsi="Times New Roman" w:cs="Times New Roman"/>
          <w:b/>
          <w:bCs/>
          <w:sz w:val="24"/>
          <w:szCs w:val="24"/>
        </w:rPr>
        <w:tab/>
      </w:r>
      <w:r w:rsidRPr="00EA38DE">
        <w:rPr>
          <w:rFonts w:ascii="Times New Roman" w:hAnsi="Times New Roman" w:cs="Times New Roman"/>
          <w:b/>
          <w:bCs/>
          <w:sz w:val="24"/>
          <w:szCs w:val="24"/>
        </w:rPr>
        <w:t>Aquaculture and Shipping Industry Financial Performance in Nigeria</w:t>
      </w:r>
    </w:p>
    <w:p w14:paraId="75AB5F5A" w14:textId="77777777" w:rsidR="0066005F" w:rsidRPr="00EA38DE" w:rsidRDefault="0066005F" w:rsidP="00A86755">
      <w:pPr>
        <w:spacing w:after="240" w:line="480" w:lineRule="auto"/>
        <w:jc w:val="both"/>
        <w:rPr>
          <w:rFonts w:ascii="Times New Roman" w:eastAsia="Times New Roman" w:hAnsi="Times New Roman" w:cs="Times New Roman"/>
          <w:b/>
          <w:bCs/>
          <w:sz w:val="24"/>
          <w:szCs w:val="24"/>
        </w:rPr>
      </w:pPr>
      <w:bookmarkStart w:id="6" w:name="_Hlk201567375"/>
      <w:r w:rsidRPr="00EA38DE">
        <w:rPr>
          <w:rFonts w:ascii="Times New Roman" w:eastAsia="Times New Roman" w:hAnsi="Times New Roman" w:cs="Times New Roman"/>
          <w:sz w:val="24"/>
          <w:szCs w:val="24"/>
        </w:rPr>
        <w:t xml:space="preserve">Abila et al. (2021) conducted a panel data study covering the period 2010 to 2019, focusing on selected West African coastal countries namely Nigeria, Ghana, and Senegal. The study employed panel regression techniques to analyze the relationship between aquaculture growth and the performance of maritime and port service providers. Their findings confirmed that expansion in aquaculture significantly increases port activity and raises demand for specialized maritime services, particularly refrigerated shipping (reefer containers) and cold-chain logistics infrastructure. However, the study also noted that the financial gains for shipping firms engaged in aquaculture-related logistics are vulnerable to trade disruptions, substandard port infrastructure, and exchange rate volatility. </w:t>
      </w:r>
    </w:p>
    <w:p w14:paraId="4A760119" w14:textId="77777777" w:rsidR="0066005F" w:rsidRPr="00EA38DE" w:rsidRDefault="0066005F" w:rsidP="00A86755">
      <w:pPr>
        <w:pStyle w:val="NormalWeb"/>
        <w:spacing w:before="0" w:beforeAutospacing="0" w:after="240" w:afterAutospacing="0" w:line="480" w:lineRule="auto"/>
        <w:jc w:val="both"/>
      </w:pPr>
      <w:r w:rsidRPr="00EA38DE">
        <w:rPr>
          <w:rStyle w:val="Strong"/>
          <w:b w:val="0"/>
          <w:bCs w:val="0"/>
        </w:rPr>
        <w:t>Adebayo (2021)</w:t>
      </w:r>
      <w:r w:rsidRPr="00EA38DE">
        <w:t xml:space="preserve"> examined the impact of </w:t>
      </w:r>
      <w:r w:rsidRPr="00EA38DE">
        <w:rPr>
          <w:rStyle w:val="Strong"/>
          <w:b w:val="0"/>
          <w:bCs w:val="0"/>
        </w:rPr>
        <w:t>naira depreciation</w:t>
      </w:r>
      <w:r w:rsidRPr="00EA38DE">
        <w:t xml:space="preserve"> on the aquaculture sector and related shipping operations in Nigeria, covering the period </w:t>
      </w:r>
      <w:r w:rsidRPr="00EA38DE">
        <w:rPr>
          <w:rStyle w:val="Strong"/>
          <w:b w:val="0"/>
          <w:bCs w:val="0"/>
        </w:rPr>
        <w:t>2010 to 2020</w:t>
      </w:r>
      <w:r w:rsidRPr="00EA38DE">
        <w:t xml:space="preserve">. The study employed advanced econometric models, notably the </w:t>
      </w:r>
      <w:r w:rsidRPr="00EA38DE">
        <w:rPr>
          <w:rStyle w:val="Strong"/>
          <w:b w:val="0"/>
          <w:bCs w:val="0"/>
        </w:rPr>
        <w:t>Generalized Autoregressive Conditional Heteroskedasticity (GARCH)</w:t>
      </w:r>
      <w:r w:rsidRPr="00EA38DE">
        <w:t xml:space="preserve"> model and </w:t>
      </w:r>
      <w:r w:rsidRPr="00EA38DE">
        <w:rPr>
          <w:rStyle w:val="Strong"/>
          <w:b w:val="0"/>
          <w:bCs w:val="0"/>
        </w:rPr>
        <w:t>Structural Vector Autoregression (SVAR)</w:t>
      </w:r>
      <w:r w:rsidRPr="00EA38DE">
        <w:t xml:space="preserve"> techniques, to capture volatility dynamics and causal relationships. The results indicate that persistent </w:t>
      </w:r>
      <w:r w:rsidRPr="00EA38DE">
        <w:rPr>
          <w:rStyle w:val="Strong"/>
          <w:b w:val="0"/>
          <w:bCs w:val="0"/>
        </w:rPr>
        <w:t>naira depreciation</w:t>
      </w:r>
      <w:r w:rsidRPr="00EA38DE">
        <w:t xml:space="preserve"> significantly raises </w:t>
      </w:r>
      <w:r w:rsidRPr="00EA38DE">
        <w:rPr>
          <w:rStyle w:val="Strong"/>
          <w:b w:val="0"/>
          <w:bCs w:val="0"/>
        </w:rPr>
        <w:t>production</w:t>
      </w:r>
      <w:r w:rsidRPr="00EA38DE">
        <w:rPr>
          <w:rStyle w:val="Strong"/>
        </w:rPr>
        <w:t xml:space="preserve"> </w:t>
      </w:r>
      <w:r w:rsidRPr="00EA38DE">
        <w:rPr>
          <w:rStyle w:val="Strong"/>
          <w:b w:val="0"/>
        </w:rPr>
        <w:t>costs</w:t>
      </w:r>
      <w:r w:rsidRPr="00EA38DE">
        <w:t xml:space="preserve"> for aquaculture firms by increasing the landed costs of imported inputs such as fish feed, equipment, and packaging materials.</w:t>
      </w:r>
    </w:p>
    <w:p w14:paraId="2C14EA3C" w14:textId="0A50E811"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Style w:val="Strong"/>
          <w:rFonts w:ascii="Times New Roman" w:hAnsi="Times New Roman" w:cs="Times New Roman"/>
          <w:b w:val="0"/>
          <w:bCs w:val="0"/>
          <w:sz w:val="24"/>
          <w:szCs w:val="24"/>
        </w:rPr>
        <w:lastRenderedPageBreak/>
        <w:t xml:space="preserve">Adekunle </w:t>
      </w:r>
      <w:r w:rsidR="003C0157"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Eyo</w:t>
      </w:r>
      <w:r w:rsidRPr="00EA38DE">
        <w:rPr>
          <w:rStyle w:val="Strong"/>
          <w:rFonts w:ascii="Times New Roman" w:hAnsi="Times New Roman" w:cs="Times New Roman"/>
          <w:sz w:val="24"/>
          <w:szCs w:val="24"/>
        </w:rPr>
        <w:t xml:space="preserve"> </w:t>
      </w:r>
      <w:r w:rsidRPr="00EA38DE">
        <w:rPr>
          <w:rStyle w:val="Strong"/>
          <w:rFonts w:ascii="Times New Roman" w:hAnsi="Times New Roman" w:cs="Times New Roman"/>
          <w:b w:val="0"/>
          <w:bCs w:val="0"/>
          <w:sz w:val="24"/>
          <w:szCs w:val="24"/>
        </w:rPr>
        <w:t>(2022)</w:t>
      </w:r>
      <w:r w:rsidRPr="00EA38DE">
        <w:rPr>
          <w:rFonts w:ascii="Times New Roman" w:hAnsi="Times New Roman" w:cs="Times New Roman"/>
          <w:sz w:val="24"/>
          <w:szCs w:val="24"/>
        </w:rPr>
        <w:t xml:space="preserve"> employed time-series econometric modeling to investigate the influence of aquaculture output fluctuations on the net income of Nigerian shipping firms over the period </w:t>
      </w:r>
      <w:r w:rsidRPr="00EA38DE">
        <w:rPr>
          <w:rStyle w:val="Strong"/>
          <w:rFonts w:ascii="Times New Roman" w:hAnsi="Times New Roman" w:cs="Times New Roman"/>
          <w:b w:val="0"/>
          <w:bCs w:val="0"/>
          <w:sz w:val="24"/>
          <w:szCs w:val="24"/>
        </w:rPr>
        <w:t>2008 to 2020</w:t>
      </w:r>
      <w:r w:rsidRPr="00EA38DE">
        <w:rPr>
          <w:rFonts w:ascii="Times New Roman" w:hAnsi="Times New Roman" w:cs="Times New Roman"/>
          <w:sz w:val="24"/>
          <w:szCs w:val="24"/>
        </w:rPr>
        <w:t xml:space="preserve">. Using methods such as the </w:t>
      </w:r>
      <w:r w:rsidRPr="00EA38DE">
        <w:rPr>
          <w:rStyle w:val="Strong"/>
          <w:rFonts w:ascii="Times New Roman" w:hAnsi="Times New Roman" w:cs="Times New Roman"/>
          <w:b w:val="0"/>
          <w:bCs w:val="0"/>
          <w:sz w:val="24"/>
          <w:szCs w:val="24"/>
        </w:rPr>
        <w:t>Vector Error Correction Model (VECM)</w:t>
      </w:r>
      <w:r w:rsidRPr="00EA38DE">
        <w:rPr>
          <w:rFonts w:ascii="Times New Roman" w:hAnsi="Times New Roman" w:cs="Times New Roman"/>
          <w:b/>
          <w:bCs/>
          <w:sz w:val="24"/>
          <w:szCs w:val="24"/>
        </w:rPr>
        <w:t>,</w:t>
      </w:r>
      <w:r w:rsidRPr="00EA38DE">
        <w:rPr>
          <w:rFonts w:ascii="Times New Roman" w:hAnsi="Times New Roman" w:cs="Times New Roman"/>
          <w:sz w:val="24"/>
          <w:szCs w:val="24"/>
        </w:rPr>
        <w:t xml:space="preserve"> the study identified a </w:t>
      </w:r>
      <w:r w:rsidRPr="00EA38DE">
        <w:rPr>
          <w:rStyle w:val="Strong"/>
          <w:rFonts w:ascii="Times New Roman" w:hAnsi="Times New Roman" w:cs="Times New Roman"/>
          <w:b w:val="0"/>
          <w:bCs w:val="0"/>
          <w:sz w:val="24"/>
          <w:szCs w:val="24"/>
        </w:rPr>
        <w:t>long-run equilibrium relationship</w:t>
      </w:r>
      <w:r w:rsidRPr="00EA38DE">
        <w:rPr>
          <w:rFonts w:ascii="Times New Roman" w:hAnsi="Times New Roman" w:cs="Times New Roman"/>
          <w:sz w:val="24"/>
          <w:szCs w:val="24"/>
        </w:rPr>
        <w:t xml:space="preserve"> between aquaculture growth and shipping firm profitability, demonstrating that sustained expansion in aquaculture positively impacts the financial performance of shipping companies. However, the study also revealed that </w:t>
      </w:r>
      <w:r w:rsidRPr="00EA38DE">
        <w:rPr>
          <w:rStyle w:val="Strong"/>
          <w:rFonts w:ascii="Times New Roman" w:hAnsi="Times New Roman" w:cs="Times New Roman"/>
          <w:b w:val="0"/>
          <w:bCs w:val="0"/>
          <w:sz w:val="24"/>
          <w:szCs w:val="24"/>
        </w:rPr>
        <w:t>short-run dynamics</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 xml:space="preserve">are adversely affected by external shocks including </w:t>
      </w:r>
      <w:r w:rsidRPr="00EA38DE">
        <w:rPr>
          <w:rStyle w:val="Strong"/>
          <w:rFonts w:ascii="Times New Roman" w:hAnsi="Times New Roman" w:cs="Times New Roman"/>
          <w:b w:val="0"/>
          <w:bCs w:val="0"/>
          <w:sz w:val="24"/>
          <w:szCs w:val="24"/>
        </w:rPr>
        <w:t>fuel price volatility</w:t>
      </w:r>
      <w:r w:rsidRPr="00EA38DE">
        <w:rPr>
          <w:rFonts w:ascii="Times New Roman" w:hAnsi="Times New Roman" w:cs="Times New Roman"/>
          <w:b/>
          <w:bCs/>
          <w:sz w:val="24"/>
          <w:szCs w:val="24"/>
        </w:rPr>
        <w:t xml:space="preserve">, </w:t>
      </w:r>
      <w:r w:rsidRPr="00EA38DE">
        <w:rPr>
          <w:rStyle w:val="Strong"/>
          <w:rFonts w:ascii="Times New Roman" w:hAnsi="Times New Roman" w:cs="Times New Roman"/>
          <w:b w:val="0"/>
          <w:bCs w:val="0"/>
          <w:sz w:val="24"/>
          <w:szCs w:val="24"/>
        </w:rPr>
        <w:t>exchange rate instability</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and</w:t>
      </w:r>
      <w:r w:rsidRPr="00EA38DE">
        <w:rPr>
          <w:rFonts w:ascii="Times New Roman" w:hAnsi="Times New Roman" w:cs="Times New Roman"/>
          <w:b/>
          <w:bCs/>
          <w:sz w:val="24"/>
          <w:szCs w:val="24"/>
        </w:rPr>
        <w:t xml:space="preserve"> </w:t>
      </w:r>
      <w:r w:rsidRPr="00EA38DE">
        <w:rPr>
          <w:rStyle w:val="Strong"/>
          <w:rFonts w:ascii="Times New Roman" w:hAnsi="Times New Roman" w:cs="Times New Roman"/>
          <w:b w:val="0"/>
          <w:bCs w:val="0"/>
          <w:sz w:val="24"/>
          <w:szCs w:val="24"/>
        </w:rPr>
        <w:t>poor logistics coordination at seaports</w:t>
      </w:r>
      <w:r w:rsidRPr="00EA38DE">
        <w:rPr>
          <w:rFonts w:ascii="Times New Roman" w:hAnsi="Times New Roman" w:cs="Times New Roman"/>
          <w:sz w:val="24"/>
          <w:szCs w:val="24"/>
        </w:rPr>
        <w:t>, which collectively hamper immediate profitability and operational efficiency.</w:t>
      </w:r>
    </w:p>
    <w:p w14:paraId="396AC495" w14:textId="77777777" w:rsidR="0066005F" w:rsidRPr="00EA38DE" w:rsidRDefault="0066005F" w:rsidP="00A86755">
      <w:pPr>
        <w:spacing w:after="240" w:line="480" w:lineRule="auto"/>
        <w:jc w:val="both"/>
        <w:rPr>
          <w:rFonts w:ascii="Times New Roman" w:hAnsi="Times New Roman" w:cs="Times New Roman"/>
          <w:sz w:val="24"/>
          <w:szCs w:val="24"/>
        </w:rPr>
      </w:pPr>
      <w:r w:rsidRPr="00EA38DE">
        <w:rPr>
          <w:rFonts w:ascii="Times New Roman" w:eastAsia="Times New Roman" w:hAnsi="Times New Roman" w:cs="Times New Roman"/>
          <w:sz w:val="24"/>
          <w:szCs w:val="24"/>
        </w:rPr>
        <w:t>Adewumi et al. (2023) conducted a comprehensive survey-based study from 2018 to 2022 examining Nigeria’s port infrastructure capabilities in relation to aquaculture logistics. Using structured questionnaires and interviews with port officials, shipping companies, and aquaculture exporters, the study assessed infrastructure adequacy, customs efficiency, and tariff structures. Their findings reveal that Nigerian ports are inadequately equipped to meet the specialized logistics needs of aquaculture products, particularly regarding cold storage facilities and rapid customs clearance processes</w:t>
      </w:r>
      <w:r w:rsidRPr="00EA38DE">
        <w:rPr>
          <w:rFonts w:ascii="Times New Roman" w:hAnsi="Times New Roman" w:cs="Times New Roman"/>
          <w:sz w:val="24"/>
          <w:szCs w:val="24"/>
        </w:rPr>
        <w:t xml:space="preserve"> and </w:t>
      </w:r>
      <w:r w:rsidRPr="00EA38DE">
        <w:rPr>
          <w:rFonts w:ascii="Times New Roman" w:eastAsia="Times New Roman" w:hAnsi="Times New Roman" w:cs="Times New Roman"/>
          <w:sz w:val="24"/>
          <w:szCs w:val="24"/>
        </w:rPr>
        <w:t xml:space="preserve">maritime shipping. </w:t>
      </w:r>
    </w:p>
    <w:p w14:paraId="5004583A" w14:textId="4FB57D8C" w:rsidR="0066005F" w:rsidRPr="00EA38DE" w:rsidRDefault="0066005F" w:rsidP="00A86755">
      <w:pPr>
        <w:spacing w:after="240" w:line="480" w:lineRule="auto"/>
        <w:jc w:val="both"/>
        <w:rPr>
          <w:rFonts w:ascii="Times New Roman" w:hAnsi="Times New Roman" w:cs="Times New Roman"/>
          <w:sz w:val="24"/>
          <w:szCs w:val="24"/>
        </w:rPr>
      </w:pPr>
      <w:r w:rsidRPr="00EA38DE">
        <w:rPr>
          <w:rStyle w:val="Strong"/>
          <w:rFonts w:ascii="Times New Roman" w:hAnsi="Times New Roman" w:cs="Times New Roman"/>
          <w:b w:val="0"/>
          <w:bCs w:val="0"/>
          <w:sz w:val="24"/>
          <w:szCs w:val="24"/>
        </w:rPr>
        <w:t xml:space="preserve">Chukwu </w:t>
      </w:r>
      <w:r w:rsidR="003C0157"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Adebayo (2021</w:t>
      </w:r>
      <w:r w:rsidRPr="00EA38DE">
        <w:rPr>
          <w:rStyle w:val="Strong"/>
          <w:rFonts w:ascii="Times New Roman" w:hAnsi="Times New Roman" w:cs="Times New Roman"/>
          <w:sz w:val="24"/>
          <w:szCs w:val="24"/>
        </w:rPr>
        <w:t>)</w:t>
      </w:r>
      <w:r w:rsidRPr="00EA38DE">
        <w:rPr>
          <w:rFonts w:ascii="Times New Roman" w:hAnsi="Times New Roman" w:cs="Times New Roman"/>
          <w:sz w:val="24"/>
          <w:szCs w:val="24"/>
        </w:rPr>
        <w:t xml:space="preserve"> examined the </w:t>
      </w:r>
      <w:r w:rsidRPr="00EA38DE">
        <w:rPr>
          <w:rStyle w:val="Strong"/>
          <w:rFonts w:ascii="Times New Roman" w:hAnsi="Times New Roman" w:cs="Times New Roman"/>
          <w:b w:val="0"/>
          <w:bCs w:val="0"/>
          <w:sz w:val="24"/>
          <w:szCs w:val="24"/>
        </w:rPr>
        <w:t>sensitivity of Nigeria’s aquaculture exports to exchange rate policies</w:t>
      </w:r>
      <w:r w:rsidRPr="00EA38DE">
        <w:rPr>
          <w:rFonts w:ascii="Times New Roman" w:hAnsi="Times New Roman" w:cs="Times New Roman"/>
          <w:sz w:val="24"/>
          <w:szCs w:val="24"/>
        </w:rPr>
        <w:t xml:space="preserve">, covering a study period from </w:t>
      </w:r>
      <w:r w:rsidRPr="00EA38DE">
        <w:rPr>
          <w:rStyle w:val="Strong"/>
          <w:rFonts w:ascii="Times New Roman" w:hAnsi="Times New Roman" w:cs="Times New Roman"/>
          <w:b w:val="0"/>
          <w:bCs w:val="0"/>
          <w:sz w:val="24"/>
          <w:szCs w:val="24"/>
        </w:rPr>
        <w:t>2005 to 2020</w:t>
      </w:r>
      <w:r w:rsidRPr="00EA38DE">
        <w:rPr>
          <w:rFonts w:ascii="Times New Roman" w:hAnsi="Times New Roman" w:cs="Times New Roman"/>
          <w:sz w:val="24"/>
          <w:szCs w:val="24"/>
        </w:rPr>
        <w:t xml:space="preserve">. Using a </w:t>
      </w:r>
      <w:r w:rsidRPr="00EA38DE">
        <w:rPr>
          <w:rStyle w:val="Strong"/>
          <w:rFonts w:ascii="Times New Roman" w:hAnsi="Times New Roman" w:cs="Times New Roman"/>
          <w:b w:val="0"/>
          <w:bCs w:val="0"/>
          <w:sz w:val="24"/>
          <w:szCs w:val="24"/>
        </w:rPr>
        <w:t>Structural Vector Autoregression (SVAR) model</w:t>
      </w:r>
      <w:r w:rsidRPr="00EA38DE">
        <w:rPr>
          <w:rFonts w:ascii="Times New Roman" w:hAnsi="Times New Roman" w:cs="Times New Roman"/>
          <w:sz w:val="24"/>
          <w:szCs w:val="24"/>
        </w:rPr>
        <w:t xml:space="preserve">, the researchers evaluated the dynamic response of aquaculture export performance to changes in the naira’s exchange rate, focusing particularly on the sector’s cost structure and international competitiveness. </w:t>
      </w:r>
      <w:r w:rsidRPr="00EA38DE">
        <w:rPr>
          <w:rFonts w:ascii="Times New Roman" w:eastAsia="Times New Roman" w:hAnsi="Times New Roman" w:cs="Times New Roman"/>
          <w:sz w:val="24"/>
          <w:szCs w:val="24"/>
        </w:rPr>
        <w:t>Their study recommended macroeconomic policies aimed at exchange rate stability to promote sustainable aquaculture exports and, by extension, shipping industry growth through increased cargo demand.</w:t>
      </w:r>
    </w:p>
    <w:p w14:paraId="51B98994" w14:textId="5CBDC509"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Chukwu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Ibrahim (2019) conducted a mixed-methods study covering the period 2013 to 2018, focusing on aquaculture clusters in the Niger Delta and Lagos regions of Nigeria. The study combined quantitative data analysis (production and export figures, logistics cost data) with qualitative interviews involving commercial fish farmers, shipping agents, and port officials. The research found that as aquaculture becomes more commercialized, fish farmers increasingly rely on maritime logistics for both domestic distribution and international export, especially of frozen fish. However, the study revealed the rising input costs reduce the profitability of aquaculture enterprises, which in turn leads to lower export volumes and domestic cargo movement, ultimately impacting the financial performance of shipping companies servicing the aquaculture sector.</w:t>
      </w:r>
    </w:p>
    <w:p w14:paraId="55DFCACE" w14:textId="4189E2BB"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Eze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Ugochukwu (2021) conducted an econometric study to assess the impact of aquaculture exports on port revenue generation in Nigeria, spanning the period from 2008 to 2019. The research employed cointegration analysis to explore the long-term relationship between aquaculture export volumes, demand for specialized refrigerated shipping services, and port handling operations. Their findings indicated a positive contribution of aquaculture exports to port revenues, although the scale of this impact was smaller compared to traditional marine fisheries. The study showed that as aquaculture exports expand, there is a growing need for reefer vessels, cold storage infrastructure, and efficient customs processing facilities at key Nigerian ports.</w:t>
      </w:r>
    </w:p>
    <w:p w14:paraId="05742B17" w14:textId="0B43C9FB"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Okonkwo </w:t>
      </w:r>
      <w:r w:rsidR="003C0157"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Ifediora (2020) have empirically assessed the impact of aquaculture input imports on shipping demand. Using </w:t>
      </w:r>
      <w:r w:rsidR="00A45497" w:rsidRPr="00EA38DE">
        <w:rPr>
          <w:rFonts w:ascii="Times New Roman" w:eastAsia="Times New Roman" w:hAnsi="Times New Roman" w:cs="Times New Roman"/>
          <w:sz w:val="24"/>
          <w:szCs w:val="24"/>
        </w:rPr>
        <w:t>t</w:t>
      </w:r>
      <w:r w:rsidRPr="00EA38DE">
        <w:rPr>
          <w:rFonts w:ascii="Times New Roman" w:eastAsia="Times New Roman" w:hAnsi="Times New Roman" w:cs="Times New Roman"/>
          <w:sz w:val="24"/>
          <w:szCs w:val="24"/>
        </w:rPr>
        <w:t xml:space="preserve">he study employed a GARCH model to estimate volatility and time-series trade data from 2005 to 2020, they found that increases in aquaculture input imports are significantly correlated with higher container traffic at Nigerian seaports. The study employed regression analysis to show that a 10% increase in imported aquaculture inputs corresponds with </w:t>
      </w:r>
      <w:r w:rsidRPr="00EA38DE">
        <w:rPr>
          <w:rFonts w:ascii="Times New Roman" w:eastAsia="Times New Roman" w:hAnsi="Times New Roman" w:cs="Times New Roman"/>
          <w:sz w:val="24"/>
          <w:szCs w:val="24"/>
        </w:rPr>
        <w:lastRenderedPageBreak/>
        <w:t>a 3.5% increase in container throughput, emphasizing aquaculture’s role as a driver of maritime cargo demand.</w:t>
      </w:r>
    </w:p>
    <w:p w14:paraId="54A5B432" w14:textId="688092CB" w:rsidR="0066005F" w:rsidRPr="00EA38DE" w:rsidRDefault="0066005F" w:rsidP="00A86755">
      <w:pPr>
        <w:pStyle w:val="NormalWeb"/>
        <w:spacing w:before="0" w:beforeAutospacing="0" w:after="240" w:afterAutospacing="0" w:line="480" w:lineRule="auto"/>
        <w:jc w:val="both"/>
        <w:rPr>
          <w:b/>
          <w:bCs/>
        </w:rPr>
      </w:pPr>
      <w:r w:rsidRPr="00EA38DE">
        <w:rPr>
          <w:rStyle w:val="Strong"/>
          <w:b w:val="0"/>
          <w:bCs w:val="0"/>
        </w:rPr>
        <w:t xml:space="preserve">Okoye </w:t>
      </w:r>
      <w:r w:rsidR="003C0157" w:rsidRPr="00EA38DE">
        <w:rPr>
          <w:rStyle w:val="Strong"/>
          <w:b w:val="0"/>
          <w:bCs w:val="0"/>
        </w:rPr>
        <w:t>&amp;</w:t>
      </w:r>
      <w:r w:rsidRPr="00EA38DE">
        <w:rPr>
          <w:rStyle w:val="Strong"/>
          <w:b w:val="0"/>
          <w:bCs w:val="0"/>
        </w:rPr>
        <w:t xml:space="preserve"> Ojo (2023)</w:t>
      </w:r>
      <w:r w:rsidRPr="00EA38DE">
        <w:t xml:space="preserve"> investigated the influence of </w:t>
      </w:r>
      <w:r w:rsidRPr="00EA38DE">
        <w:rPr>
          <w:rStyle w:val="Strong"/>
          <w:b w:val="0"/>
          <w:bCs w:val="0"/>
        </w:rPr>
        <w:t>public and private investments in aquaculture infrastructure</w:t>
      </w:r>
      <w:r w:rsidRPr="00EA38DE">
        <w:t xml:space="preserve"> on </w:t>
      </w:r>
      <w:r w:rsidRPr="00EA38DE">
        <w:rPr>
          <w:rStyle w:val="Strong"/>
          <w:b w:val="0"/>
          <w:bCs w:val="0"/>
        </w:rPr>
        <w:t>shipping demand</w:t>
      </w:r>
      <w:r w:rsidRPr="00EA38DE">
        <w:t xml:space="preserve"> in Nigeria, using a </w:t>
      </w:r>
      <w:r w:rsidRPr="00EA38DE">
        <w:rPr>
          <w:rStyle w:val="Strong"/>
          <w:b w:val="0"/>
          <w:bCs w:val="0"/>
        </w:rPr>
        <w:t>time-series dataset from 2010 to 2022</w:t>
      </w:r>
      <w:r w:rsidRPr="00EA38DE">
        <w:t xml:space="preserve">. They applied </w:t>
      </w:r>
      <w:r w:rsidRPr="00EA38DE">
        <w:rPr>
          <w:rStyle w:val="Strong"/>
          <w:b w:val="0"/>
          <w:bCs w:val="0"/>
        </w:rPr>
        <w:t>econometric modeling techniques</w:t>
      </w:r>
      <w:r w:rsidRPr="00EA38DE">
        <w:t xml:space="preserve">, specifically </w:t>
      </w:r>
      <w:r w:rsidRPr="00EA38DE">
        <w:rPr>
          <w:rStyle w:val="Strong"/>
          <w:b w:val="0"/>
          <w:bCs w:val="0"/>
        </w:rPr>
        <w:t>autoregressive distributed lag (ARDL) models</w:t>
      </w:r>
      <w:r w:rsidRPr="00EA38DE">
        <w:rPr>
          <w:b/>
          <w:bCs/>
        </w:rPr>
        <w:t xml:space="preserve">, </w:t>
      </w:r>
      <w:r w:rsidRPr="00EA38DE">
        <w:t xml:space="preserve">to examine the relationship between aquaculture infrastructure spending and containerized shipping volumes at Nigerian seaports. The study found that a </w:t>
      </w:r>
      <w:r w:rsidRPr="00EA38DE">
        <w:rPr>
          <w:rStyle w:val="Strong"/>
          <w:b w:val="0"/>
          <w:bCs w:val="0"/>
        </w:rPr>
        <w:t>1% increase in aquaculture infrastructure investment</w:t>
      </w:r>
      <w:r w:rsidRPr="00EA38DE">
        <w:t xml:space="preserve"> is associated with a </w:t>
      </w:r>
      <w:r w:rsidRPr="00EA38DE">
        <w:rPr>
          <w:rStyle w:val="Strong"/>
          <w:b w:val="0"/>
          <w:bCs w:val="0"/>
        </w:rPr>
        <w:t>0.7% rise in containerized shipping volumes</w:t>
      </w:r>
      <w:r w:rsidRPr="00B77648">
        <w:rPr>
          <w:bCs/>
        </w:rPr>
        <w:t>.</w:t>
      </w:r>
    </w:p>
    <w:p w14:paraId="73FECDC2" w14:textId="420CE6F8" w:rsidR="0066005F" w:rsidRPr="00EA38DE" w:rsidRDefault="0066005F" w:rsidP="00A86755">
      <w:pPr>
        <w:spacing w:after="240" w:line="480" w:lineRule="auto"/>
        <w:jc w:val="both"/>
        <w:rPr>
          <w:rFonts w:ascii="Times New Roman" w:hAnsi="Times New Roman" w:cs="Times New Roman"/>
          <w:sz w:val="24"/>
          <w:szCs w:val="24"/>
        </w:rPr>
      </w:pPr>
      <w:r w:rsidRPr="00EA38DE">
        <w:rPr>
          <w:rStyle w:val="Strong"/>
          <w:rFonts w:ascii="Times New Roman" w:hAnsi="Times New Roman" w:cs="Times New Roman"/>
          <w:b w:val="0"/>
          <w:bCs w:val="0"/>
          <w:sz w:val="24"/>
          <w:szCs w:val="24"/>
        </w:rPr>
        <w:t xml:space="preserve">Onuoha </w:t>
      </w:r>
      <w:r w:rsidR="003C0157"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Okonkwo (2018)</w:t>
      </w:r>
      <w:r w:rsidRPr="00EA38DE">
        <w:rPr>
          <w:rFonts w:ascii="Times New Roman" w:hAnsi="Times New Roman" w:cs="Times New Roman"/>
          <w:sz w:val="24"/>
          <w:szCs w:val="24"/>
        </w:rPr>
        <w:t xml:space="preserve"> investigated the relationship between aquaculture output and maritime logistics efficiency in Nigeria, analyzing data from </w:t>
      </w:r>
      <w:r w:rsidRPr="00EA38DE">
        <w:rPr>
          <w:rStyle w:val="Strong"/>
          <w:rFonts w:ascii="Times New Roman" w:hAnsi="Times New Roman" w:cs="Times New Roman"/>
          <w:b w:val="0"/>
          <w:bCs w:val="0"/>
          <w:sz w:val="24"/>
          <w:szCs w:val="24"/>
        </w:rPr>
        <w:t>2010 to 2016</w:t>
      </w:r>
      <w:r w:rsidRPr="00EA38DE">
        <w:rPr>
          <w:rFonts w:ascii="Times New Roman" w:hAnsi="Times New Roman" w:cs="Times New Roman"/>
          <w:sz w:val="24"/>
          <w:szCs w:val="24"/>
        </w:rPr>
        <w:t xml:space="preserve">. Utilizing </w:t>
      </w:r>
      <w:r w:rsidRPr="00EA38DE">
        <w:rPr>
          <w:rStyle w:val="Strong"/>
          <w:rFonts w:ascii="Times New Roman" w:hAnsi="Times New Roman" w:cs="Times New Roman"/>
          <w:b w:val="0"/>
          <w:bCs w:val="0"/>
          <w:sz w:val="24"/>
          <w:szCs w:val="24"/>
        </w:rPr>
        <w:t>multiple regression analysis</w:t>
      </w:r>
      <w:r w:rsidRPr="00EA38DE">
        <w:rPr>
          <w:rFonts w:ascii="Times New Roman" w:hAnsi="Times New Roman" w:cs="Times New Roman"/>
          <w:b/>
          <w:bCs/>
          <w:sz w:val="24"/>
          <w:szCs w:val="24"/>
        </w:rPr>
        <w:t>,</w:t>
      </w:r>
      <w:r w:rsidRPr="00EA38DE">
        <w:rPr>
          <w:rFonts w:ascii="Times New Roman" w:hAnsi="Times New Roman" w:cs="Times New Roman"/>
          <w:sz w:val="24"/>
          <w:szCs w:val="24"/>
        </w:rPr>
        <w:t xml:space="preserve"> the study examined the correlation between aquaculture production volumes and the profitability of logistics companies, particularly shipping firms engaged in refrigerated transport and container services. Their findings revealed a statistically significant positive relationship, indicating that higher aquaculture output corresponds with increased profitability in maritime logistics. The authors concluded that improving cold chain logistics within the maritime sector could enhance both the financial performance of aquaculture enterprises and the revenue streams of shipping companies.</w:t>
      </w:r>
    </w:p>
    <w:p w14:paraId="11288563" w14:textId="0205BD82" w:rsidR="0066005F" w:rsidRPr="00EA38DE" w:rsidRDefault="0066005F" w:rsidP="00A86755">
      <w:pPr>
        <w:pStyle w:val="NormalWeb"/>
        <w:spacing w:before="0" w:beforeAutospacing="0" w:after="240" w:afterAutospacing="0" w:line="480" w:lineRule="auto"/>
        <w:jc w:val="both"/>
      </w:pPr>
      <w:r w:rsidRPr="00EA38DE">
        <w:rPr>
          <w:rStyle w:val="Strong"/>
          <w:b w:val="0"/>
          <w:bCs w:val="0"/>
        </w:rPr>
        <w:t xml:space="preserve">Salami </w:t>
      </w:r>
      <w:r w:rsidR="00304346" w:rsidRPr="00EA38DE">
        <w:rPr>
          <w:rStyle w:val="Strong"/>
          <w:b w:val="0"/>
          <w:bCs w:val="0"/>
        </w:rPr>
        <w:t>&amp;</w:t>
      </w:r>
      <w:r w:rsidRPr="00EA38DE">
        <w:rPr>
          <w:rStyle w:val="Strong"/>
          <w:b w:val="0"/>
          <w:bCs w:val="0"/>
        </w:rPr>
        <w:t xml:space="preserve"> Ibrahim (2022)</w:t>
      </w:r>
      <w:r w:rsidRPr="00EA38DE">
        <w:t xml:space="preserve"> conducted a cross-sectional survey between </w:t>
      </w:r>
      <w:r w:rsidRPr="00EA38DE">
        <w:rPr>
          <w:rStyle w:val="Strong"/>
          <w:b w:val="0"/>
          <w:bCs w:val="0"/>
        </w:rPr>
        <w:t>January and December 2021</w:t>
      </w:r>
      <w:r w:rsidRPr="00EA38DE">
        <w:t xml:space="preserve"> involving </w:t>
      </w:r>
      <w:r w:rsidRPr="00EA38DE">
        <w:rPr>
          <w:rStyle w:val="Strong"/>
          <w:b w:val="0"/>
          <w:bCs w:val="0"/>
        </w:rPr>
        <w:t>150 aquaculture enterprises</w:t>
      </w:r>
      <w:r w:rsidRPr="00EA38DE">
        <w:t xml:space="preserve"> located in Lagos and Rivers states. The study examined the impact of adopting modern aquaculture technologies such as automated feeding systems, water quality sensors, and solar-powered cold storage on production efficiency and maritime logistics demand. Finding showed that despite these benefits, the study highlighted that </w:t>
      </w:r>
      <w:r w:rsidRPr="00EA38DE">
        <w:rPr>
          <w:rStyle w:val="Strong"/>
          <w:b w:val="0"/>
          <w:bCs w:val="0"/>
        </w:rPr>
        <w:t xml:space="preserve">high foreign </w:t>
      </w:r>
      <w:r w:rsidRPr="00EA38DE">
        <w:rPr>
          <w:rStyle w:val="Strong"/>
          <w:b w:val="0"/>
          <w:bCs w:val="0"/>
        </w:rPr>
        <w:lastRenderedPageBreak/>
        <w:t>exchange</w:t>
      </w:r>
      <w:r w:rsidRPr="00EA38DE">
        <w:rPr>
          <w:rStyle w:val="Strong"/>
        </w:rPr>
        <w:t xml:space="preserve"> </w:t>
      </w:r>
      <w:r w:rsidRPr="00EA38DE">
        <w:rPr>
          <w:rStyle w:val="Strong"/>
          <w:b w:val="0"/>
        </w:rPr>
        <w:t>costs</w:t>
      </w:r>
      <w:r w:rsidRPr="00EA38DE">
        <w:t xml:space="preserve"> for importing technology components significantly limited the scale and speed of technology adoption in Nigeria’s maritime sector.</w:t>
      </w:r>
    </w:p>
    <w:p w14:paraId="5A91EED2" w14:textId="52373636" w:rsidR="0066005F" w:rsidRPr="00EA38DE" w:rsidRDefault="0066005F" w:rsidP="00A86755">
      <w:pPr>
        <w:spacing w:after="240" w:line="480" w:lineRule="auto"/>
        <w:jc w:val="both"/>
        <w:rPr>
          <w:rFonts w:ascii="Times New Roman" w:hAnsi="Times New Roman" w:cs="Times New Roman"/>
          <w:sz w:val="24"/>
          <w:szCs w:val="24"/>
        </w:rPr>
      </w:pPr>
      <w:r w:rsidRPr="00EA38DE">
        <w:rPr>
          <w:rStyle w:val="Strong"/>
          <w:rFonts w:ascii="Times New Roman" w:hAnsi="Times New Roman" w:cs="Times New Roman"/>
          <w:b w:val="0"/>
          <w:bCs w:val="0"/>
          <w:sz w:val="24"/>
          <w:szCs w:val="24"/>
        </w:rPr>
        <w:t xml:space="preserve">Food </w:t>
      </w:r>
      <w:r w:rsidR="00304346"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Agriculture Organization (FAO, 2020)</w:t>
      </w:r>
      <w:r w:rsidRPr="00EA38DE">
        <w:rPr>
          <w:rFonts w:ascii="Times New Roman" w:hAnsi="Times New Roman" w:cs="Times New Roman"/>
          <w:sz w:val="24"/>
          <w:szCs w:val="24"/>
        </w:rPr>
        <w:t xml:space="preserve"> report analyzed the growth of aquaculture in developing countries, focusing on data from </w:t>
      </w:r>
      <w:r w:rsidRPr="00EA38DE">
        <w:rPr>
          <w:rStyle w:val="Strong"/>
          <w:rFonts w:ascii="Times New Roman" w:hAnsi="Times New Roman" w:cs="Times New Roman"/>
          <w:b w:val="0"/>
          <w:bCs w:val="0"/>
          <w:sz w:val="24"/>
          <w:szCs w:val="24"/>
        </w:rPr>
        <w:t>2010 to 2019</w:t>
      </w:r>
      <w:r w:rsidRPr="00EA38DE">
        <w:rPr>
          <w:rFonts w:ascii="Times New Roman" w:hAnsi="Times New Roman" w:cs="Times New Roman"/>
          <w:sz w:val="24"/>
          <w:szCs w:val="24"/>
        </w:rPr>
        <w:t xml:space="preserve">. Using a </w:t>
      </w:r>
      <w:r w:rsidRPr="00EA38DE">
        <w:rPr>
          <w:rStyle w:val="Strong"/>
          <w:rFonts w:ascii="Times New Roman" w:hAnsi="Times New Roman" w:cs="Times New Roman"/>
          <w:b w:val="0"/>
          <w:bCs w:val="0"/>
          <w:sz w:val="24"/>
          <w:szCs w:val="24"/>
        </w:rPr>
        <w:t>sectoral review methodology</w:t>
      </w:r>
      <w:r w:rsidRPr="00EA38DE">
        <w:rPr>
          <w:rFonts w:ascii="Times New Roman" w:hAnsi="Times New Roman" w:cs="Times New Roman"/>
          <w:sz w:val="24"/>
          <w:szCs w:val="24"/>
        </w:rPr>
        <w:t xml:space="preserve"> that combined analysis of production statistics, trade data, and infrastructure assessments, the report highlighted the increasing demand for efficient and cost-effective shipping and port logistics to support both domestic distribution and international exports of aquaculture products. </w:t>
      </w:r>
      <w:r w:rsidRPr="00EA38DE">
        <w:rPr>
          <w:rFonts w:ascii="Times New Roman" w:eastAsia="Times New Roman" w:hAnsi="Times New Roman" w:cs="Times New Roman"/>
          <w:sz w:val="24"/>
          <w:szCs w:val="24"/>
        </w:rPr>
        <w:t>The report finds that maritime infrastructure limitations, exchange rate volatility, and rising operational costs have restricted shipping firms from fully capitalizing on this growth. These constraints hinder timely delivery, increase overheads, and reduce the overall profitability of logistics operations tied to aquaculture.</w:t>
      </w:r>
    </w:p>
    <w:bookmarkEnd w:id="6"/>
    <w:p w14:paraId="2B83CF8C" w14:textId="0416B803" w:rsidR="0066005F" w:rsidRPr="00EA38DE" w:rsidRDefault="0066005F" w:rsidP="00A86755">
      <w:pPr>
        <w:pStyle w:val="NormalWeb"/>
        <w:spacing w:before="0" w:beforeAutospacing="0" w:after="240" w:afterAutospacing="0" w:line="480" w:lineRule="auto"/>
        <w:jc w:val="both"/>
        <w:rPr>
          <w:rStyle w:val="Strong"/>
          <w:b w:val="0"/>
          <w:bCs w:val="0"/>
        </w:rPr>
      </w:pPr>
      <w:r w:rsidRPr="00EA38DE">
        <w:rPr>
          <w:rStyle w:val="Strong"/>
        </w:rPr>
        <w:t>2.5.4</w:t>
      </w:r>
      <w:r w:rsidR="00730C46" w:rsidRPr="00EA38DE">
        <w:rPr>
          <w:rStyle w:val="Strong"/>
        </w:rPr>
        <w:tab/>
      </w:r>
      <w:r w:rsidRPr="00EA38DE">
        <w:rPr>
          <w:rStyle w:val="Strong"/>
        </w:rPr>
        <w:t>Desalination and Shipping Industry Financial Performance in Nigeria</w:t>
      </w:r>
    </w:p>
    <w:p w14:paraId="7ABDFEDB" w14:textId="694E6DA5" w:rsidR="0066005F" w:rsidRPr="00EA38DE" w:rsidRDefault="0066005F" w:rsidP="00A86755">
      <w:pPr>
        <w:pStyle w:val="NormalWeb"/>
        <w:spacing w:before="0" w:beforeAutospacing="0" w:after="240" w:afterAutospacing="0" w:line="480" w:lineRule="auto"/>
        <w:jc w:val="both"/>
        <w:rPr>
          <w:b/>
          <w:bCs/>
        </w:rPr>
      </w:pPr>
      <w:r w:rsidRPr="00EA38DE">
        <w:rPr>
          <w:rStyle w:val="Strong"/>
          <w:b w:val="0"/>
          <w:bCs w:val="0"/>
        </w:rPr>
        <w:t>Adekoya</w:t>
      </w:r>
      <w:r w:rsidR="00304346" w:rsidRPr="00EA38DE">
        <w:rPr>
          <w:rStyle w:val="Strong"/>
          <w:b w:val="0"/>
          <w:bCs w:val="0"/>
        </w:rPr>
        <w:t xml:space="preserve"> &amp;</w:t>
      </w:r>
      <w:r w:rsidRPr="00EA38DE">
        <w:rPr>
          <w:rStyle w:val="Strong"/>
          <w:b w:val="0"/>
          <w:bCs w:val="0"/>
        </w:rPr>
        <w:t xml:space="preserve"> Olubunmi (2022)</w:t>
      </w:r>
      <w:r w:rsidRPr="00EA38DE">
        <w:t xml:space="preserve"> investigated the economic linkages between desalination infrastructure and the financial performance of Nigerian shipping firms. The study covered the period </w:t>
      </w:r>
      <w:r w:rsidRPr="00EA38DE">
        <w:rPr>
          <w:rStyle w:val="Strong"/>
          <w:b w:val="0"/>
          <w:bCs w:val="0"/>
        </w:rPr>
        <w:t>2010 to 2020</w:t>
      </w:r>
      <w:r w:rsidRPr="00EA38DE">
        <w:t xml:space="preserve"> and employed a </w:t>
      </w:r>
      <w:r w:rsidRPr="00EA38DE">
        <w:rPr>
          <w:rStyle w:val="Strong"/>
          <w:b w:val="0"/>
          <w:bCs w:val="0"/>
        </w:rPr>
        <w:t>mixed-methods approach</w:t>
      </w:r>
      <w:r w:rsidRPr="00EA38DE">
        <w:rPr>
          <w:b/>
          <w:bCs/>
        </w:rPr>
        <w:t>,</w:t>
      </w:r>
      <w:r w:rsidRPr="00EA38DE">
        <w:t xml:space="preserve"> combining </w:t>
      </w:r>
      <w:r w:rsidRPr="00EA38DE">
        <w:rPr>
          <w:rStyle w:val="Strong"/>
          <w:b w:val="0"/>
          <w:bCs w:val="0"/>
        </w:rPr>
        <w:t>quantitative cost-benefit analysis</w:t>
      </w:r>
      <w:r w:rsidRPr="00EA38DE">
        <w:rPr>
          <w:b/>
          <w:bCs/>
        </w:rPr>
        <w:t xml:space="preserve"> </w:t>
      </w:r>
      <w:r w:rsidRPr="00EA38DE">
        <w:t xml:space="preserve">with </w:t>
      </w:r>
      <w:r w:rsidRPr="00EA38DE">
        <w:rPr>
          <w:rStyle w:val="Strong"/>
          <w:b w:val="0"/>
          <w:bCs w:val="0"/>
        </w:rPr>
        <w:t>qualitative interviews</w:t>
      </w:r>
      <w:r w:rsidRPr="00EA38DE">
        <w:t xml:space="preserve"> involving logistics operators, port authorities, and energy sector stakeholders. Their </w:t>
      </w:r>
      <w:r w:rsidRPr="00EA38DE">
        <w:rPr>
          <w:rStyle w:val="Strong"/>
          <w:b w:val="0"/>
          <w:bCs w:val="0"/>
        </w:rPr>
        <w:t>findings</w:t>
      </w:r>
      <w:r w:rsidRPr="00EA38DE">
        <w:t xml:space="preserve"> indicate that while desalination logistics offers a promising avenue for revenue diversification in the shipping industry, </w:t>
      </w:r>
      <w:r w:rsidRPr="00EA38DE">
        <w:rPr>
          <w:rStyle w:val="Strong"/>
          <w:b w:val="0"/>
          <w:bCs w:val="0"/>
        </w:rPr>
        <w:t>persistent energy sector constraints</w:t>
      </w:r>
      <w:r w:rsidRPr="00EA38DE">
        <w:rPr>
          <w:b/>
          <w:bCs/>
        </w:rPr>
        <w:t xml:space="preserve"> </w:t>
      </w:r>
      <w:r w:rsidRPr="00EA38DE">
        <w:t xml:space="preserve">specifically </w:t>
      </w:r>
      <w:r w:rsidRPr="00EA38DE">
        <w:rPr>
          <w:rStyle w:val="Strong"/>
          <w:b w:val="0"/>
          <w:bCs w:val="0"/>
        </w:rPr>
        <w:t>marine fuel import dependency</w:t>
      </w:r>
      <w:r w:rsidRPr="00EA38DE">
        <w:t xml:space="preserve"> and </w:t>
      </w:r>
      <w:r w:rsidRPr="00EA38DE">
        <w:rPr>
          <w:rStyle w:val="Strong"/>
          <w:b w:val="0"/>
          <w:bCs w:val="0"/>
        </w:rPr>
        <w:t>deficits in local energy production</w:t>
      </w:r>
      <w:r w:rsidRPr="00EA38DE">
        <w:rPr>
          <w:b/>
          <w:bCs/>
        </w:rPr>
        <w:t xml:space="preserve"> </w:t>
      </w:r>
      <w:r w:rsidRPr="00EA38DE">
        <w:t>significantly</w:t>
      </w:r>
      <w:r w:rsidRPr="00EA38DE">
        <w:rPr>
          <w:b/>
          <w:bCs/>
        </w:rPr>
        <w:t xml:space="preserve"> </w:t>
      </w:r>
      <w:r w:rsidRPr="00EA38DE">
        <w:rPr>
          <w:rStyle w:val="Strong"/>
          <w:b w:val="0"/>
          <w:bCs w:val="0"/>
        </w:rPr>
        <w:t>limit the scalability of desalination infrastructure</w:t>
      </w:r>
      <w:r w:rsidRPr="00EA38DE">
        <w:rPr>
          <w:b/>
          <w:bCs/>
        </w:rPr>
        <w:t xml:space="preserve">. </w:t>
      </w:r>
    </w:p>
    <w:p w14:paraId="65E6FEF5" w14:textId="14F9CE09" w:rsidR="0066005F" w:rsidRPr="00EA38DE" w:rsidRDefault="0066005F" w:rsidP="00A86755">
      <w:pPr>
        <w:pStyle w:val="NormalWeb"/>
        <w:spacing w:before="0" w:beforeAutospacing="0" w:after="240" w:afterAutospacing="0" w:line="480" w:lineRule="auto"/>
        <w:jc w:val="both"/>
      </w:pPr>
      <w:r w:rsidRPr="00EA38DE">
        <w:rPr>
          <w:rStyle w:val="Strong"/>
          <w:b w:val="0"/>
          <w:bCs w:val="0"/>
        </w:rPr>
        <w:t xml:space="preserve">Adewuyi </w:t>
      </w:r>
      <w:r w:rsidR="00304346" w:rsidRPr="00EA38DE">
        <w:rPr>
          <w:rStyle w:val="Strong"/>
          <w:b w:val="0"/>
          <w:bCs w:val="0"/>
        </w:rPr>
        <w:t>&amp;</w:t>
      </w:r>
      <w:r w:rsidRPr="00EA38DE">
        <w:rPr>
          <w:rStyle w:val="Strong"/>
          <w:b w:val="0"/>
          <w:bCs w:val="0"/>
        </w:rPr>
        <w:t xml:space="preserve"> Otubu (2021)</w:t>
      </w:r>
      <w:r w:rsidRPr="00EA38DE">
        <w:t xml:space="preserve"> conducted an economic impact assessment of </w:t>
      </w:r>
      <w:r w:rsidRPr="00EA38DE">
        <w:rPr>
          <w:rStyle w:val="Strong"/>
          <w:b w:val="0"/>
          <w:bCs w:val="0"/>
        </w:rPr>
        <w:t>desalination infrastructure development</w:t>
      </w:r>
      <w:r w:rsidRPr="00EA38DE">
        <w:rPr>
          <w:b/>
          <w:bCs/>
        </w:rPr>
        <w:t xml:space="preserve"> </w:t>
      </w:r>
      <w:r w:rsidRPr="00EA38DE">
        <w:t xml:space="preserve">on Nigeria's maritime logistics sector, using data from the period </w:t>
      </w:r>
      <w:r w:rsidRPr="00EA38DE">
        <w:rPr>
          <w:rStyle w:val="Strong"/>
          <w:b w:val="0"/>
          <w:bCs w:val="0"/>
        </w:rPr>
        <w:t>2012 to 2020</w:t>
      </w:r>
      <w:r w:rsidRPr="00EA38DE">
        <w:t xml:space="preserve">. The </w:t>
      </w:r>
      <w:r w:rsidRPr="00EA38DE">
        <w:lastRenderedPageBreak/>
        <w:t xml:space="preserve">study employed </w:t>
      </w:r>
      <w:r w:rsidRPr="00EA38DE">
        <w:rPr>
          <w:rStyle w:val="Strong"/>
          <w:b w:val="0"/>
          <w:bCs w:val="0"/>
        </w:rPr>
        <w:t>cost-benefit analysis</w:t>
      </w:r>
      <w:r w:rsidRPr="00EA38DE">
        <w:t xml:space="preserve"> combined with </w:t>
      </w:r>
      <w:r w:rsidRPr="00EA38DE">
        <w:rPr>
          <w:rStyle w:val="Strong"/>
          <w:b w:val="0"/>
          <w:bCs w:val="0"/>
        </w:rPr>
        <w:t>input-output modeling</w:t>
      </w:r>
      <w:r w:rsidRPr="00EA38DE">
        <w:t xml:space="preserve"> to quantify both direct and indirect economic effects on shipping and port services. Their </w:t>
      </w:r>
      <w:r w:rsidRPr="00EA38DE">
        <w:rPr>
          <w:rStyle w:val="Strong"/>
        </w:rPr>
        <w:t>f</w:t>
      </w:r>
      <w:r w:rsidRPr="00EA38DE">
        <w:rPr>
          <w:rStyle w:val="Strong"/>
          <w:b w:val="0"/>
          <w:bCs w:val="0"/>
        </w:rPr>
        <w:t>indings</w:t>
      </w:r>
      <w:r w:rsidRPr="00EA38DE">
        <w:rPr>
          <w:b/>
          <w:bCs/>
        </w:rPr>
        <w:t xml:space="preserve"> </w:t>
      </w:r>
      <w:r w:rsidRPr="00EA38DE">
        <w:t xml:space="preserve">revealed that for every </w:t>
      </w:r>
      <w:r w:rsidRPr="00EA38DE">
        <w:rPr>
          <w:rStyle w:val="Strong"/>
          <w:b w:val="0"/>
          <w:bCs w:val="0"/>
        </w:rPr>
        <w:t>$1 million</w:t>
      </w:r>
      <w:r w:rsidRPr="00EA38DE">
        <w:rPr>
          <w:rStyle w:val="Strong"/>
        </w:rPr>
        <w:t xml:space="preserve"> </w:t>
      </w:r>
      <w:r w:rsidRPr="00EA38DE">
        <w:rPr>
          <w:rStyle w:val="Strong"/>
          <w:b w:val="0"/>
          <w:bCs w:val="0"/>
        </w:rPr>
        <w:t>invested</w:t>
      </w:r>
      <w:r w:rsidRPr="00EA38DE">
        <w:t xml:space="preserve"> in desalination infrastructure, over </w:t>
      </w:r>
      <w:r w:rsidRPr="00EA38DE">
        <w:rPr>
          <w:rStyle w:val="Strong"/>
          <w:b w:val="0"/>
          <w:bCs w:val="0"/>
        </w:rPr>
        <w:t>$250,000 in contracts</w:t>
      </w:r>
      <w:r w:rsidRPr="00EA38DE">
        <w:t xml:space="preserve"> could be generated for shipping and port service providers, including logistics for </w:t>
      </w:r>
      <w:r w:rsidRPr="00EA38DE">
        <w:rPr>
          <w:rStyle w:val="Strong"/>
          <w:b w:val="0"/>
          <w:bCs w:val="0"/>
        </w:rPr>
        <w:t>equipment imports</w:t>
      </w:r>
      <w:r w:rsidRPr="00EA38DE">
        <w:rPr>
          <w:b/>
          <w:bCs/>
        </w:rPr>
        <w:t xml:space="preserve">, </w:t>
      </w:r>
      <w:r w:rsidRPr="00EA38DE">
        <w:rPr>
          <w:rStyle w:val="Strong"/>
          <w:b w:val="0"/>
          <w:bCs w:val="0"/>
        </w:rPr>
        <w:t>marine chemical supply</w:t>
      </w:r>
      <w:r w:rsidRPr="00EA38DE">
        <w:t xml:space="preserve">, and </w:t>
      </w:r>
      <w:r w:rsidRPr="00EA38DE">
        <w:rPr>
          <w:rStyle w:val="Strong"/>
          <w:b w:val="0"/>
          <w:bCs w:val="0"/>
        </w:rPr>
        <w:t>technical</w:t>
      </w:r>
      <w:r w:rsidRPr="00EA38DE">
        <w:rPr>
          <w:rStyle w:val="Strong"/>
        </w:rPr>
        <w:t xml:space="preserve"> </w:t>
      </w:r>
      <w:r w:rsidRPr="00EA38DE">
        <w:rPr>
          <w:rStyle w:val="Strong"/>
          <w:b w:val="0"/>
          <w:bCs w:val="0"/>
        </w:rPr>
        <w:t>vessel services</w:t>
      </w:r>
      <w:r w:rsidRPr="00B77648">
        <w:rPr>
          <w:bCs/>
        </w:rPr>
        <w:t>.</w:t>
      </w:r>
      <w:r w:rsidRPr="00EA38DE">
        <w:t xml:space="preserve"> </w:t>
      </w:r>
    </w:p>
    <w:p w14:paraId="69CFF051" w14:textId="29F0E8A7" w:rsidR="0066005F" w:rsidRPr="00EA38DE" w:rsidRDefault="0066005F" w:rsidP="00A86755">
      <w:pPr>
        <w:spacing w:after="240" w:line="480" w:lineRule="auto"/>
        <w:jc w:val="both"/>
        <w:rPr>
          <w:rFonts w:ascii="Times New Roman" w:hAnsi="Times New Roman" w:cs="Times New Roman"/>
          <w:sz w:val="24"/>
          <w:szCs w:val="24"/>
        </w:rPr>
      </w:pPr>
      <w:r w:rsidRPr="00EA38DE">
        <w:rPr>
          <w:rStyle w:val="Strong"/>
          <w:rFonts w:ascii="Times New Roman" w:hAnsi="Times New Roman" w:cs="Times New Roman"/>
          <w:b w:val="0"/>
          <w:bCs w:val="0"/>
          <w:sz w:val="24"/>
          <w:szCs w:val="24"/>
        </w:rPr>
        <w:t xml:space="preserve">Al-Damkhi </w:t>
      </w:r>
      <w:r w:rsidR="00304346"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Al-Kandari (2021)</w:t>
      </w:r>
      <w:r w:rsidRPr="00EA38DE">
        <w:rPr>
          <w:rFonts w:ascii="Times New Roman" w:hAnsi="Times New Roman" w:cs="Times New Roman"/>
          <w:sz w:val="24"/>
          <w:szCs w:val="24"/>
        </w:rPr>
        <w:t xml:space="preserve"> conducted a comparative regional study focused on the </w:t>
      </w:r>
      <w:r w:rsidRPr="00EA38DE">
        <w:rPr>
          <w:rStyle w:val="Strong"/>
          <w:rFonts w:ascii="Times New Roman" w:hAnsi="Times New Roman" w:cs="Times New Roman"/>
          <w:b w:val="0"/>
          <w:bCs w:val="0"/>
          <w:sz w:val="24"/>
          <w:szCs w:val="24"/>
        </w:rPr>
        <w:t>Gulf Cooperation Council (GCC)</w:t>
      </w:r>
      <w:r w:rsidRPr="00EA38DE">
        <w:rPr>
          <w:rFonts w:ascii="Times New Roman" w:hAnsi="Times New Roman" w:cs="Times New Roman"/>
          <w:sz w:val="24"/>
          <w:szCs w:val="24"/>
        </w:rPr>
        <w:t xml:space="preserve"> countries, particularly </w:t>
      </w:r>
      <w:r w:rsidRPr="00EA38DE">
        <w:rPr>
          <w:rStyle w:val="Strong"/>
          <w:rFonts w:ascii="Times New Roman" w:hAnsi="Times New Roman" w:cs="Times New Roman"/>
          <w:b w:val="0"/>
          <w:bCs w:val="0"/>
          <w:sz w:val="24"/>
          <w:szCs w:val="24"/>
        </w:rPr>
        <w:t>Kuwait and Qatar</w:t>
      </w:r>
      <w:r w:rsidRPr="00EA38DE">
        <w:rPr>
          <w:rFonts w:ascii="Times New Roman" w:hAnsi="Times New Roman" w:cs="Times New Roman"/>
          <w:sz w:val="24"/>
          <w:szCs w:val="24"/>
        </w:rPr>
        <w:t xml:space="preserve">, over the period </w:t>
      </w:r>
      <w:r w:rsidRPr="00EA38DE">
        <w:rPr>
          <w:rStyle w:val="Strong"/>
          <w:rFonts w:ascii="Times New Roman" w:hAnsi="Times New Roman" w:cs="Times New Roman"/>
          <w:b w:val="0"/>
          <w:bCs w:val="0"/>
          <w:sz w:val="24"/>
          <w:szCs w:val="24"/>
        </w:rPr>
        <w:t>2010 to 2020</w:t>
      </w:r>
      <w:r w:rsidRPr="00EA38DE">
        <w:rPr>
          <w:rFonts w:ascii="Times New Roman" w:hAnsi="Times New Roman" w:cs="Times New Roman"/>
          <w:sz w:val="24"/>
          <w:szCs w:val="24"/>
        </w:rPr>
        <w:t xml:space="preserve">. The study utilized a </w:t>
      </w:r>
      <w:r w:rsidRPr="00EA38DE">
        <w:rPr>
          <w:rStyle w:val="Strong"/>
          <w:rFonts w:ascii="Times New Roman" w:hAnsi="Times New Roman" w:cs="Times New Roman"/>
          <w:b w:val="0"/>
          <w:bCs w:val="0"/>
          <w:sz w:val="24"/>
          <w:szCs w:val="24"/>
        </w:rPr>
        <w:t>case study methodology</w:t>
      </w:r>
      <w:r w:rsidRPr="00EA38DE">
        <w:rPr>
          <w:rFonts w:ascii="Times New Roman" w:hAnsi="Times New Roman" w:cs="Times New Roman"/>
          <w:sz w:val="24"/>
          <w:szCs w:val="24"/>
        </w:rPr>
        <w:t xml:space="preserve">, combining </w:t>
      </w:r>
      <w:r w:rsidRPr="00EA38DE">
        <w:rPr>
          <w:rStyle w:val="Strong"/>
          <w:rFonts w:ascii="Times New Roman" w:hAnsi="Times New Roman" w:cs="Times New Roman"/>
          <w:b w:val="0"/>
          <w:bCs w:val="0"/>
          <w:sz w:val="24"/>
          <w:szCs w:val="24"/>
        </w:rPr>
        <w:t>economic performance data</w:t>
      </w:r>
      <w:r w:rsidRPr="00EA38DE">
        <w:rPr>
          <w:rFonts w:ascii="Times New Roman" w:hAnsi="Times New Roman" w:cs="Times New Roman"/>
          <w:b/>
          <w:bCs/>
          <w:sz w:val="24"/>
          <w:szCs w:val="24"/>
        </w:rPr>
        <w:t xml:space="preserve">, </w:t>
      </w:r>
      <w:r w:rsidRPr="00EA38DE">
        <w:rPr>
          <w:rStyle w:val="Strong"/>
          <w:rFonts w:ascii="Times New Roman" w:hAnsi="Times New Roman" w:cs="Times New Roman"/>
          <w:b w:val="0"/>
          <w:bCs w:val="0"/>
          <w:sz w:val="24"/>
          <w:szCs w:val="24"/>
        </w:rPr>
        <w:t>infrastructure investment trends</w:t>
      </w:r>
      <w:r w:rsidRPr="00EA38DE">
        <w:rPr>
          <w:rFonts w:ascii="Times New Roman" w:hAnsi="Times New Roman" w:cs="Times New Roman"/>
          <w:b/>
          <w:bCs/>
          <w:sz w:val="24"/>
          <w:szCs w:val="24"/>
        </w:rPr>
        <w:t>,</w:t>
      </w:r>
      <w:r w:rsidRPr="00EA38DE">
        <w:rPr>
          <w:rFonts w:ascii="Times New Roman" w:hAnsi="Times New Roman" w:cs="Times New Roman"/>
          <w:sz w:val="24"/>
          <w:szCs w:val="24"/>
        </w:rPr>
        <w:t xml:space="preserve"> and </w:t>
      </w:r>
      <w:r w:rsidRPr="00EA38DE">
        <w:rPr>
          <w:rStyle w:val="Strong"/>
          <w:rFonts w:ascii="Times New Roman" w:hAnsi="Times New Roman" w:cs="Times New Roman"/>
          <w:b w:val="0"/>
          <w:bCs w:val="0"/>
          <w:sz w:val="24"/>
          <w:szCs w:val="24"/>
        </w:rPr>
        <w:t>contractual records</w:t>
      </w:r>
      <w:r w:rsidRPr="00EA38DE">
        <w:rPr>
          <w:rFonts w:ascii="Times New Roman" w:hAnsi="Times New Roman" w:cs="Times New Roman"/>
          <w:sz w:val="24"/>
          <w:szCs w:val="24"/>
        </w:rPr>
        <w:t xml:space="preserve"> from desalination-linked logistics and shipping services. Their </w:t>
      </w:r>
      <w:r w:rsidRPr="00EA38DE">
        <w:rPr>
          <w:rStyle w:val="Strong"/>
          <w:rFonts w:ascii="Times New Roman" w:hAnsi="Times New Roman" w:cs="Times New Roman"/>
          <w:b w:val="0"/>
          <w:bCs w:val="0"/>
          <w:sz w:val="24"/>
          <w:szCs w:val="24"/>
        </w:rPr>
        <w:t>findings</w:t>
      </w:r>
      <w:r w:rsidRPr="00EA38DE">
        <w:rPr>
          <w:rFonts w:ascii="Times New Roman" w:hAnsi="Times New Roman" w:cs="Times New Roman"/>
          <w:sz w:val="24"/>
          <w:szCs w:val="24"/>
        </w:rPr>
        <w:t xml:space="preserve"> revealed that in countries where </w:t>
      </w:r>
      <w:r w:rsidRPr="00EA38DE">
        <w:rPr>
          <w:rStyle w:val="Strong"/>
          <w:rFonts w:ascii="Times New Roman" w:hAnsi="Times New Roman" w:cs="Times New Roman"/>
          <w:b w:val="0"/>
          <w:bCs w:val="0"/>
          <w:sz w:val="24"/>
          <w:szCs w:val="24"/>
        </w:rPr>
        <w:t>desalination capacity has expanded</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 xml:space="preserve">shipping firms have gained </w:t>
      </w:r>
      <w:r w:rsidRPr="00EA38DE">
        <w:rPr>
          <w:rStyle w:val="Strong"/>
          <w:rFonts w:ascii="Times New Roman" w:hAnsi="Times New Roman" w:cs="Times New Roman"/>
          <w:b w:val="0"/>
          <w:bCs w:val="0"/>
          <w:sz w:val="24"/>
          <w:szCs w:val="24"/>
        </w:rPr>
        <w:t>new service contracts</w:t>
      </w:r>
      <w:r w:rsidRPr="00EA38DE">
        <w:rPr>
          <w:rFonts w:ascii="Times New Roman" w:hAnsi="Times New Roman" w:cs="Times New Roman"/>
          <w:sz w:val="24"/>
          <w:szCs w:val="24"/>
        </w:rPr>
        <w:t xml:space="preserve"> related to the </w:t>
      </w:r>
      <w:r w:rsidRPr="00EA38DE">
        <w:rPr>
          <w:rStyle w:val="Strong"/>
          <w:rFonts w:ascii="Times New Roman" w:hAnsi="Times New Roman" w:cs="Times New Roman"/>
          <w:b w:val="0"/>
          <w:bCs w:val="0"/>
          <w:sz w:val="24"/>
          <w:szCs w:val="24"/>
        </w:rPr>
        <w:t>energy-water nexus</w:t>
      </w:r>
      <w:r w:rsidRPr="00EA38DE">
        <w:rPr>
          <w:rFonts w:ascii="Times New Roman" w:hAnsi="Times New Roman" w:cs="Times New Roman"/>
          <w:sz w:val="24"/>
          <w:szCs w:val="24"/>
        </w:rPr>
        <w:t xml:space="preserve"> including the transport of marine fuels, desalination equipment, and chemicals.</w:t>
      </w:r>
    </w:p>
    <w:p w14:paraId="6943422B" w14:textId="2B7B663B" w:rsidR="0066005F" w:rsidRPr="00EA38DE" w:rsidRDefault="0066005F" w:rsidP="00A86755">
      <w:pPr>
        <w:spacing w:after="240" w:line="480" w:lineRule="auto"/>
        <w:jc w:val="both"/>
        <w:rPr>
          <w:rFonts w:ascii="Times New Roman" w:hAnsi="Times New Roman" w:cs="Times New Roman"/>
          <w:sz w:val="24"/>
          <w:szCs w:val="24"/>
        </w:rPr>
      </w:pPr>
      <w:r w:rsidRPr="00EA38DE">
        <w:rPr>
          <w:rStyle w:val="Strong"/>
          <w:rFonts w:ascii="Times New Roman" w:hAnsi="Times New Roman" w:cs="Times New Roman"/>
          <w:b w:val="0"/>
          <w:bCs w:val="0"/>
          <w:sz w:val="24"/>
          <w:szCs w:val="24"/>
        </w:rPr>
        <w:t xml:space="preserve">Das </w:t>
      </w:r>
      <w:r w:rsidR="00304346"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Mukherjee (2020)</w:t>
      </w:r>
      <w:r w:rsidRPr="00EA38DE">
        <w:rPr>
          <w:rFonts w:ascii="Times New Roman" w:hAnsi="Times New Roman" w:cs="Times New Roman"/>
          <w:sz w:val="24"/>
          <w:szCs w:val="24"/>
        </w:rPr>
        <w:t xml:space="preserve"> conducted a study covering the period from </w:t>
      </w:r>
      <w:r w:rsidRPr="00EA38DE">
        <w:rPr>
          <w:rStyle w:val="Strong"/>
          <w:rFonts w:ascii="Times New Roman" w:hAnsi="Times New Roman" w:cs="Times New Roman"/>
          <w:b w:val="0"/>
          <w:bCs w:val="0"/>
          <w:sz w:val="24"/>
          <w:szCs w:val="24"/>
        </w:rPr>
        <w:t>2008 to 2017</w:t>
      </w:r>
      <w:r w:rsidRPr="00EA38DE">
        <w:rPr>
          <w:rFonts w:ascii="Times New Roman" w:hAnsi="Times New Roman" w:cs="Times New Roman"/>
          <w:sz w:val="24"/>
          <w:szCs w:val="24"/>
        </w:rPr>
        <w:t xml:space="preserve"> to assess the financial returns for shipping firms involved in desalination-related activities such as plant construction, maintenance, and chemical delivery in South Asia. Using a </w:t>
      </w:r>
      <w:r w:rsidRPr="00EA38DE">
        <w:rPr>
          <w:rStyle w:val="Strong"/>
          <w:rFonts w:ascii="Times New Roman" w:hAnsi="Times New Roman" w:cs="Times New Roman"/>
          <w:b w:val="0"/>
          <w:bCs w:val="0"/>
          <w:sz w:val="24"/>
          <w:szCs w:val="24"/>
        </w:rPr>
        <w:t>case</w:t>
      </w:r>
      <w:r w:rsidRPr="00EA38DE">
        <w:rPr>
          <w:rStyle w:val="Strong"/>
          <w:rFonts w:ascii="Times New Roman" w:hAnsi="Times New Roman" w:cs="Times New Roman"/>
          <w:sz w:val="24"/>
          <w:szCs w:val="24"/>
        </w:rPr>
        <w:t xml:space="preserve"> </w:t>
      </w:r>
      <w:r w:rsidRPr="00EA38DE">
        <w:rPr>
          <w:rStyle w:val="Strong"/>
          <w:rFonts w:ascii="Times New Roman" w:hAnsi="Times New Roman" w:cs="Times New Roman"/>
          <w:b w:val="0"/>
          <w:bCs w:val="0"/>
          <w:sz w:val="24"/>
          <w:szCs w:val="24"/>
        </w:rPr>
        <w:t>study approach</w:t>
      </w:r>
      <w:r w:rsidRPr="00EA38DE">
        <w:rPr>
          <w:rFonts w:ascii="Times New Roman" w:hAnsi="Times New Roman" w:cs="Times New Roman"/>
          <w:sz w:val="24"/>
          <w:szCs w:val="24"/>
        </w:rPr>
        <w:t xml:space="preserve"> combined with </w:t>
      </w:r>
      <w:r w:rsidRPr="00EA38DE">
        <w:rPr>
          <w:rStyle w:val="Strong"/>
          <w:rFonts w:ascii="Times New Roman" w:hAnsi="Times New Roman" w:cs="Times New Roman"/>
          <w:b w:val="0"/>
          <w:bCs w:val="0"/>
          <w:sz w:val="24"/>
          <w:szCs w:val="24"/>
        </w:rPr>
        <w:t>financial modeling techniques</w:t>
      </w:r>
      <w:r w:rsidRPr="00EA38DE">
        <w:rPr>
          <w:rFonts w:ascii="Times New Roman" w:hAnsi="Times New Roman" w:cs="Times New Roman"/>
          <w:sz w:val="24"/>
          <w:szCs w:val="24"/>
        </w:rPr>
        <w:t xml:space="preserve">, they analyzed investment patterns, cash flows, and profitability over time. Their findings reveal that although shipping firms face </w:t>
      </w:r>
      <w:r w:rsidRPr="00EA38DE">
        <w:rPr>
          <w:rStyle w:val="Strong"/>
          <w:rFonts w:ascii="Times New Roman" w:hAnsi="Times New Roman" w:cs="Times New Roman"/>
          <w:b w:val="0"/>
          <w:bCs w:val="0"/>
          <w:sz w:val="24"/>
          <w:szCs w:val="24"/>
        </w:rPr>
        <w:t>delayed financial returns</w:t>
      </w:r>
      <w:r w:rsidRPr="00EA38DE">
        <w:rPr>
          <w:rFonts w:ascii="Times New Roman" w:hAnsi="Times New Roman" w:cs="Times New Roman"/>
          <w:sz w:val="24"/>
          <w:szCs w:val="24"/>
        </w:rPr>
        <w:t xml:space="preserve"> due to the capital-intensive nature of desalination logistics, the returns are </w:t>
      </w:r>
      <w:r w:rsidRPr="00EA38DE">
        <w:rPr>
          <w:rStyle w:val="Strong"/>
          <w:rFonts w:ascii="Times New Roman" w:hAnsi="Times New Roman" w:cs="Times New Roman"/>
          <w:b w:val="0"/>
          <w:bCs w:val="0"/>
          <w:sz w:val="24"/>
          <w:szCs w:val="24"/>
        </w:rPr>
        <w:t>sustained in the long term</w:t>
      </w:r>
      <w:r w:rsidRPr="00EA38DE">
        <w:rPr>
          <w:rFonts w:ascii="Times New Roman" w:hAnsi="Times New Roman" w:cs="Times New Roman"/>
          <w:sz w:val="24"/>
          <w:szCs w:val="24"/>
        </w:rPr>
        <w:t xml:space="preserve"> when supported by </w:t>
      </w:r>
      <w:r w:rsidRPr="00EA38DE">
        <w:rPr>
          <w:rStyle w:val="Strong"/>
          <w:rFonts w:ascii="Times New Roman" w:hAnsi="Times New Roman" w:cs="Times New Roman"/>
          <w:b w:val="0"/>
          <w:bCs w:val="0"/>
          <w:sz w:val="24"/>
          <w:szCs w:val="24"/>
        </w:rPr>
        <w:t>currency stability</w:t>
      </w:r>
      <w:r w:rsidRPr="00EA38DE">
        <w:rPr>
          <w:rFonts w:ascii="Times New Roman" w:hAnsi="Times New Roman" w:cs="Times New Roman"/>
          <w:sz w:val="24"/>
          <w:szCs w:val="24"/>
        </w:rPr>
        <w:t xml:space="preserve"> and effective </w:t>
      </w:r>
      <w:r w:rsidRPr="00EA38DE">
        <w:rPr>
          <w:rStyle w:val="Strong"/>
          <w:rFonts w:ascii="Times New Roman" w:hAnsi="Times New Roman" w:cs="Times New Roman"/>
          <w:b w:val="0"/>
          <w:bCs w:val="0"/>
          <w:sz w:val="24"/>
          <w:szCs w:val="24"/>
        </w:rPr>
        <w:t>public-private partnerships</w:t>
      </w:r>
      <w:r w:rsidRPr="00EA38DE">
        <w:rPr>
          <w:rFonts w:ascii="Times New Roman" w:hAnsi="Times New Roman" w:cs="Times New Roman"/>
          <w:sz w:val="24"/>
          <w:szCs w:val="24"/>
        </w:rPr>
        <w:t xml:space="preserve">. </w:t>
      </w:r>
    </w:p>
    <w:p w14:paraId="544E574B" w14:textId="40573EA1" w:rsidR="0066005F" w:rsidRPr="00EA38DE" w:rsidRDefault="0066005F" w:rsidP="00A86755">
      <w:pPr>
        <w:pStyle w:val="NormalWeb"/>
        <w:spacing w:before="0" w:beforeAutospacing="0" w:after="240" w:afterAutospacing="0" w:line="480" w:lineRule="auto"/>
        <w:jc w:val="both"/>
      </w:pPr>
      <w:r w:rsidRPr="00EA38DE">
        <w:rPr>
          <w:rStyle w:val="Strong"/>
          <w:b w:val="0"/>
          <w:bCs w:val="0"/>
        </w:rPr>
        <w:t xml:space="preserve">El-Sayed </w:t>
      </w:r>
      <w:r w:rsidR="008F6815" w:rsidRPr="00EA38DE">
        <w:rPr>
          <w:rStyle w:val="Strong"/>
          <w:b w:val="0"/>
          <w:bCs w:val="0"/>
        </w:rPr>
        <w:t>&amp;</w:t>
      </w:r>
      <w:r w:rsidRPr="00EA38DE">
        <w:rPr>
          <w:rStyle w:val="Strong"/>
          <w:b w:val="0"/>
          <w:bCs w:val="0"/>
        </w:rPr>
        <w:t xml:space="preserve"> Ahmed (2020)</w:t>
      </w:r>
      <w:r w:rsidRPr="00EA38DE">
        <w:rPr>
          <w:b/>
          <w:bCs/>
        </w:rPr>
        <w:t xml:space="preserve"> </w:t>
      </w:r>
      <w:r w:rsidRPr="00EA38DE">
        <w:t xml:space="preserve">conducted a comparative regional study spanning </w:t>
      </w:r>
      <w:r w:rsidRPr="00EA38DE">
        <w:rPr>
          <w:rStyle w:val="Strong"/>
          <w:b w:val="0"/>
          <w:bCs w:val="0"/>
        </w:rPr>
        <w:t>2010 to 2019</w:t>
      </w:r>
      <w:r w:rsidRPr="00EA38DE">
        <w:rPr>
          <w:b/>
          <w:bCs/>
        </w:rPr>
        <w:t xml:space="preserve"> </w:t>
      </w:r>
      <w:r w:rsidRPr="00EA38DE">
        <w:t xml:space="preserve">that analyzed the synergies between desalination and shipping industries in Egypt, Morocco, and Saudi Arabia. Employing a </w:t>
      </w:r>
      <w:r w:rsidRPr="00EA38DE">
        <w:rPr>
          <w:rStyle w:val="Strong"/>
          <w:b w:val="0"/>
          <w:bCs w:val="0"/>
        </w:rPr>
        <w:t>mixed-methods approach</w:t>
      </w:r>
      <w:r w:rsidRPr="00EA38DE">
        <w:t xml:space="preserve">, the study combined </w:t>
      </w:r>
      <w:r w:rsidRPr="00EA38DE">
        <w:rPr>
          <w:rStyle w:val="Strong"/>
          <w:b w:val="0"/>
          <w:bCs w:val="0"/>
        </w:rPr>
        <w:t>quantitative financial</w:t>
      </w:r>
      <w:r w:rsidRPr="00EA38DE">
        <w:rPr>
          <w:rStyle w:val="Strong"/>
        </w:rPr>
        <w:t xml:space="preserve"> </w:t>
      </w:r>
      <w:r w:rsidRPr="00EA38DE">
        <w:rPr>
          <w:rStyle w:val="Strong"/>
          <w:b w:val="0"/>
          <w:bCs w:val="0"/>
        </w:rPr>
        <w:lastRenderedPageBreak/>
        <w:t>performance analysis</w:t>
      </w:r>
      <w:r w:rsidRPr="00EA38DE">
        <w:t xml:space="preserve"> of domestic shipping firms with </w:t>
      </w:r>
      <w:r w:rsidRPr="00EA38DE">
        <w:rPr>
          <w:rStyle w:val="Strong"/>
          <w:b w:val="0"/>
          <w:bCs w:val="0"/>
        </w:rPr>
        <w:t>qualitative interviews</w:t>
      </w:r>
      <w:r w:rsidRPr="00EA38DE">
        <w:t xml:space="preserve"> of industry stakeholders and policymakers across the three countries. Their findings reveal that countries with well-established marine-based desalination facilities experienced improved financial performance for local shipping firms due to contracts related to supply logistics, equipment transport, and operational maintenance.</w:t>
      </w:r>
    </w:p>
    <w:p w14:paraId="5C77B2C2" w14:textId="122DF83B"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Eze </w:t>
      </w:r>
      <w:r w:rsidR="008F6815"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Onyekachi (2023) conducted a quantitative study to examine the relationship between desalination-related imports and shipping throughput at Lagos Port and Tin Can Island Port. The research spanned the period from 2015 to 2022 and utilized a time-series econometric model, specifically an Autoregressive Distributed Lag (ARDL) framework, to evaluate the impact of desalination equipment imports on container traffic volumes. Their findings revealed a statistically significant positive correlation: for every 1% increase in desalination-related imports, there was a corresponding 0.5% rise in maritime container throughput. This result demonstrates that desalination logistics play a growing and measurable role in stimulating shipping demand, contributing not only to port activity but also to the financial performance of shipping firms operating within these corridors. </w:t>
      </w:r>
    </w:p>
    <w:p w14:paraId="7711A67F" w14:textId="70B6CE60" w:rsidR="0066005F" w:rsidRPr="00EA38DE" w:rsidRDefault="0066005F" w:rsidP="00A86755">
      <w:pPr>
        <w:pStyle w:val="NormalWeb"/>
        <w:spacing w:before="0" w:beforeAutospacing="0" w:after="240" w:afterAutospacing="0" w:line="480" w:lineRule="auto"/>
        <w:jc w:val="both"/>
      </w:pPr>
      <w:r w:rsidRPr="00EA38DE">
        <w:rPr>
          <w:rStyle w:val="Strong"/>
          <w:b w:val="0"/>
          <w:bCs w:val="0"/>
        </w:rPr>
        <w:t xml:space="preserve">Idris </w:t>
      </w:r>
      <w:r w:rsidR="008F6815" w:rsidRPr="00EA38DE">
        <w:rPr>
          <w:rStyle w:val="Strong"/>
          <w:b w:val="0"/>
          <w:bCs w:val="0"/>
        </w:rPr>
        <w:t>&amp;</w:t>
      </w:r>
      <w:r w:rsidRPr="00EA38DE">
        <w:rPr>
          <w:rStyle w:val="Strong"/>
          <w:b w:val="0"/>
          <w:bCs w:val="0"/>
        </w:rPr>
        <w:t xml:space="preserve"> Dada (2021)</w:t>
      </w:r>
      <w:r w:rsidRPr="00EA38DE">
        <w:t xml:space="preserve"> examine the impact of freshwater supply logistics on port and shipping efficiency in Nigeria, focusing on data from </w:t>
      </w:r>
      <w:r w:rsidRPr="00EA38DE">
        <w:rPr>
          <w:rStyle w:val="Strong"/>
          <w:b w:val="0"/>
          <w:bCs w:val="0"/>
        </w:rPr>
        <w:t>2015 to 2020</w:t>
      </w:r>
      <w:r w:rsidRPr="00EA38DE">
        <w:t xml:space="preserve">. Using a mixed-methods approach that combined </w:t>
      </w:r>
      <w:r w:rsidRPr="00EA38DE">
        <w:rPr>
          <w:rStyle w:val="Strong"/>
          <w:b w:val="0"/>
          <w:bCs w:val="0"/>
        </w:rPr>
        <w:t>quantitative analysis of port operational metrics</w:t>
      </w:r>
      <w:r w:rsidRPr="00EA38DE">
        <w:rPr>
          <w:b/>
          <w:bCs/>
        </w:rPr>
        <w:t xml:space="preserve"> </w:t>
      </w:r>
      <w:r w:rsidRPr="00EA38DE">
        <w:t>with</w:t>
      </w:r>
      <w:r w:rsidRPr="00EA38DE">
        <w:rPr>
          <w:b/>
          <w:bCs/>
        </w:rPr>
        <w:t xml:space="preserve"> </w:t>
      </w:r>
      <w:r w:rsidRPr="00EA38DE">
        <w:rPr>
          <w:rStyle w:val="Strong"/>
          <w:b w:val="0"/>
          <w:bCs w:val="0"/>
        </w:rPr>
        <w:t>qualitative interviews of port managers and shipping operators</w:t>
      </w:r>
      <w:r w:rsidRPr="00EA38DE">
        <w:t xml:space="preserve">, their study highlights that reducing dependence on offsite freshwater sources significantly lowers ship berthing costs. Additionally, they find that improved freshwater availability at ports leads to shorter vessel turnaround times, a critical factor influencing the financial performance of shipping companies. The study concludes that investing in port-based </w:t>
      </w:r>
      <w:r w:rsidRPr="00EA38DE">
        <w:lastRenderedPageBreak/>
        <w:t>freshwater solutions, such as desalination plants, can enhance maritime operational efficiency and profitability.</w:t>
      </w:r>
    </w:p>
    <w:p w14:paraId="7B2D5729" w14:textId="3E26BD93"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Kummu </w:t>
      </w:r>
      <w:r w:rsidR="008F6815"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Guillaume (2019) conducted a global review of desalination activities and their maritime logistics implications, covering data and trends from 2005 to 2018. The study utilized a comparative cross-regional analysis combining desalination capacity data, shipping utilization statistics, and infrastructure assessments across multiple regions, with a particular focus on Middle East, North Africa (MENA), and developing coastal regions. Their findings highlighted that in countries with underdeveloped water distribution infrastructure, shipping firms are increasingly engaging in short-range maritime transport of bulk desalinated water, particularly in arid and semi-arid coastal zones. </w:t>
      </w:r>
    </w:p>
    <w:p w14:paraId="1575B7DC" w14:textId="0B5D5E39" w:rsidR="0066005F" w:rsidRPr="00EA38DE" w:rsidRDefault="0066005F" w:rsidP="00A86755">
      <w:pPr>
        <w:spacing w:after="240" w:line="480" w:lineRule="auto"/>
        <w:jc w:val="both"/>
        <w:rPr>
          <w:rFonts w:ascii="Times New Roman" w:hAnsi="Times New Roman" w:cs="Times New Roman"/>
          <w:sz w:val="24"/>
          <w:szCs w:val="24"/>
        </w:rPr>
      </w:pPr>
      <w:r w:rsidRPr="00EA38DE">
        <w:rPr>
          <w:rStyle w:val="Strong"/>
          <w:rFonts w:ascii="Times New Roman" w:hAnsi="Times New Roman" w:cs="Times New Roman"/>
          <w:b w:val="0"/>
          <w:bCs w:val="0"/>
          <w:sz w:val="24"/>
          <w:szCs w:val="24"/>
        </w:rPr>
        <w:t xml:space="preserve">Nwankwo </w:t>
      </w:r>
      <w:r w:rsidR="008F6815" w:rsidRPr="00EA38DE">
        <w:rPr>
          <w:rStyle w:val="Strong"/>
          <w:rFonts w:ascii="Times New Roman" w:hAnsi="Times New Roman" w:cs="Times New Roman"/>
          <w:b w:val="0"/>
          <w:bCs w:val="0"/>
          <w:sz w:val="24"/>
          <w:szCs w:val="24"/>
        </w:rPr>
        <w:t>&amp;</w:t>
      </w:r>
      <w:r w:rsidRPr="00EA38DE">
        <w:rPr>
          <w:rStyle w:val="Strong"/>
          <w:rFonts w:ascii="Times New Roman" w:hAnsi="Times New Roman" w:cs="Times New Roman"/>
          <w:b w:val="0"/>
          <w:bCs w:val="0"/>
          <w:sz w:val="24"/>
          <w:szCs w:val="24"/>
        </w:rPr>
        <w:t xml:space="preserve"> Obiefuna</w:t>
      </w:r>
      <w:r w:rsidRPr="00EA38DE">
        <w:rPr>
          <w:rStyle w:val="Strong"/>
          <w:rFonts w:ascii="Times New Roman" w:hAnsi="Times New Roman" w:cs="Times New Roman"/>
          <w:sz w:val="24"/>
          <w:szCs w:val="24"/>
        </w:rPr>
        <w:t xml:space="preserve"> </w:t>
      </w:r>
      <w:r w:rsidRPr="00EA38DE">
        <w:rPr>
          <w:rStyle w:val="Strong"/>
          <w:rFonts w:ascii="Times New Roman" w:hAnsi="Times New Roman" w:cs="Times New Roman"/>
          <w:b w:val="0"/>
          <w:bCs w:val="0"/>
          <w:sz w:val="24"/>
          <w:szCs w:val="24"/>
        </w:rPr>
        <w:t>(2022)</w:t>
      </w:r>
      <w:r w:rsidRPr="00EA38DE">
        <w:rPr>
          <w:rFonts w:ascii="Times New Roman" w:hAnsi="Times New Roman" w:cs="Times New Roman"/>
          <w:sz w:val="24"/>
          <w:szCs w:val="24"/>
        </w:rPr>
        <w:t xml:space="preserve"> analyze the financial challenges faced by shipping companies involved in desalination-related logistics in Nigeria, with a focus on data from </w:t>
      </w:r>
      <w:r w:rsidRPr="00EA38DE">
        <w:rPr>
          <w:rStyle w:val="Strong"/>
          <w:rFonts w:ascii="Times New Roman" w:hAnsi="Times New Roman" w:cs="Times New Roman"/>
          <w:b w:val="0"/>
          <w:bCs w:val="0"/>
          <w:sz w:val="24"/>
          <w:szCs w:val="24"/>
        </w:rPr>
        <w:t>2015 to 2021</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Utilizing</w:t>
      </w:r>
      <w:r w:rsidRPr="00EA38DE">
        <w:rPr>
          <w:rFonts w:ascii="Times New Roman" w:hAnsi="Times New Roman" w:cs="Times New Roman"/>
          <w:b/>
          <w:bCs/>
          <w:sz w:val="24"/>
          <w:szCs w:val="24"/>
        </w:rPr>
        <w:t xml:space="preserve"> </w:t>
      </w:r>
      <w:r w:rsidRPr="00EA38DE">
        <w:rPr>
          <w:rFonts w:ascii="Times New Roman" w:hAnsi="Times New Roman" w:cs="Times New Roman"/>
          <w:bCs/>
          <w:sz w:val="24"/>
          <w:szCs w:val="24"/>
        </w:rPr>
        <w:t>a</w:t>
      </w:r>
      <w:r w:rsidRPr="00EA38DE">
        <w:rPr>
          <w:rFonts w:ascii="Times New Roman" w:hAnsi="Times New Roman" w:cs="Times New Roman"/>
          <w:b/>
          <w:bCs/>
          <w:sz w:val="24"/>
          <w:szCs w:val="24"/>
        </w:rPr>
        <w:t xml:space="preserve"> </w:t>
      </w:r>
      <w:r w:rsidRPr="00EA38DE">
        <w:rPr>
          <w:rStyle w:val="Strong"/>
          <w:rFonts w:ascii="Times New Roman" w:hAnsi="Times New Roman" w:cs="Times New Roman"/>
          <w:b w:val="0"/>
          <w:bCs w:val="0"/>
          <w:sz w:val="24"/>
          <w:szCs w:val="24"/>
        </w:rPr>
        <w:t>mixed-methods approach</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that combines</w:t>
      </w:r>
      <w:r w:rsidRPr="00EA38DE">
        <w:rPr>
          <w:rFonts w:ascii="Times New Roman" w:hAnsi="Times New Roman" w:cs="Times New Roman"/>
          <w:b/>
          <w:bCs/>
          <w:sz w:val="24"/>
          <w:szCs w:val="24"/>
        </w:rPr>
        <w:t xml:space="preserve"> </w:t>
      </w:r>
      <w:r w:rsidRPr="00EA38DE">
        <w:rPr>
          <w:rStyle w:val="Strong"/>
          <w:rFonts w:ascii="Times New Roman" w:hAnsi="Times New Roman" w:cs="Times New Roman"/>
          <w:b w:val="0"/>
          <w:bCs w:val="0"/>
          <w:sz w:val="24"/>
          <w:szCs w:val="24"/>
        </w:rPr>
        <w:t>financial cost analysis</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and</w:t>
      </w:r>
      <w:r w:rsidRPr="00EA38DE">
        <w:rPr>
          <w:rFonts w:ascii="Times New Roman" w:hAnsi="Times New Roman" w:cs="Times New Roman"/>
          <w:b/>
          <w:bCs/>
          <w:sz w:val="24"/>
          <w:szCs w:val="24"/>
        </w:rPr>
        <w:t xml:space="preserve"> </w:t>
      </w:r>
      <w:r w:rsidRPr="00EA38DE">
        <w:rPr>
          <w:rStyle w:val="Strong"/>
          <w:rFonts w:ascii="Times New Roman" w:hAnsi="Times New Roman" w:cs="Times New Roman"/>
          <w:b w:val="0"/>
          <w:bCs w:val="0"/>
          <w:sz w:val="24"/>
          <w:szCs w:val="24"/>
        </w:rPr>
        <w:t>stakeholder</w:t>
      </w:r>
      <w:r w:rsidRPr="00EA38DE">
        <w:rPr>
          <w:rStyle w:val="Strong"/>
          <w:rFonts w:ascii="Times New Roman" w:hAnsi="Times New Roman" w:cs="Times New Roman"/>
          <w:sz w:val="24"/>
          <w:szCs w:val="24"/>
        </w:rPr>
        <w:t xml:space="preserve"> </w:t>
      </w:r>
      <w:r w:rsidRPr="00EA38DE">
        <w:rPr>
          <w:rStyle w:val="Strong"/>
          <w:rFonts w:ascii="Times New Roman" w:hAnsi="Times New Roman" w:cs="Times New Roman"/>
          <w:b w:val="0"/>
          <w:bCs w:val="0"/>
          <w:sz w:val="24"/>
          <w:szCs w:val="24"/>
        </w:rPr>
        <w:t>interviews</w:t>
      </w:r>
      <w:r w:rsidRPr="00EA38DE">
        <w:rPr>
          <w:rFonts w:ascii="Times New Roman" w:hAnsi="Times New Roman" w:cs="Times New Roman"/>
          <w:sz w:val="24"/>
          <w:szCs w:val="24"/>
        </w:rPr>
        <w:t xml:space="preserve"> with industry experts and policymakers, the study highlights how high capital requirements and foreign exchange costs for desalination plant components strain shipping firms, particularly in the context of persistent </w:t>
      </w:r>
      <w:r w:rsidRPr="00EA38DE">
        <w:rPr>
          <w:rStyle w:val="Strong"/>
          <w:rFonts w:ascii="Times New Roman" w:hAnsi="Times New Roman" w:cs="Times New Roman"/>
          <w:b w:val="0"/>
          <w:bCs w:val="0"/>
          <w:sz w:val="24"/>
          <w:szCs w:val="24"/>
        </w:rPr>
        <w:t>exchange rate volatility</w:t>
      </w:r>
      <w:r w:rsidRPr="00EA38DE">
        <w:rPr>
          <w:rFonts w:ascii="Times New Roman" w:hAnsi="Times New Roman" w:cs="Times New Roman"/>
          <w:sz w:val="24"/>
          <w:szCs w:val="24"/>
        </w:rPr>
        <w:t xml:space="preserve">. Their findings indicate that without mitigating strategies, shipping companies may experience financial stress due to increased import costs. </w:t>
      </w:r>
    </w:p>
    <w:p w14:paraId="601B1F0E" w14:textId="49A4D875"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NIMASA</w:t>
      </w:r>
      <w:r w:rsidR="002A579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(2020) reported that increased investment in deep-sea ports and port automation could improve turnaround time and attract more shipping traffic to Nigerian ports. These blue economy-related developments could, over time, translate into better financial outcomes for shipping operators by reducing logistics costs, increasing throughput, and enhancing operational efficiency.</w:t>
      </w:r>
    </w:p>
    <w:p w14:paraId="0B833567" w14:textId="1A80192F"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Okonkwo </w:t>
      </w:r>
      <w:r w:rsidR="008F6815"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Ismaila (2020) conducted a feasibility-based study on the potential for desalination infrastructure development in Lagos coastal zones, covering the period 2015 to 2019. The study employed a techno-economic feasibility methodology, integrating cost-benefit analysis, infrastructure assessment, and logistics modeling to evaluate the economic and operational viability of setting up desalination plants in the region. Their findings indicated that the establishment of desalination facilities in coastal Nigeria would stimulate demand for specialized maritime logistics services, particularly in the importation of desalination equipment, marine chemicals, and fuel supplies. </w:t>
      </w:r>
    </w:p>
    <w:p w14:paraId="43A477AD" w14:textId="77777777" w:rsidR="0066005F" w:rsidRPr="00EA38DE" w:rsidRDefault="0066005F" w:rsidP="00A86755">
      <w:pPr>
        <w:pStyle w:val="NormalWeb"/>
        <w:spacing w:before="0" w:beforeAutospacing="0" w:after="240" w:afterAutospacing="0" w:line="480" w:lineRule="auto"/>
        <w:jc w:val="both"/>
      </w:pPr>
      <w:r w:rsidRPr="00EA38DE">
        <w:rPr>
          <w:rStyle w:val="Strong"/>
          <w:b w:val="0"/>
          <w:bCs w:val="0"/>
        </w:rPr>
        <w:t>Okoro et al. (2022)</w:t>
      </w:r>
      <w:r w:rsidRPr="00EA38DE">
        <w:t xml:space="preserve"> conducted an analysis of </w:t>
      </w:r>
      <w:r w:rsidRPr="00EA38DE">
        <w:rPr>
          <w:rStyle w:val="Strong"/>
          <w:b w:val="0"/>
          <w:bCs w:val="0"/>
        </w:rPr>
        <w:t>import records</w:t>
      </w:r>
      <w:r w:rsidRPr="00EA38DE">
        <w:t xml:space="preserve"> from Nigerian seaports over the period </w:t>
      </w:r>
      <w:r w:rsidRPr="00EA38DE">
        <w:rPr>
          <w:rStyle w:val="Strong"/>
          <w:b w:val="0"/>
          <w:bCs w:val="0"/>
        </w:rPr>
        <w:t>2017 to 2021</w:t>
      </w:r>
      <w:r w:rsidRPr="00EA38DE">
        <w:t xml:space="preserve"> to assess the transportation modes for desalination equipment and related consumables. The study employed </w:t>
      </w:r>
      <w:r w:rsidRPr="00EA38DE">
        <w:rPr>
          <w:rStyle w:val="Strong"/>
          <w:b w:val="0"/>
          <w:bCs w:val="0"/>
        </w:rPr>
        <w:t>descriptive statistical methods</w:t>
      </w:r>
      <w:r w:rsidRPr="00EA38DE">
        <w:rPr>
          <w:b/>
          <w:bCs/>
        </w:rPr>
        <w:t xml:space="preserve"> </w:t>
      </w:r>
      <w:r w:rsidRPr="00EA38DE">
        <w:t xml:space="preserve">and </w:t>
      </w:r>
      <w:r w:rsidRPr="00EA38DE">
        <w:rPr>
          <w:rStyle w:val="Strong"/>
          <w:b w:val="0"/>
          <w:bCs w:val="0"/>
        </w:rPr>
        <w:t>port customs data analysis</w:t>
      </w:r>
      <w:r w:rsidRPr="00EA38DE">
        <w:rPr>
          <w:b/>
          <w:bCs/>
        </w:rPr>
        <w:t xml:space="preserve"> </w:t>
      </w:r>
      <w:r w:rsidRPr="00EA38DE">
        <w:t>to determine the share of imports arriving via different transport modes. The findings emphasize the interconnectedness between the blue economy subsector of desalination and the shipping industry’s financial performance.</w:t>
      </w:r>
    </w:p>
    <w:p w14:paraId="178FF7B9" w14:textId="391903E2" w:rsidR="0066005F" w:rsidRPr="00EA38DE" w:rsidRDefault="0066005F" w:rsidP="00A86755">
      <w:pPr>
        <w:pStyle w:val="NormalWeb"/>
        <w:spacing w:before="0" w:beforeAutospacing="0" w:after="240" w:afterAutospacing="0" w:line="480" w:lineRule="auto"/>
        <w:jc w:val="both"/>
      </w:pPr>
      <w:r w:rsidRPr="00EA38DE">
        <w:rPr>
          <w:rStyle w:val="Strong"/>
          <w:b w:val="0"/>
          <w:bCs w:val="0"/>
        </w:rPr>
        <w:t xml:space="preserve">Rodriguez </w:t>
      </w:r>
      <w:r w:rsidR="008F6815" w:rsidRPr="00EA38DE">
        <w:rPr>
          <w:rStyle w:val="Strong"/>
          <w:b w:val="0"/>
          <w:bCs w:val="0"/>
        </w:rPr>
        <w:t>&amp;</w:t>
      </w:r>
      <w:r w:rsidRPr="00EA38DE">
        <w:rPr>
          <w:rStyle w:val="Strong"/>
          <w:b w:val="0"/>
          <w:bCs w:val="0"/>
        </w:rPr>
        <w:t xml:space="preserve"> Ortega (2020)</w:t>
      </w:r>
      <w:r w:rsidRPr="00EA38DE">
        <w:t xml:space="preserve"> investigated the effects of integrating desalination facilities into port operations across several Latin American coastal cities, covering the period from </w:t>
      </w:r>
      <w:r w:rsidRPr="00EA38DE">
        <w:rPr>
          <w:rStyle w:val="Strong"/>
          <w:b w:val="0"/>
          <w:bCs w:val="0"/>
        </w:rPr>
        <w:t>2010 to 2018</w:t>
      </w:r>
      <w:r w:rsidRPr="00EA38DE">
        <w:rPr>
          <w:b/>
          <w:bCs/>
        </w:rPr>
        <w:t>.</w:t>
      </w:r>
      <w:r w:rsidRPr="00EA38DE">
        <w:t xml:space="preserve"> The study utilized a </w:t>
      </w:r>
      <w:r w:rsidRPr="00EA38DE">
        <w:rPr>
          <w:rStyle w:val="Strong"/>
          <w:b w:val="0"/>
          <w:bCs w:val="0"/>
        </w:rPr>
        <w:t>comparative case study methodology</w:t>
      </w:r>
      <w:r w:rsidRPr="00EA38DE">
        <w:t xml:space="preserve"> combined with </w:t>
      </w:r>
      <w:r w:rsidRPr="00EA38DE">
        <w:rPr>
          <w:rStyle w:val="Strong"/>
          <w:b w:val="0"/>
          <w:bCs w:val="0"/>
        </w:rPr>
        <w:t>quantitative analysis of port operational cost data</w:t>
      </w:r>
      <w:r w:rsidRPr="00EA38DE">
        <w:rPr>
          <w:b/>
          <w:bCs/>
        </w:rPr>
        <w:t xml:space="preserve"> </w:t>
      </w:r>
      <w:r w:rsidRPr="00EA38DE">
        <w:t xml:space="preserve">and </w:t>
      </w:r>
      <w:r w:rsidRPr="00EA38DE">
        <w:rPr>
          <w:rStyle w:val="Strong"/>
          <w:b w:val="0"/>
          <w:bCs w:val="0"/>
        </w:rPr>
        <w:t>financial performance indicators</w:t>
      </w:r>
      <w:r w:rsidRPr="00EA38DE">
        <w:t xml:space="preserve"> of shipping firms operating within these ports. Their findings indicate that such integration significantly reduces operational costs for port-based shipping companies by improving freshwater availability, which in turn enhances port utility reliability and service quality. This operational efficiency leads to improved financial performance among shipping firms due to lower costs and faster vessel processing times.</w:t>
      </w:r>
    </w:p>
    <w:p w14:paraId="091F3FD0" w14:textId="77777777"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The Federal Ministry of Marine and Blue Economy (2023) report highlights recent advancements in offshore vessel operations supporting Nigeria’s oil and gas sector, focusing on the integration of onboard desalination plants. The study covers developments from 2018 to 2023 and is based on a sectoral review and technology assessment, incorporating data from marine engineering surveys, operational reports, and interviews with industry stakeholders. The report finds that installing desalination systems onboard offshore vessels has significantly reduced dependence on shore-supplied freshwater, enhancing operational efficiency and logistical flexibility in shipping industry. </w:t>
      </w:r>
    </w:p>
    <w:p w14:paraId="0EDFCC9B" w14:textId="77777777"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The World Bank (2019) report, covering 2015 to 2019. Utilizing a </w:t>
      </w:r>
      <w:r w:rsidRPr="00EA38DE">
        <w:rPr>
          <w:rStyle w:val="Strong"/>
          <w:rFonts w:ascii="Times New Roman" w:hAnsi="Times New Roman" w:cs="Times New Roman"/>
          <w:b w:val="0"/>
          <w:bCs w:val="0"/>
          <w:sz w:val="24"/>
          <w:szCs w:val="24"/>
        </w:rPr>
        <w:t>sectoral review methodology</w:t>
      </w:r>
      <w:r w:rsidRPr="00EA38DE">
        <w:rPr>
          <w:rStyle w:val="Strong"/>
          <w:rFonts w:ascii="Times New Roman" w:hAnsi="Times New Roman" w:cs="Times New Roman"/>
          <w:sz w:val="24"/>
          <w:szCs w:val="24"/>
        </w:rPr>
        <w:t>,</w:t>
      </w:r>
      <w:r w:rsidRPr="00EA38DE">
        <w:rPr>
          <w:rFonts w:ascii="Times New Roman" w:hAnsi="Times New Roman" w:cs="Times New Roman"/>
          <w:sz w:val="24"/>
          <w:szCs w:val="24"/>
        </w:rPr>
        <w:t xml:space="preserve"> highlights how integrating desalination into coastal blue economy frameworks can drive cross-sector financial linkages across shipping, fisheries, and tourism, fostering sustainable growth. Finding revealed that incorporating port-based desalination into projects like Lekki Deep Seaport and Badagry Port can create new maritime activities such as chemical import logistics, vessel services, and port construction enhancing revenue and financial performance for local shipping firms while supporting maritime diversification and addressing freshwater shortages.</w:t>
      </w:r>
    </w:p>
    <w:p w14:paraId="3AB91912" w14:textId="4F4D3EEF" w:rsidR="0066005F" w:rsidRPr="00EA38DE" w:rsidRDefault="0066005F" w:rsidP="00A86755">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Adu </w:t>
      </w:r>
      <w:r w:rsidR="008F6815"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Boateng (2019) evaluated the influence of blue economy policies on port revenue and shipping trade volumes. Using data from Ghana and Nigeria, they found that investment in maritime infrastructure (e.g., deep seaports, dredging projects, digital customs systems) correlated positively with increased cargo throughput and shipping revenue. Their econometric model confirmed a strong linkage between public sector blue economy investment and private sector profitability in the shipping industry.</w:t>
      </w:r>
    </w:p>
    <w:p w14:paraId="6A039B4F" w14:textId="0CE49DBF" w:rsidR="0066005F" w:rsidRPr="00EA38DE" w:rsidRDefault="0066005F" w:rsidP="00A86755">
      <w:pPr>
        <w:pStyle w:val="NormalWeb"/>
        <w:spacing w:before="0" w:beforeAutospacing="0" w:after="240" w:afterAutospacing="0" w:line="480" w:lineRule="auto"/>
        <w:jc w:val="both"/>
      </w:pPr>
      <w:r w:rsidRPr="00EA38DE">
        <w:rPr>
          <w:rStyle w:val="Strong"/>
          <w:b w:val="0"/>
          <w:bCs w:val="0"/>
        </w:rPr>
        <w:lastRenderedPageBreak/>
        <w:t xml:space="preserve">Nnaji </w:t>
      </w:r>
      <w:r w:rsidR="008F6815" w:rsidRPr="00EA38DE">
        <w:rPr>
          <w:rStyle w:val="Strong"/>
          <w:b w:val="0"/>
          <w:bCs w:val="0"/>
        </w:rPr>
        <w:t>&amp;</w:t>
      </w:r>
      <w:r w:rsidRPr="00EA38DE">
        <w:rPr>
          <w:rStyle w:val="Strong"/>
          <w:b w:val="0"/>
          <w:bCs w:val="0"/>
        </w:rPr>
        <w:t xml:space="preserve"> Hassan (2022)</w:t>
      </w:r>
      <w:r w:rsidRPr="00EA38DE">
        <w:t xml:space="preserve"> examine the financial risks associated with investments in desalination-linked shipping services in Nigeria, focusing on the period between </w:t>
      </w:r>
      <w:r w:rsidRPr="00EA38DE">
        <w:rPr>
          <w:rStyle w:val="Strong"/>
          <w:b w:val="0"/>
          <w:bCs w:val="0"/>
        </w:rPr>
        <w:t>2015 and 2021</w:t>
      </w:r>
      <w:r w:rsidRPr="00EA38DE">
        <w:rPr>
          <w:b/>
          <w:bCs/>
        </w:rPr>
        <w:t xml:space="preserve">. </w:t>
      </w:r>
      <w:r w:rsidRPr="00EA38DE">
        <w:t xml:space="preserve">The study employs </w:t>
      </w:r>
      <w:r w:rsidRPr="00EA38DE">
        <w:rPr>
          <w:bCs/>
        </w:rPr>
        <w:t>a</w:t>
      </w:r>
      <w:r w:rsidRPr="00EA38DE">
        <w:rPr>
          <w:b/>
          <w:bCs/>
        </w:rPr>
        <w:t xml:space="preserve"> </w:t>
      </w:r>
      <w:r w:rsidRPr="00EA38DE">
        <w:rPr>
          <w:rStyle w:val="Strong"/>
          <w:b w:val="0"/>
          <w:bCs w:val="0"/>
        </w:rPr>
        <w:t>qualitative research methodology</w:t>
      </w:r>
      <w:r w:rsidRPr="00EA38DE">
        <w:t>, including</w:t>
      </w:r>
      <w:r w:rsidRPr="00EA38DE">
        <w:rPr>
          <w:b/>
          <w:bCs/>
        </w:rPr>
        <w:t xml:space="preserve"> </w:t>
      </w:r>
      <w:r w:rsidRPr="00EA38DE">
        <w:rPr>
          <w:rStyle w:val="Strong"/>
          <w:b w:val="0"/>
          <w:bCs w:val="0"/>
        </w:rPr>
        <w:t>policy analysis</w:t>
      </w:r>
      <w:r w:rsidRPr="00EA38DE">
        <w:rPr>
          <w:b/>
          <w:bCs/>
        </w:rPr>
        <w:t xml:space="preserve"> </w:t>
      </w:r>
      <w:r w:rsidRPr="00EA38DE">
        <w:t xml:space="preserve">and </w:t>
      </w:r>
      <w:r w:rsidRPr="00EA38DE">
        <w:rPr>
          <w:rStyle w:val="Strong"/>
          <w:b w:val="0"/>
          <w:bCs w:val="0"/>
        </w:rPr>
        <w:t>in-depth interviews</w:t>
      </w:r>
      <w:r w:rsidRPr="00EA38DE">
        <w:t xml:space="preserve"> with key stakeholders in the maritime, legal, and energy sectors. Their analysis reveals that the absence of clear legal and operational frameworks significantly heightens investment risks, as ambiguity in regulatory standards deters both local and foreign investors. </w:t>
      </w:r>
    </w:p>
    <w:p w14:paraId="79F69D63" w14:textId="55E8E451" w:rsidR="009E0E31" w:rsidRPr="00EA38DE" w:rsidRDefault="009E0E31" w:rsidP="00CB10A8">
      <w:pPr>
        <w:spacing w:after="0" w:line="360" w:lineRule="auto"/>
        <w:ind w:left="1080" w:hanging="1080"/>
        <w:contextualSpacing/>
        <w:jc w:val="both"/>
        <w:rPr>
          <w:rFonts w:ascii="Times New Roman" w:hAnsi="Times New Roman" w:cs="Times New Roman"/>
          <w:b/>
          <w:sz w:val="24"/>
          <w:szCs w:val="24"/>
        </w:rPr>
      </w:pPr>
      <w:r w:rsidRPr="00EA38DE">
        <w:rPr>
          <w:rFonts w:ascii="Times New Roman" w:hAnsi="Times New Roman" w:cs="Times New Roman"/>
          <w:b/>
          <w:sz w:val="24"/>
          <w:szCs w:val="24"/>
        </w:rPr>
        <w:t xml:space="preserve">Table 2.1: </w:t>
      </w:r>
      <w:r w:rsidR="001227CB" w:rsidRPr="00EA38DE">
        <w:rPr>
          <w:rFonts w:ascii="Times New Roman" w:hAnsi="Times New Roman" w:cs="Times New Roman"/>
          <w:b/>
          <w:sz w:val="24"/>
          <w:szCs w:val="24"/>
        </w:rPr>
        <w:t>Summary of Empirical Literature</w:t>
      </w:r>
    </w:p>
    <w:tbl>
      <w:tblPr>
        <w:tblStyle w:val="TableGrid"/>
        <w:tblW w:w="9493" w:type="dxa"/>
        <w:tblLayout w:type="fixed"/>
        <w:tblLook w:val="04A0" w:firstRow="1" w:lastRow="0" w:firstColumn="1" w:lastColumn="0" w:noHBand="0" w:noVBand="1"/>
      </w:tblPr>
      <w:tblGrid>
        <w:gridCol w:w="704"/>
        <w:gridCol w:w="1138"/>
        <w:gridCol w:w="1839"/>
        <w:gridCol w:w="992"/>
        <w:gridCol w:w="1276"/>
        <w:gridCol w:w="1701"/>
        <w:gridCol w:w="1843"/>
      </w:tblGrid>
      <w:tr w:rsidR="00EA38DE" w:rsidRPr="00EA38DE" w14:paraId="3B264C57" w14:textId="77777777" w:rsidTr="00CF7D7E">
        <w:tc>
          <w:tcPr>
            <w:tcW w:w="704" w:type="dxa"/>
            <w:hideMark/>
          </w:tcPr>
          <w:p w14:paraId="4AB3681C" w14:textId="77777777"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S/N</w:t>
            </w:r>
          </w:p>
        </w:tc>
        <w:tc>
          <w:tcPr>
            <w:tcW w:w="1138" w:type="dxa"/>
            <w:hideMark/>
          </w:tcPr>
          <w:p w14:paraId="5FADDF79" w14:textId="77777777"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Authors and Year</w:t>
            </w:r>
          </w:p>
        </w:tc>
        <w:tc>
          <w:tcPr>
            <w:tcW w:w="1839" w:type="dxa"/>
            <w:hideMark/>
          </w:tcPr>
          <w:p w14:paraId="2C6314FA" w14:textId="53F334D6"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Title</w:t>
            </w:r>
          </w:p>
        </w:tc>
        <w:tc>
          <w:tcPr>
            <w:tcW w:w="992" w:type="dxa"/>
          </w:tcPr>
          <w:p w14:paraId="33A12F65" w14:textId="343ED919"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Period of Study</w:t>
            </w:r>
          </w:p>
        </w:tc>
        <w:tc>
          <w:tcPr>
            <w:tcW w:w="1276" w:type="dxa"/>
            <w:hideMark/>
          </w:tcPr>
          <w:p w14:paraId="70288380" w14:textId="2E1696BA"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Country</w:t>
            </w:r>
          </w:p>
        </w:tc>
        <w:tc>
          <w:tcPr>
            <w:tcW w:w="1701" w:type="dxa"/>
            <w:hideMark/>
          </w:tcPr>
          <w:p w14:paraId="34E31B96" w14:textId="383D114B"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Methodolog</w:t>
            </w:r>
            <w:r w:rsidR="0017090E" w:rsidRPr="00EA38DE">
              <w:rPr>
                <w:rFonts w:ascii="Times New Roman" w:eastAsia="Times New Roman" w:hAnsi="Times New Roman"/>
                <w:b/>
                <w:bCs/>
                <w:sz w:val="24"/>
                <w:szCs w:val="24"/>
              </w:rPr>
              <w:t>y/</w:t>
            </w:r>
          </w:p>
          <w:p w14:paraId="5D49A6AE" w14:textId="66F3DFF1"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Models</w:t>
            </w:r>
          </w:p>
        </w:tc>
        <w:tc>
          <w:tcPr>
            <w:tcW w:w="1843" w:type="dxa"/>
            <w:hideMark/>
          </w:tcPr>
          <w:p w14:paraId="6D8C51AD" w14:textId="77777777" w:rsidR="00D21613" w:rsidRPr="00EA38DE" w:rsidRDefault="00D21613" w:rsidP="00B77648">
            <w:pPr>
              <w:jc w:val="center"/>
              <w:rPr>
                <w:rFonts w:ascii="Times New Roman" w:eastAsia="Times New Roman" w:hAnsi="Times New Roman"/>
                <w:b/>
                <w:bCs/>
                <w:sz w:val="24"/>
                <w:szCs w:val="24"/>
              </w:rPr>
            </w:pPr>
            <w:r w:rsidRPr="00EA38DE">
              <w:rPr>
                <w:rFonts w:ascii="Times New Roman" w:eastAsia="Times New Roman" w:hAnsi="Times New Roman"/>
                <w:b/>
                <w:bCs/>
                <w:sz w:val="24"/>
                <w:szCs w:val="24"/>
              </w:rPr>
              <w:t>Findings</w:t>
            </w:r>
          </w:p>
        </w:tc>
      </w:tr>
      <w:tr w:rsidR="00EA38DE" w:rsidRPr="00EA38DE" w14:paraId="7D2AF68A" w14:textId="77777777" w:rsidTr="00CF7D7E">
        <w:tc>
          <w:tcPr>
            <w:tcW w:w="704" w:type="dxa"/>
            <w:hideMark/>
          </w:tcPr>
          <w:p w14:paraId="474B6E1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w:t>
            </w:r>
          </w:p>
        </w:tc>
        <w:tc>
          <w:tcPr>
            <w:tcW w:w="1138" w:type="dxa"/>
            <w:hideMark/>
          </w:tcPr>
          <w:p w14:paraId="33CA2817" w14:textId="53CB4DA9"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Glen &amp; Martin (2005)</w:t>
            </w:r>
          </w:p>
        </w:tc>
        <w:tc>
          <w:tcPr>
            <w:tcW w:w="1839" w:type="dxa"/>
            <w:hideMark/>
          </w:tcPr>
          <w:p w14:paraId="6D70D0BF" w14:textId="1ABF9F60" w:rsidR="00D21613" w:rsidRPr="00EA38DE" w:rsidRDefault="00DA434C" w:rsidP="00372D6D">
            <w:pPr>
              <w:rPr>
                <w:rFonts w:ascii="Times New Roman" w:eastAsia="Times New Roman" w:hAnsi="Times New Roman"/>
                <w:sz w:val="24"/>
                <w:szCs w:val="24"/>
              </w:rPr>
            </w:pPr>
            <w:r w:rsidRPr="00EA38DE">
              <w:rPr>
                <w:rFonts w:ascii="Times New Roman" w:hAnsi="Times New Roman"/>
                <w:sz w:val="24"/>
                <w:szCs w:val="24"/>
              </w:rPr>
              <w:t xml:space="preserve">Exchange Rate Volatility and Its Impact on ROE: The Role of Hedging in UK and Singapore Firms. </w:t>
            </w:r>
          </w:p>
        </w:tc>
        <w:tc>
          <w:tcPr>
            <w:tcW w:w="992" w:type="dxa"/>
          </w:tcPr>
          <w:p w14:paraId="35ACC950" w14:textId="6592851B" w:rsidR="00D21613" w:rsidRPr="00EA38DE" w:rsidRDefault="008A3EE8"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 xml:space="preserve">1999 </w:t>
            </w:r>
            <w:r w:rsidRPr="00EA38DE">
              <w:rPr>
                <w:rFonts w:ascii="Times New Roman" w:eastAsia="Times New Roman" w:hAnsi="Times New Roman"/>
                <w:sz w:val="24"/>
                <w:szCs w:val="24"/>
              </w:rPr>
              <w:softHyphen/>
            </w:r>
            <w:r w:rsidRPr="00EA38DE">
              <w:rPr>
                <w:rFonts w:ascii="Times New Roman" w:eastAsia="Times New Roman" w:hAnsi="Times New Roman"/>
                <w:sz w:val="24"/>
                <w:szCs w:val="24"/>
              </w:rPr>
              <w:softHyphen/>
              <w:t xml:space="preserve"> 2024</w:t>
            </w:r>
          </w:p>
        </w:tc>
        <w:tc>
          <w:tcPr>
            <w:tcW w:w="1276" w:type="dxa"/>
            <w:hideMark/>
          </w:tcPr>
          <w:p w14:paraId="1C0519CA" w14:textId="49A40DA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UK, Singapore</w:t>
            </w:r>
          </w:p>
        </w:tc>
        <w:tc>
          <w:tcPr>
            <w:tcW w:w="1701" w:type="dxa"/>
            <w:hideMark/>
          </w:tcPr>
          <w:p w14:paraId="0ABB0B2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econometric techniques, regression analysis</w:t>
            </w:r>
          </w:p>
        </w:tc>
        <w:tc>
          <w:tcPr>
            <w:tcW w:w="1843" w:type="dxa"/>
            <w:hideMark/>
          </w:tcPr>
          <w:p w14:paraId="44A80740"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negatively impacts ROE. Firms without hedging are more vulnerable to profit erosion during currency shocks.</w:t>
            </w:r>
          </w:p>
        </w:tc>
      </w:tr>
      <w:tr w:rsidR="00EA38DE" w:rsidRPr="00EA38DE" w14:paraId="58F018B2" w14:textId="77777777" w:rsidTr="00CF7D7E">
        <w:tc>
          <w:tcPr>
            <w:tcW w:w="704" w:type="dxa"/>
            <w:hideMark/>
          </w:tcPr>
          <w:p w14:paraId="7441199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w:t>
            </w:r>
          </w:p>
        </w:tc>
        <w:tc>
          <w:tcPr>
            <w:tcW w:w="1138" w:type="dxa"/>
            <w:hideMark/>
          </w:tcPr>
          <w:p w14:paraId="007FDA0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Hummels et al. (2007)</w:t>
            </w:r>
          </w:p>
        </w:tc>
        <w:tc>
          <w:tcPr>
            <w:tcW w:w="1839" w:type="dxa"/>
            <w:hideMark/>
          </w:tcPr>
          <w:p w14:paraId="43DBF11F" w14:textId="614C01A0" w:rsidR="00D21613" w:rsidRPr="00EA38DE" w:rsidRDefault="00D21613" w:rsidP="00D35A20">
            <w:pPr>
              <w:rPr>
                <w:rFonts w:ascii="Times New Roman" w:hAnsi="Times New Roman"/>
                <w:sz w:val="24"/>
                <w:szCs w:val="24"/>
              </w:rPr>
            </w:pPr>
            <w:r w:rsidRPr="00EA38DE">
              <w:rPr>
                <w:rFonts w:ascii="Times New Roman" w:hAnsi="Times New Roman"/>
                <w:sz w:val="24"/>
                <w:szCs w:val="24"/>
              </w:rPr>
              <w:t>Transportation Costs and International Trade in the Second Era of Globalization</w:t>
            </w:r>
          </w:p>
        </w:tc>
        <w:tc>
          <w:tcPr>
            <w:tcW w:w="992" w:type="dxa"/>
          </w:tcPr>
          <w:p w14:paraId="0920F9BE" w14:textId="77777777" w:rsidR="001E5BE8" w:rsidRPr="00EA38DE" w:rsidRDefault="008A3EE8"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1990</w:t>
            </w:r>
          </w:p>
          <w:p w14:paraId="4D27F430" w14:textId="677831F2" w:rsidR="00D21613" w:rsidRPr="00EA38DE" w:rsidRDefault="008A3EE8"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2005</w:t>
            </w:r>
          </w:p>
        </w:tc>
        <w:tc>
          <w:tcPr>
            <w:tcW w:w="1276" w:type="dxa"/>
            <w:hideMark/>
          </w:tcPr>
          <w:p w14:paraId="67BDFD0A" w14:textId="40B3CF6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90 countries (Global)</w:t>
            </w:r>
          </w:p>
        </w:tc>
        <w:tc>
          <w:tcPr>
            <w:tcW w:w="1701" w:type="dxa"/>
            <w:hideMark/>
          </w:tcPr>
          <w:p w14:paraId="7EA1589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regression modeling</w:t>
            </w:r>
          </w:p>
        </w:tc>
        <w:tc>
          <w:tcPr>
            <w:tcW w:w="1843" w:type="dxa"/>
            <w:hideMark/>
          </w:tcPr>
          <w:p w14:paraId="0ECFE77B"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Currency depreciation leads to increased freight rates; especially in long-haul and container shipping.</w:t>
            </w:r>
          </w:p>
        </w:tc>
      </w:tr>
      <w:tr w:rsidR="00EA38DE" w:rsidRPr="00EA38DE" w14:paraId="069EEEEE" w14:textId="77777777" w:rsidTr="00CF7D7E">
        <w:tc>
          <w:tcPr>
            <w:tcW w:w="704" w:type="dxa"/>
            <w:hideMark/>
          </w:tcPr>
          <w:p w14:paraId="0DF05BA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w:t>
            </w:r>
          </w:p>
        </w:tc>
        <w:tc>
          <w:tcPr>
            <w:tcW w:w="1138" w:type="dxa"/>
            <w:hideMark/>
          </w:tcPr>
          <w:p w14:paraId="58F8DA3A" w14:textId="279A2239"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Alizadeh &amp; Nomikos (2007)</w:t>
            </w:r>
          </w:p>
        </w:tc>
        <w:tc>
          <w:tcPr>
            <w:tcW w:w="1839" w:type="dxa"/>
            <w:hideMark/>
          </w:tcPr>
          <w:p w14:paraId="5DD8C4A0" w14:textId="68D02F52" w:rsidR="00D21613" w:rsidRPr="00EA38DE" w:rsidRDefault="001628AA" w:rsidP="0002738A">
            <w:pPr>
              <w:rPr>
                <w:rFonts w:ascii="Times New Roman" w:eastAsia="Times New Roman" w:hAnsi="Times New Roman"/>
                <w:sz w:val="24"/>
                <w:szCs w:val="24"/>
              </w:rPr>
            </w:pPr>
            <w:r w:rsidRPr="00EA38DE">
              <w:rPr>
                <w:rStyle w:val="Strong"/>
                <w:rFonts w:ascii="Times New Roman" w:hAnsi="Times New Roman"/>
                <w:b w:val="0"/>
                <w:bCs w:val="0"/>
                <w:sz w:val="24"/>
                <w:szCs w:val="24"/>
              </w:rPr>
              <w:t>Sensitivity of Freight Markets to Foreign Exchange Fluctuations: Evidence from USD-Denominated Shipping Transactions in Emerging Markets</w:t>
            </w:r>
            <w:r w:rsidRPr="00EA38DE">
              <w:rPr>
                <w:rStyle w:val="Strong"/>
              </w:rPr>
              <w:t>.</w:t>
            </w:r>
          </w:p>
        </w:tc>
        <w:tc>
          <w:tcPr>
            <w:tcW w:w="992" w:type="dxa"/>
          </w:tcPr>
          <w:p w14:paraId="3464CB4A" w14:textId="77777777" w:rsidR="001E5BE8" w:rsidRPr="00EA38DE" w:rsidRDefault="008A3EE8"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1985</w:t>
            </w:r>
          </w:p>
          <w:p w14:paraId="0A19AD41" w14:textId="27B3B649" w:rsidR="00D21613" w:rsidRPr="00EA38DE" w:rsidRDefault="008A3EE8"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2005</w:t>
            </w:r>
          </w:p>
        </w:tc>
        <w:tc>
          <w:tcPr>
            <w:tcW w:w="1276" w:type="dxa"/>
            <w:hideMark/>
          </w:tcPr>
          <w:p w14:paraId="5FFC1AFF" w14:textId="10CFAC82"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Global, focus on emerging markets</w:t>
            </w:r>
          </w:p>
        </w:tc>
        <w:tc>
          <w:tcPr>
            <w:tcW w:w="1701" w:type="dxa"/>
            <w:hideMark/>
          </w:tcPr>
          <w:p w14:paraId="65A47F8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Vector Error Correction Model (VECM)</w:t>
            </w:r>
          </w:p>
        </w:tc>
        <w:tc>
          <w:tcPr>
            <w:tcW w:w="1843" w:type="dxa"/>
            <w:hideMark/>
          </w:tcPr>
          <w:p w14:paraId="72BE3908"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Freight markets are sensitive to FX fluctuations; especially where shipping is transacted in foreign currency (e.g., USD).</w:t>
            </w:r>
          </w:p>
        </w:tc>
      </w:tr>
      <w:tr w:rsidR="00EA38DE" w:rsidRPr="00EA38DE" w14:paraId="272C53B5" w14:textId="77777777" w:rsidTr="00CF7D7E">
        <w:tc>
          <w:tcPr>
            <w:tcW w:w="704" w:type="dxa"/>
            <w:hideMark/>
          </w:tcPr>
          <w:p w14:paraId="1A40E01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4</w:t>
            </w:r>
          </w:p>
        </w:tc>
        <w:tc>
          <w:tcPr>
            <w:tcW w:w="1138" w:type="dxa"/>
            <w:hideMark/>
          </w:tcPr>
          <w:p w14:paraId="45E11AE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Stopford (2009)</w:t>
            </w:r>
          </w:p>
        </w:tc>
        <w:tc>
          <w:tcPr>
            <w:tcW w:w="1839" w:type="dxa"/>
            <w:hideMark/>
          </w:tcPr>
          <w:p w14:paraId="67D22699" w14:textId="2A3B761D" w:rsidR="00D21613" w:rsidRPr="00EA38DE" w:rsidRDefault="001628AA" w:rsidP="00CB10A8">
            <w:pPr>
              <w:jc w:val="both"/>
              <w:rPr>
                <w:rFonts w:ascii="Times New Roman" w:eastAsia="Times New Roman" w:hAnsi="Times New Roman"/>
                <w:b/>
                <w:bCs/>
                <w:sz w:val="24"/>
                <w:szCs w:val="24"/>
              </w:rPr>
            </w:pPr>
            <w:r w:rsidRPr="00EA38DE">
              <w:rPr>
                <w:rStyle w:val="Strong"/>
                <w:rFonts w:ascii="Times New Roman" w:hAnsi="Times New Roman"/>
                <w:b w:val="0"/>
                <w:bCs w:val="0"/>
                <w:sz w:val="24"/>
                <w:szCs w:val="24"/>
              </w:rPr>
              <w:t>Exchange Rate Volatility and Fleet Profitability: Historical Evidence from Major Maritime Economies</w:t>
            </w:r>
            <w:r w:rsidR="00D616F0" w:rsidRPr="00EA38DE">
              <w:rPr>
                <w:rStyle w:val="Strong"/>
                <w:rFonts w:ascii="Times New Roman" w:hAnsi="Times New Roman"/>
                <w:b w:val="0"/>
                <w:bCs w:val="0"/>
                <w:sz w:val="24"/>
                <w:szCs w:val="24"/>
              </w:rPr>
              <w:t>.</w:t>
            </w:r>
          </w:p>
        </w:tc>
        <w:tc>
          <w:tcPr>
            <w:tcW w:w="992" w:type="dxa"/>
          </w:tcPr>
          <w:p w14:paraId="75641C52" w14:textId="77777777" w:rsidR="00CF7D7E" w:rsidRPr="00EA38DE" w:rsidRDefault="008A3EE8"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1970</w:t>
            </w:r>
          </w:p>
          <w:p w14:paraId="3CA8887C" w14:textId="02223551" w:rsidR="00D21613" w:rsidRPr="00EA38DE" w:rsidRDefault="001628A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2000</w:t>
            </w:r>
          </w:p>
        </w:tc>
        <w:tc>
          <w:tcPr>
            <w:tcW w:w="1276" w:type="dxa"/>
            <w:hideMark/>
          </w:tcPr>
          <w:p w14:paraId="041FA024" w14:textId="161848AB"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USA, UK, Greece, Japan</w:t>
            </w:r>
          </w:p>
        </w:tc>
        <w:tc>
          <w:tcPr>
            <w:tcW w:w="1701" w:type="dxa"/>
            <w:hideMark/>
          </w:tcPr>
          <w:p w14:paraId="4C4F2F6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Macroeconomic historical analysis, case studies</w:t>
            </w:r>
          </w:p>
        </w:tc>
        <w:tc>
          <w:tcPr>
            <w:tcW w:w="1843" w:type="dxa"/>
            <w:hideMark/>
          </w:tcPr>
          <w:p w14:paraId="14DAC10A"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Exchange rate volatility reduces fleet profitability, especially for firms with high foreign-denominated costs/revenue.</w:t>
            </w:r>
          </w:p>
        </w:tc>
      </w:tr>
      <w:tr w:rsidR="00EA38DE" w:rsidRPr="00EA38DE" w14:paraId="5A3BD003" w14:textId="77777777" w:rsidTr="00CF7D7E">
        <w:tc>
          <w:tcPr>
            <w:tcW w:w="704" w:type="dxa"/>
            <w:hideMark/>
          </w:tcPr>
          <w:p w14:paraId="6A940DA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w:t>
            </w:r>
          </w:p>
        </w:tc>
        <w:tc>
          <w:tcPr>
            <w:tcW w:w="1138" w:type="dxa"/>
            <w:hideMark/>
          </w:tcPr>
          <w:p w14:paraId="4CDBF99C" w14:textId="530970A1"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Hoffmann &amp; Kumar (2010)</w:t>
            </w:r>
          </w:p>
        </w:tc>
        <w:tc>
          <w:tcPr>
            <w:tcW w:w="1839" w:type="dxa"/>
            <w:hideMark/>
          </w:tcPr>
          <w:p w14:paraId="2E03B5E2" w14:textId="2D4C59C1" w:rsidR="001A15F9" w:rsidRPr="00EA38DE" w:rsidRDefault="001628AA" w:rsidP="00482B70">
            <w:pPr>
              <w:spacing w:after="240"/>
              <w:rPr>
                <w:rFonts w:ascii="Times New Roman" w:hAnsi="Times New Roman"/>
                <w:sz w:val="24"/>
                <w:szCs w:val="24"/>
              </w:rPr>
            </w:pPr>
            <w:r w:rsidRPr="00EA38DE">
              <w:rPr>
                <w:rFonts w:ascii="Times New Roman" w:hAnsi="Times New Roman"/>
                <w:sz w:val="24"/>
                <w:szCs w:val="24"/>
              </w:rPr>
              <w:t>Exchange Rate Depreciation and Port Performance in Latin America &amp; the Caribbean: Impacts on Throughput, Revenue, and Economies of Scale</w:t>
            </w:r>
            <w:r w:rsidR="001E5BE8" w:rsidRPr="00EA38DE">
              <w:rPr>
                <w:rFonts w:ascii="Times New Roman" w:hAnsi="Times New Roman"/>
                <w:sz w:val="24"/>
                <w:szCs w:val="24"/>
              </w:rPr>
              <w:t>.</w:t>
            </w:r>
          </w:p>
        </w:tc>
        <w:tc>
          <w:tcPr>
            <w:tcW w:w="992" w:type="dxa"/>
          </w:tcPr>
          <w:p w14:paraId="4DEC9AA3" w14:textId="42D13D4D" w:rsidR="001E5BE8" w:rsidRPr="00EA38DE" w:rsidRDefault="001628A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w:t>
            </w:r>
            <w:r w:rsidR="001E5BE8" w:rsidRPr="00EA38DE">
              <w:rPr>
                <w:rFonts w:ascii="Times New Roman" w:eastAsia="Times New Roman" w:hAnsi="Times New Roman"/>
                <w:sz w:val="24"/>
                <w:szCs w:val="24"/>
              </w:rPr>
              <w:t>9</w:t>
            </w:r>
            <w:r w:rsidRPr="00EA38DE">
              <w:rPr>
                <w:rFonts w:ascii="Times New Roman" w:eastAsia="Times New Roman" w:hAnsi="Times New Roman"/>
                <w:sz w:val="24"/>
                <w:szCs w:val="24"/>
              </w:rPr>
              <w:t>5</w:t>
            </w:r>
          </w:p>
          <w:p w14:paraId="24D3B233" w14:textId="05D816BA" w:rsidR="00D21613" w:rsidRPr="00EA38DE" w:rsidRDefault="001628A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2008</w:t>
            </w:r>
          </w:p>
        </w:tc>
        <w:tc>
          <w:tcPr>
            <w:tcW w:w="1276" w:type="dxa"/>
            <w:hideMark/>
          </w:tcPr>
          <w:p w14:paraId="5F655B44" w14:textId="2888D803"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Latin America &amp; Caribbean</w:t>
            </w:r>
          </w:p>
        </w:tc>
        <w:tc>
          <w:tcPr>
            <w:tcW w:w="1701" w:type="dxa"/>
            <w:hideMark/>
          </w:tcPr>
          <w:p w14:paraId="4E6B3A6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Cointegration and error correction model (ECM)</w:t>
            </w:r>
          </w:p>
        </w:tc>
        <w:tc>
          <w:tcPr>
            <w:tcW w:w="1843" w:type="dxa"/>
            <w:hideMark/>
          </w:tcPr>
          <w:p w14:paraId="02ADA266"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1% depreciation linked to 0.6% drop in port throughput due to reduced trade volumes; negatively affects port revenues and economies of scale.</w:t>
            </w:r>
          </w:p>
        </w:tc>
      </w:tr>
      <w:tr w:rsidR="00EA38DE" w:rsidRPr="00EA38DE" w14:paraId="02A1A06D" w14:textId="77777777" w:rsidTr="00CF7D7E">
        <w:tc>
          <w:tcPr>
            <w:tcW w:w="704" w:type="dxa"/>
            <w:hideMark/>
          </w:tcPr>
          <w:p w14:paraId="43A7DC5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w:t>
            </w:r>
          </w:p>
        </w:tc>
        <w:tc>
          <w:tcPr>
            <w:tcW w:w="1138" w:type="dxa"/>
            <w:hideMark/>
          </w:tcPr>
          <w:p w14:paraId="19BC802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Béné et al. (2016)</w:t>
            </w:r>
          </w:p>
        </w:tc>
        <w:tc>
          <w:tcPr>
            <w:tcW w:w="1839" w:type="dxa"/>
            <w:hideMark/>
          </w:tcPr>
          <w:p w14:paraId="6F8DE2E9" w14:textId="6F46FB93" w:rsidR="00D21613" w:rsidRPr="00EA38DE" w:rsidRDefault="00D616F0" w:rsidP="00C17F5A">
            <w:pPr>
              <w:rPr>
                <w:rFonts w:ascii="Times New Roman" w:eastAsia="Times New Roman" w:hAnsi="Times New Roman"/>
                <w:sz w:val="24"/>
                <w:szCs w:val="24"/>
              </w:rPr>
            </w:pPr>
            <w:r w:rsidRPr="00EA38DE">
              <w:rPr>
                <w:rStyle w:val="Strong"/>
                <w:rFonts w:ascii="Times New Roman" w:hAnsi="Times New Roman"/>
                <w:b w:val="0"/>
                <w:bCs w:val="0"/>
                <w:sz w:val="24"/>
                <w:szCs w:val="24"/>
              </w:rPr>
              <w:t>Shipping Infrastructure, Freight Volatility, and Fisheries Export Profitability in Coastal Developing Countries</w:t>
            </w:r>
            <w:r w:rsidRPr="00EA38DE">
              <w:rPr>
                <w:rStyle w:val="Strong"/>
              </w:rPr>
              <w:t>.</w:t>
            </w:r>
          </w:p>
        </w:tc>
        <w:tc>
          <w:tcPr>
            <w:tcW w:w="992" w:type="dxa"/>
          </w:tcPr>
          <w:p w14:paraId="7B4C7912" w14:textId="112C8137" w:rsidR="00D21613" w:rsidRPr="00EA38DE" w:rsidRDefault="00D616F0"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2010 2015</w:t>
            </w:r>
          </w:p>
        </w:tc>
        <w:tc>
          <w:tcPr>
            <w:tcW w:w="1276" w:type="dxa"/>
            <w:hideMark/>
          </w:tcPr>
          <w:p w14:paraId="3146F710" w14:textId="68681076"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Coastal developing countries</w:t>
            </w:r>
          </w:p>
        </w:tc>
        <w:tc>
          <w:tcPr>
            <w:tcW w:w="1701" w:type="dxa"/>
            <w:hideMark/>
          </w:tcPr>
          <w:p w14:paraId="0A80E26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 stats, surveys, case studies</w:t>
            </w:r>
          </w:p>
        </w:tc>
        <w:tc>
          <w:tcPr>
            <w:tcW w:w="1843" w:type="dxa"/>
            <w:hideMark/>
          </w:tcPr>
          <w:p w14:paraId="0D79543F"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Poor shipping infrastructure and volatile freight rates reduce profitability of fisheries exports.</w:t>
            </w:r>
          </w:p>
        </w:tc>
      </w:tr>
      <w:tr w:rsidR="00EA38DE" w:rsidRPr="00EA38DE" w14:paraId="660C5C77" w14:textId="77777777" w:rsidTr="00CF7D7E">
        <w:tc>
          <w:tcPr>
            <w:tcW w:w="704" w:type="dxa"/>
            <w:hideMark/>
          </w:tcPr>
          <w:p w14:paraId="0D94172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w:t>
            </w:r>
          </w:p>
        </w:tc>
        <w:tc>
          <w:tcPr>
            <w:tcW w:w="1138" w:type="dxa"/>
            <w:hideMark/>
          </w:tcPr>
          <w:p w14:paraId="05498E7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Alege et al. (2016)</w:t>
            </w:r>
          </w:p>
        </w:tc>
        <w:tc>
          <w:tcPr>
            <w:tcW w:w="1839" w:type="dxa"/>
            <w:hideMark/>
          </w:tcPr>
          <w:p w14:paraId="71EC0EEC" w14:textId="1D1F5360" w:rsidR="00D21613" w:rsidRPr="00EA38DE" w:rsidRDefault="00D616F0" w:rsidP="0002738A">
            <w:pPr>
              <w:rPr>
                <w:rFonts w:ascii="Times New Roman" w:eastAsia="Times New Roman" w:hAnsi="Times New Roman"/>
                <w:sz w:val="24"/>
                <w:szCs w:val="24"/>
              </w:rPr>
            </w:pPr>
            <w:r w:rsidRPr="00EA38DE">
              <w:rPr>
                <w:rFonts w:ascii="Times New Roman" w:hAnsi="Times New Roman"/>
                <w:sz w:val="24"/>
                <w:szCs w:val="24"/>
              </w:rPr>
              <w:t>Exchange Rate Volatility, Investment Confidence, and Productivity in Nigeria’s Transportation and Maritime Logistics Sectors</w:t>
            </w:r>
            <w:r w:rsidR="001E5BE8" w:rsidRPr="00EA38DE">
              <w:rPr>
                <w:rFonts w:ascii="Times New Roman" w:hAnsi="Times New Roman"/>
                <w:sz w:val="24"/>
                <w:szCs w:val="24"/>
              </w:rPr>
              <w:t>.</w:t>
            </w:r>
          </w:p>
        </w:tc>
        <w:tc>
          <w:tcPr>
            <w:tcW w:w="992" w:type="dxa"/>
          </w:tcPr>
          <w:p w14:paraId="512184E7" w14:textId="2737A771" w:rsidR="00D21613" w:rsidRPr="00EA38DE" w:rsidRDefault="00D616F0"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1981 2014</w:t>
            </w:r>
          </w:p>
        </w:tc>
        <w:tc>
          <w:tcPr>
            <w:tcW w:w="1276" w:type="dxa"/>
            <w:hideMark/>
          </w:tcPr>
          <w:p w14:paraId="080578D0" w14:textId="3FCDB18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hideMark/>
          </w:tcPr>
          <w:p w14:paraId="54F8677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VAR, GMM econometric modeling</w:t>
            </w:r>
          </w:p>
        </w:tc>
        <w:tc>
          <w:tcPr>
            <w:tcW w:w="1843" w:type="dxa"/>
            <w:hideMark/>
          </w:tcPr>
          <w:p w14:paraId="58A5A734"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reduces investment confidence and sector productivity, especially in transportation and maritime logistics.</w:t>
            </w:r>
          </w:p>
        </w:tc>
      </w:tr>
      <w:tr w:rsidR="00EA38DE" w:rsidRPr="00EA38DE" w14:paraId="22FA6FED" w14:textId="77777777" w:rsidTr="00CF7D7E">
        <w:tc>
          <w:tcPr>
            <w:tcW w:w="704" w:type="dxa"/>
            <w:hideMark/>
          </w:tcPr>
          <w:p w14:paraId="034434A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8</w:t>
            </w:r>
          </w:p>
        </w:tc>
        <w:tc>
          <w:tcPr>
            <w:tcW w:w="1138" w:type="dxa"/>
            <w:hideMark/>
          </w:tcPr>
          <w:p w14:paraId="6AA3871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World Bank (2017)</w:t>
            </w:r>
          </w:p>
        </w:tc>
        <w:tc>
          <w:tcPr>
            <w:tcW w:w="1839" w:type="dxa"/>
            <w:hideMark/>
          </w:tcPr>
          <w:p w14:paraId="1E8324BA" w14:textId="37F30C84" w:rsidR="00D21613" w:rsidRPr="00EA38DE" w:rsidRDefault="00D616F0" w:rsidP="00A9738B">
            <w:pPr>
              <w:rPr>
                <w:rFonts w:ascii="Times New Roman" w:eastAsia="Times New Roman" w:hAnsi="Times New Roman"/>
                <w:sz w:val="24"/>
                <w:szCs w:val="24"/>
              </w:rPr>
            </w:pPr>
            <w:r w:rsidRPr="00EA38DE">
              <w:rPr>
                <w:rFonts w:ascii="Times New Roman" w:hAnsi="Times New Roman"/>
                <w:sz w:val="24"/>
                <w:szCs w:val="24"/>
              </w:rPr>
              <w:t xml:space="preserve">Fisheries Infrastructure Deficits and Their Impact on Shipping </w:t>
            </w:r>
            <w:r w:rsidRPr="00EA38DE">
              <w:rPr>
                <w:rFonts w:ascii="Times New Roman" w:hAnsi="Times New Roman"/>
                <w:sz w:val="24"/>
                <w:szCs w:val="24"/>
              </w:rPr>
              <w:lastRenderedPageBreak/>
              <w:t>Competitiveness and Port Turnaround in Nigeria</w:t>
            </w:r>
            <w:r w:rsidR="00615B3E" w:rsidRPr="00EA38DE">
              <w:rPr>
                <w:rFonts w:ascii="Times New Roman" w:hAnsi="Times New Roman"/>
                <w:sz w:val="24"/>
                <w:szCs w:val="24"/>
              </w:rPr>
              <w:t>.</w:t>
            </w:r>
          </w:p>
        </w:tc>
        <w:tc>
          <w:tcPr>
            <w:tcW w:w="992" w:type="dxa"/>
          </w:tcPr>
          <w:p w14:paraId="7671D0A7" w14:textId="2348B922" w:rsidR="00D21613" w:rsidRPr="00EA38DE" w:rsidRDefault="00D616F0"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2010 2016</w:t>
            </w:r>
          </w:p>
        </w:tc>
        <w:tc>
          <w:tcPr>
            <w:tcW w:w="1276" w:type="dxa"/>
            <w:hideMark/>
          </w:tcPr>
          <w:p w14:paraId="2824BF1A" w14:textId="0DF4767A"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hideMark/>
          </w:tcPr>
          <w:p w14:paraId="24C3FF8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Sectoral assessment, surveys, audits</w:t>
            </w:r>
          </w:p>
        </w:tc>
        <w:tc>
          <w:tcPr>
            <w:tcW w:w="1843" w:type="dxa"/>
            <w:hideMark/>
          </w:tcPr>
          <w:p w14:paraId="0E2E5834"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Poor fisheries infrastructure hampers competitiveness, leads to </w:t>
            </w:r>
            <w:r w:rsidRPr="00EA38DE">
              <w:rPr>
                <w:rFonts w:ascii="Times New Roman" w:eastAsia="Times New Roman" w:hAnsi="Times New Roman"/>
                <w:sz w:val="24"/>
                <w:szCs w:val="24"/>
              </w:rPr>
              <w:lastRenderedPageBreak/>
              <w:t>underutilized shipping and longer turnaround times.</w:t>
            </w:r>
          </w:p>
        </w:tc>
      </w:tr>
      <w:tr w:rsidR="00EA38DE" w:rsidRPr="00EA38DE" w14:paraId="0F5FA51A" w14:textId="77777777" w:rsidTr="00CF7D7E">
        <w:tc>
          <w:tcPr>
            <w:tcW w:w="704" w:type="dxa"/>
            <w:hideMark/>
          </w:tcPr>
          <w:p w14:paraId="7CA490F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9</w:t>
            </w:r>
          </w:p>
        </w:tc>
        <w:tc>
          <w:tcPr>
            <w:tcW w:w="1138" w:type="dxa"/>
            <w:hideMark/>
          </w:tcPr>
          <w:p w14:paraId="50595015" w14:textId="60BAC37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Ekpo &amp; Essien (2017)</w:t>
            </w:r>
          </w:p>
        </w:tc>
        <w:tc>
          <w:tcPr>
            <w:tcW w:w="1839" w:type="dxa"/>
            <w:hideMark/>
          </w:tcPr>
          <w:p w14:paraId="71F74EEF" w14:textId="77777777" w:rsidR="00D21613" w:rsidRPr="00EA38DE" w:rsidRDefault="00D21613" w:rsidP="00FB1E86">
            <w:pPr>
              <w:rPr>
                <w:rFonts w:ascii="Times New Roman" w:hAnsi="Times New Roman"/>
                <w:sz w:val="24"/>
                <w:szCs w:val="24"/>
              </w:rPr>
            </w:pPr>
            <w:r w:rsidRPr="00EA38DE">
              <w:rPr>
                <w:rFonts w:ascii="Times New Roman" w:hAnsi="Times New Roman"/>
                <w:sz w:val="24"/>
                <w:szCs w:val="24"/>
              </w:rPr>
              <w:t xml:space="preserve">Fish Production, Exchange Rate Constraints, and Export Earnings in Nigeria’s Cold-Chain Shipping Sector. </w:t>
            </w:r>
          </w:p>
          <w:p w14:paraId="0D620A14" w14:textId="403CE37A" w:rsidR="00D21613" w:rsidRPr="00EA38DE" w:rsidRDefault="00D21613" w:rsidP="00FB1E86">
            <w:pPr>
              <w:rPr>
                <w:rFonts w:ascii="Times New Roman" w:eastAsia="Times New Roman" w:hAnsi="Times New Roman"/>
                <w:sz w:val="24"/>
                <w:szCs w:val="24"/>
              </w:rPr>
            </w:pPr>
          </w:p>
        </w:tc>
        <w:tc>
          <w:tcPr>
            <w:tcW w:w="992" w:type="dxa"/>
          </w:tcPr>
          <w:p w14:paraId="3074717B" w14:textId="77777777" w:rsidR="00D21613" w:rsidRPr="00EA38DE" w:rsidRDefault="00615B3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2012</w:t>
            </w:r>
          </w:p>
          <w:p w14:paraId="50A9B362" w14:textId="3A68113A" w:rsidR="00615B3E" w:rsidRPr="00EA38DE" w:rsidRDefault="00615B3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2016</w:t>
            </w:r>
          </w:p>
        </w:tc>
        <w:tc>
          <w:tcPr>
            <w:tcW w:w="1276" w:type="dxa"/>
            <w:hideMark/>
          </w:tcPr>
          <w:p w14:paraId="05294995" w14:textId="075E8890"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hideMark/>
          </w:tcPr>
          <w:p w14:paraId="1BF881F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Correlation and regression analysis</w:t>
            </w:r>
          </w:p>
        </w:tc>
        <w:tc>
          <w:tcPr>
            <w:tcW w:w="1843" w:type="dxa"/>
            <w:hideMark/>
          </w:tcPr>
          <w:p w14:paraId="279EBA5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Fish production increases demand for cold chain shipping; but exchange rate issues lead to cost overruns and reduce export earnings.</w:t>
            </w:r>
          </w:p>
        </w:tc>
      </w:tr>
      <w:tr w:rsidR="00EA38DE" w:rsidRPr="00EA38DE" w14:paraId="07F498DB" w14:textId="77777777" w:rsidTr="00CF7D7E">
        <w:tc>
          <w:tcPr>
            <w:tcW w:w="704" w:type="dxa"/>
            <w:hideMark/>
          </w:tcPr>
          <w:p w14:paraId="634D95D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10</w:t>
            </w:r>
          </w:p>
        </w:tc>
        <w:tc>
          <w:tcPr>
            <w:tcW w:w="1138" w:type="dxa"/>
            <w:hideMark/>
          </w:tcPr>
          <w:p w14:paraId="3279FFD8" w14:textId="62F4218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Ahmad &amp; Wazir (2017)</w:t>
            </w:r>
          </w:p>
        </w:tc>
        <w:tc>
          <w:tcPr>
            <w:tcW w:w="1839" w:type="dxa"/>
            <w:hideMark/>
          </w:tcPr>
          <w:p w14:paraId="0D58D7CA" w14:textId="0CB6BF71" w:rsidR="00D21613" w:rsidRPr="00EA38DE" w:rsidRDefault="00D21613" w:rsidP="00FB1E86">
            <w:pPr>
              <w:rPr>
                <w:rFonts w:ascii="Times New Roman" w:eastAsia="Times New Roman" w:hAnsi="Times New Roman"/>
                <w:sz w:val="24"/>
                <w:szCs w:val="24"/>
              </w:rPr>
            </w:pPr>
            <w:r w:rsidRPr="00EA38DE">
              <w:rPr>
                <w:rFonts w:ascii="Times New Roman" w:hAnsi="Times New Roman"/>
                <w:sz w:val="24"/>
                <w:szCs w:val="24"/>
              </w:rPr>
              <w:t xml:space="preserve">Exchange Rate Volatility and Financial Performance of Shipping Companies in Pakistan: Evidence from ARDL Models. </w:t>
            </w:r>
          </w:p>
        </w:tc>
        <w:tc>
          <w:tcPr>
            <w:tcW w:w="992" w:type="dxa"/>
          </w:tcPr>
          <w:p w14:paraId="655CAD42" w14:textId="77777777" w:rsidR="00D21613" w:rsidRPr="00EA38DE" w:rsidRDefault="00615B3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2006</w:t>
            </w:r>
          </w:p>
          <w:p w14:paraId="38C18F3A" w14:textId="515441D9" w:rsidR="00615B3E" w:rsidRPr="00EA38DE" w:rsidRDefault="00615B3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2016</w:t>
            </w:r>
          </w:p>
        </w:tc>
        <w:tc>
          <w:tcPr>
            <w:tcW w:w="1276" w:type="dxa"/>
            <w:hideMark/>
          </w:tcPr>
          <w:p w14:paraId="245B1D74" w14:textId="1953A3DA"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Pakistan</w:t>
            </w:r>
          </w:p>
        </w:tc>
        <w:tc>
          <w:tcPr>
            <w:tcW w:w="1701" w:type="dxa"/>
            <w:hideMark/>
          </w:tcPr>
          <w:p w14:paraId="2165FD41" w14:textId="10A02199" w:rsidR="00615B3E" w:rsidRPr="00EA38DE" w:rsidRDefault="00D21613" w:rsidP="00615B3E">
            <w:pPr>
              <w:jc w:val="both"/>
              <w:rPr>
                <w:rFonts w:ascii="Times New Roman" w:eastAsia="Times New Roman" w:hAnsi="Times New Roman"/>
                <w:sz w:val="24"/>
                <w:szCs w:val="24"/>
              </w:rPr>
            </w:pPr>
            <w:r w:rsidRPr="00EA38DE">
              <w:rPr>
                <w:rFonts w:ascii="Times New Roman" w:eastAsia="Times New Roman" w:hAnsi="Times New Roman"/>
                <w:sz w:val="24"/>
                <w:szCs w:val="24"/>
              </w:rPr>
              <w:t>Time-series econometri</w:t>
            </w:r>
            <w:r w:rsidR="00615B3E" w:rsidRPr="00EA38DE">
              <w:rPr>
                <w:rFonts w:ascii="Times New Roman" w:eastAsia="Times New Roman" w:hAnsi="Times New Roman"/>
                <w:sz w:val="24"/>
                <w:szCs w:val="24"/>
              </w:rPr>
              <w:t>cs</w:t>
            </w:r>
          </w:p>
          <w:p w14:paraId="5685A00A" w14:textId="5DE7D1BC" w:rsidR="00D21613" w:rsidRPr="00EA38DE" w:rsidRDefault="00D21613" w:rsidP="00615B3E">
            <w:pPr>
              <w:jc w:val="both"/>
              <w:rPr>
                <w:rFonts w:ascii="Times New Roman" w:eastAsia="Times New Roman" w:hAnsi="Times New Roman"/>
                <w:sz w:val="24"/>
                <w:szCs w:val="24"/>
              </w:rPr>
            </w:pPr>
            <w:r w:rsidRPr="00EA38DE">
              <w:rPr>
                <w:rFonts w:ascii="Times New Roman" w:eastAsia="Times New Roman" w:hAnsi="Times New Roman"/>
                <w:sz w:val="24"/>
                <w:szCs w:val="24"/>
              </w:rPr>
              <w:t>ARDL models</w:t>
            </w:r>
          </w:p>
        </w:tc>
        <w:tc>
          <w:tcPr>
            <w:tcW w:w="1843" w:type="dxa"/>
            <w:hideMark/>
          </w:tcPr>
          <w:p w14:paraId="5F59829D"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negatively affects revenue and operating costs of shipping companies in Pakistan.</w:t>
            </w:r>
          </w:p>
        </w:tc>
      </w:tr>
      <w:tr w:rsidR="00EA38DE" w:rsidRPr="00EA38DE" w14:paraId="6571150F" w14:textId="77777777" w:rsidTr="00CF7D7E">
        <w:tc>
          <w:tcPr>
            <w:tcW w:w="704" w:type="dxa"/>
          </w:tcPr>
          <w:p w14:paraId="4D98B88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11</w:t>
            </w:r>
          </w:p>
        </w:tc>
        <w:tc>
          <w:tcPr>
            <w:tcW w:w="1138" w:type="dxa"/>
          </w:tcPr>
          <w:p w14:paraId="76EC5BB3" w14:textId="47C79C0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Onuoha &amp; Okonkwo (2018)</w:t>
            </w:r>
          </w:p>
        </w:tc>
        <w:tc>
          <w:tcPr>
            <w:tcW w:w="1839" w:type="dxa"/>
          </w:tcPr>
          <w:p w14:paraId="6486CC80" w14:textId="76A8ABCD" w:rsidR="00D21613" w:rsidRPr="00EA38DE" w:rsidRDefault="00D21613" w:rsidP="00FB1E86">
            <w:pPr>
              <w:rPr>
                <w:rFonts w:ascii="Times New Roman" w:eastAsia="Times New Roman" w:hAnsi="Times New Roman"/>
                <w:sz w:val="24"/>
                <w:szCs w:val="24"/>
              </w:rPr>
            </w:pPr>
            <w:r w:rsidRPr="00EA38DE">
              <w:rPr>
                <w:rFonts w:ascii="Times New Roman" w:hAnsi="Times New Roman"/>
                <w:sz w:val="24"/>
                <w:szCs w:val="24"/>
              </w:rPr>
              <w:t>Aquaculture Output and Maritime Logistics Profitability in Nigeria: Evidence from Multiple Regression Analysis</w:t>
            </w:r>
            <w:r w:rsidR="00615B3E" w:rsidRPr="00EA38DE">
              <w:rPr>
                <w:rFonts w:ascii="Times New Roman" w:eastAsia="Times New Roman" w:hAnsi="Times New Roman"/>
                <w:sz w:val="24"/>
                <w:szCs w:val="24"/>
              </w:rPr>
              <w:t>.</w:t>
            </w:r>
          </w:p>
        </w:tc>
        <w:tc>
          <w:tcPr>
            <w:tcW w:w="992" w:type="dxa"/>
          </w:tcPr>
          <w:p w14:paraId="2242ADDC" w14:textId="77777777" w:rsidR="00D21613" w:rsidRPr="00EA38DE" w:rsidRDefault="00615B3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4CFF7A53" w14:textId="310DAB54" w:rsidR="00615B3E" w:rsidRPr="00EA38DE" w:rsidRDefault="00615B3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2016</w:t>
            </w:r>
          </w:p>
        </w:tc>
        <w:tc>
          <w:tcPr>
            <w:tcW w:w="1276" w:type="dxa"/>
          </w:tcPr>
          <w:p w14:paraId="226028B0" w14:textId="74A08446"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5E05A7C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Multiple regression analysis</w:t>
            </w:r>
          </w:p>
        </w:tc>
        <w:tc>
          <w:tcPr>
            <w:tcW w:w="1843" w:type="dxa"/>
          </w:tcPr>
          <w:p w14:paraId="1A024DD8"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Aquaculture output positively correlates with maritime logistics profitability; improved cold chain logistics enhances sector financials.</w:t>
            </w:r>
          </w:p>
        </w:tc>
      </w:tr>
      <w:tr w:rsidR="00EA38DE" w:rsidRPr="00EA38DE" w14:paraId="62274214" w14:textId="77777777" w:rsidTr="00CF7D7E">
        <w:tc>
          <w:tcPr>
            <w:tcW w:w="704" w:type="dxa"/>
          </w:tcPr>
          <w:p w14:paraId="3E41C62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12</w:t>
            </w:r>
          </w:p>
        </w:tc>
        <w:tc>
          <w:tcPr>
            <w:tcW w:w="1138" w:type="dxa"/>
          </w:tcPr>
          <w:p w14:paraId="7C5AA61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Chang et al. (2018)</w:t>
            </w:r>
          </w:p>
        </w:tc>
        <w:tc>
          <w:tcPr>
            <w:tcW w:w="1839" w:type="dxa"/>
          </w:tcPr>
          <w:p w14:paraId="3CA3CDB3" w14:textId="5F3DBB06" w:rsidR="00D21613" w:rsidRPr="00EA38DE" w:rsidRDefault="00D21613" w:rsidP="00B93E94">
            <w:pPr>
              <w:rPr>
                <w:rFonts w:ascii="Times New Roman" w:hAnsi="Times New Roman"/>
                <w:sz w:val="24"/>
                <w:szCs w:val="24"/>
              </w:rPr>
            </w:pPr>
            <w:r w:rsidRPr="00EA38DE">
              <w:rPr>
                <w:rFonts w:ascii="Times New Roman" w:hAnsi="Times New Roman"/>
                <w:sz w:val="24"/>
                <w:szCs w:val="24"/>
              </w:rPr>
              <w:t>Exchange Rate Depreciation, Import Costs, and Shipping Firm Performance: Evidence from South Korea and Taiwan.</w:t>
            </w:r>
          </w:p>
        </w:tc>
        <w:tc>
          <w:tcPr>
            <w:tcW w:w="992" w:type="dxa"/>
          </w:tcPr>
          <w:p w14:paraId="004CDBCA" w14:textId="77777777" w:rsidR="00D21613" w:rsidRPr="00EA38DE" w:rsidRDefault="00615B3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2000</w:t>
            </w:r>
          </w:p>
          <w:p w14:paraId="4B123A42" w14:textId="380E8736"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2016</w:t>
            </w:r>
          </w:p>
        </w:tc>
        <w:tc>
          <w:tcPr>
            <w:tcW w:w="1276" w:type="dxa"/>
          </w:tcPr>
          <w:p w14:paraId="73172F28" w14:textId="0004969A"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South Korea, Taiwan</w:t>
            </w:r>
          </w:p>
        </w:tc>
        <w:tc>
          <w:tcPr>
            <w:tcW w:w="1701" w:type="dxa"/>
          </w:tcPr>
          <w:p w14:paraId="5B78F74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Dynamic panel model (GMM)</w:t>
            </w:r>
          </w:p>
        </w:tc>
        <w:tc>
          <w:tcPr>
            <w:tcW w:w="1843" w:type="dxa"/>
          </w:tcPr>
          <w:p w14:paraId="4AB3789F"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Currency depreciation increases import costs, reduces shipping volumes, and negatively affects return on assets (ROA) of shipping firms.</w:t>
            </w:r>
          </w:p>
        </w:tc>
      </w:tr>
      <w:tr w:rsidR="00EA38DE" w:rsidRPr="00EA38DE" w14:paraId="34C2A9A7" w14:textId="77777777" w:rsidTr="00CF7D7E">
        <w:tc>
          <w:tcPr>
            <w:tcW w:w="704" w:type="dxa"/>
          </w:tcPr>
          <w:p w14:paraId="171EDCB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13</w:t>
            </w:r>
          </w:p>
        </w:tc>
        <w:tc>
          <w:tcPr>
            <w:tcW w:w="1138" w:type="dxa"/>
          </w:tcPr>
          <w:p w14:paraId="160573E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Ezeaku et al. (2018)</w:t>
            </w:r>
          </w:p>
        </w:tc>
        <w:tc>
          <w:tcPr>
            <w:tcW w:w="1839" w:type="dxa"/>
          </w:tcPr>
          <w:p w14:paraId="6A3D2E13" w14:textId="34C2F424" w:rsidR="00D21613" w:rsidRPr="00EA38DE" w:rsidRDefault="00D21613" w:rsidP="00B93E94">
            <w:pPr>
              <w:rPr>
                <w:rFonts w:ascii="Times New Roman" w:hAnsi="Times New Roman"/>
                <w:sz w:val="24"/>
                <w:szCs w:val="24"/>
              </w:rPr>
            </w:pPr>
            <w:r w:rsidRPr="00EA38DE">
              <w:rPr>
                <w:rFonts w:ascii="Times New Roman" w:hAnsi="Times New Roman"/>
                <w:sz w:val="24"/>
                <w:szCs w:val="24"/>
              </w:rPr>
              <w:t xml:space="preserve">Exchange Rate Volatility and Financial </w:t>
            </w:r>
            <w:r w:rsidRPr="00EA38DE">
              <w:rPr>
                <w:rFonts w:ascii="Times New Roman" w:hAnsi="Times New Roman"/>
                <w:sz w:val="24"/>
                <w:szCs w:val="24"/>
              </w:rPr>
              <w:lastRenderedPageBreak/>
              <w:t>Performance of Nigerian Shipping Firms: Evidence from Time-Series Econometric Analysis.</w:t>
            </w:r>
          </w:p>
        </w:tc>
        <w:tc>
          <w:tcPr>
            <w:tcW w:w="992" w:type="dxa"/>
          </w:tcPr>
          <w:p w14:paraId="4F1A9674"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2000</w:t>
            </w:r>
          </w:p>
          <w:p w14:paraId="7D0636D2" w14:textId="738DD10F"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2016</w:t>
            </w:r>
          </w:p>
        </w:tc>
        <w:tc>
          <w:tcPr>
            <w:tcW w:w="1276" w:type="dxa"/>
          </w:tcPr>
          <w:p w14:paraId="481D8D15" w14:textId="1551C52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30BA33F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Time-series econometric analysis</w:t>
            </w:r>
          </w:p>
        </w:tc>
        <w:tc>
          <w:tcPr>
            <w:tcW w:w="1843" w:type="dxa"/>
          </w:tcPr>
          <w:p w14:paraId="7268AD06"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Shipping firms are highly vulnerable to FX </w:t>
            </w:r>
            <w:r w:rsidRPr="00EA38DE">
              <w:rPr>
                <w:rFonts w:ascii="Times New Roman" w:eastAsia="Times New Roman" w:hAnsi="Times New Roman"/>
                <w:sz w:val="24"/>
                <w:szCs w:val="24"/>
              </w:rPr>
              <w:lastRenderedPageBreak/>
              <w:t>volatility; causes higher operating costs and reduced margins.</w:t>
            </w:r>
          </w:p>
        </w:tc>
      </w:tr>
      <w:tr w:rsidR="00EA38DE" w:rsidRPr="00EA38DE" w14:paraId="1D4BFAE7" w14:textId="77777777" w:rsidTr="00CF7D7E">
        <w:tc>
          <w:tcPr>
            <w:tcW w:w="704" w:type="dxa"/>
          </w:tcPr>
          <w:p w14:paraId="2AF349D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14</w:t>
            </w:r>
          </w:p>
        </w:tc>
        <w:tc>
          <w:tcPr>
            <w:tcW w:w="1138" w:type="dxa"/>
          </w:tcPr>
          <w:p w14:paraId="52651666" w14:textId="4EC97EC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Akpan &amp; Essien (2018)</w:t>
            </w:r>
          </w:p>
        </w:tc>
        <w:tc>
          <w:tcPr>
            <w:tcW w:w="1839" w:type="dxa"/>
          </w:tcPr>
          <w:p w14:paraId="0B19179B" w14:textId="268AAC4E" w:rsidR="00D21613" w:rsidRPr="00EA38DE" w:rsidRDefault="00D21613" w:rsidP="00B93E94">
            <w:pPr>
              <w:rPr>
                <w:rFonts w:ascii="Times New Roman" w:hAnsi="Times New Roman"/>
                <w:sz w:val="24"/>
                <w:szCs w:val="24"/>
              </w:rPr>
            </w:pPr>
            <w:r w:rsidRPr="00EA38DE">
              <w:rPr>
                <w:rFonts w:ascii="Times New Roman" w:hAnsi="Times New Roman"/>
                <w:sz w:val="24"/>
                <w:szCs w:val="24"/>
              </w:rPr>
              <w:t>Impact of Naira Depreciation on Logistics and Maintenance Costs in Nigerian Shipping Firms.</w:t>
            </w:r>
          </w:p>
        </w:tc>
        <w:tc>
          <w:tcPr>
            <w:tcW w:w="992" w:type="dxa"/>
          </w:tcPr>
          <w:p w14:paraId="206D5783"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1CF29BAA" w14:textId="2D07A081"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2017</w:t>
            </w:r>
          </w:p>
        </w:tc>
        <w:tc>
          <w:tcPr>
            <w:tcW w:w="1276" w:type="dxa"/>
          </w:tcPr>
          <w:p w14:paraId="5CAB52E6" w14:textId="72721092"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3398273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Time-series econometrics, import/cost analysis</w:t>
            </w:r>
          </w:p>
        </w:tc>
        <w:tc>
          <w:tcPr>
            <w:tcW w:w="1843" w:type="dxa"/>
          </w:tcPr>
          <w:p w14:paraId="6F25EEED"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Over 70% of inputs are dollar-denominated; naira depreciation sharply increases logistics and maintenance costs.</w:t>
            </w:r>
          </w:p>
        </w:tc>
      </w:tr>
      <w:tr w:rsidR="00EA38DE" w:rsidRPr="00EA38DE" w14:paraId="027E8023" w14:textId="77777777" w:rsidTr="00CF7D7E">
        <w:tc>
          <w:tcPr>
            <w:tcW w:w="704" w:type="dxa"/>
          </w:tcPr>
          <w:p w14:paraId="06E52CB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15</w:t>
            </w:r>
          </w:p>
        </w:tc>
        <w:tc>
          <w:tcPr>
            <w:tcW w:w="1138" w:type="dxa"/>
          </w:tcPr>
          <w:p w14:paraId="20F01B5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World Bank (2019)</w:t>
            </w:r>
          </w:p>
        </w:tc>
        <w:tc>
          <w:tcPr>
            <w:tcW w:w="1839" w:type="dxa"/>
          </w:tcPr>
          <w:p w14:paraId="3655329E" w14:textId="7AF96121" w:rsidR="00D21613" w:rsidRPr="00EA38DE" w:rsidRDefault="00D21613" w:rsidP="00622294">
            <w:pPr>
              <w:rPr>
                <w:rFonts w:ascii="Times New Roman" w:eastAsia="Times New Roman" w:hAnsi="Times New Roman"/>
                <w:sz w:val="24"/>
                <w:szCs w:val="24"/>
              </w:rPr>
            </w:pPr>
            <w:r w:rsidRPr="00EA38DE">
              <w:rPr>
                <w:rFonts w:ascii="Times New Roman" w:hAnsi="Times New Roman"/>
                <w:sz w:val="24"/>
                <w:szCs w:val="24"/>
              </w:rPr>
              <w:t>Desalination Integration and Maritime Sector Performance in Nigeria: A Sectoral Review</w:t>
            </w:r>
            <w:r w:rsidR="00430662" w:rsidRPr="00EA38DE">
              <w:rPr>
                <w:rFonts w:ascii="Times New Roman" w:hAnsi="Times New Roman"/>
                <w:sz w:val="24"/>
                <w:szCs w:val="24"/>
              </w:rPr>
              <w:t>.</w:t>
            </w:r>
          </w:p>
        </w:tc>
        <w:tc>
          <w:tcPr>
            <w:tcW w:w="992" w:type="dxa"/>
          </w:tcPr>
          <w:p w14:paraId="1D11DBC7"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214A3BEA" w14:textId="7CB75C84"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7D83ADB6" w14:textId="224A8E85"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3FAC28E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Sectoral review methodology</w:t>
            </w:r>
          </w:p>
        </w:tc>
        <w:tc>
          <w:tcPr>
            <w:tcW w:w="1843" w:type="dxa"/>
          </w:tcPr>
          <w:p w14:paraId="4AAA4DFB"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Desalination integration (e.g., at Lekki Port) boosts revenue and promotes maritime diversification; enhances financial performance.</w:t>
            </w:r>
          </w:p>
        </w:tc>
      </w:tr>
      <w:tr w:rsidR="00EA38DE" w:rsidRPr="00EA38DE" w14:paraId="08EDB8A7" w14:textId="77777777" w:rsidTr="00CF7D7E">
        <w:tc>
          <w:tcPr>
            <w:tcW w:w="704" w:type="dxa"/>
          </w:tcPr>
          <w:p w14:paraId="4A066C0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16</w:t>
            </w:r>
          </w:p>
        </w:tc>
        <w:tc>
          <w:tcPr>
            <w:tcW w:w="1138" w:type="dxa"/>
          </w:tcPr>
          <w:p w14:paraId="736BDE14" w14:textId="31DF1A1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Adu &amp; Boateng (2019)</w:t>
            </w:r>
          </w:p>
        </w:tc>
        <w:tc>
          <w:tcPr>
            <w:tcW w:w="1839" w:type="dxa"/>
          </w:tcPr>
          <w:p w14:paraId="0C338E52" w14:textId="0AF7D588" w:rsidR="00D21613" w:rsidRPr="00EA38DE" w:rsidRDefault="00D21613" w:rsidP="00622294">
            <w:pPr>
              <w:rPr>
                <w:rFonts w:ascii="Times New Roman" w:eastAsia="Times New Roman" w:hAnsi="Times New Roman"/>
                <w:sz w:val="24"/>
                <w:szCs w:val="24"/>
              </w:rPr>
            </w:pPr>
            <w:r w:rsidRPr="00EA38DE">
              <w:rPr>
                <w:rFonts w:ascii="Times New Roman" w:hAnsi="Times New Roman"/>
                <w:sz w:val="24"/>
                <w:szCs w:val="24"/>
              </w:rPr>
              <w:t xml:space="preserve">Maritime Infrastructure Investment, Cargo Throughput, and Revenue Performance in West Africa: Evidence from Ghana and Nigeria. </w:t>
            </w:r>
          </w:p>
        </w:tc>
        <w:tc>
          <w:tcPr>
            <w:tcW w:w="992" w:type="dxa"/>
          </w:tcPr>
          <w:p w14:paraId="2A92C772"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0CE0FA40" w14:textId="73284B4F"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2017</w:t>
            </w:r>
          </w:p>
        </w:tc>
        <w:tc>
          <w:tcPr>
            <w:tcW w:w="1276" w:type="dxa"/>
          </w:tcPr>
          <w:p w14:paraId="30E7863B" w14:textId="37E9514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Ghana, Nigeria</w:t>
            </w:r>
          </w:p>
        </w:tc>
        <w:tc>
          <w:tcPr>
            <w:tcW w:w="1701" w:type="dxa"/>
          </w:tcPr>
          <w:p w14:paraId="3D153FE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Econometric modeling</w:t>
            </w:r>
          </w:p>
        </w:tc>
        <w:tc>
          <w:tcPr>
            <w:tcW w:w="1843" w:type="dxa"/>
          </w:tcPr>
          <w:p w14:paraId="7340684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Investment in maritime infrastructure increases cargo throughput and shipping revenue; strong public-private synergy in blue economy.</w:t>
            </w:r>
          </w:p>
        </w:tc>
      </w:tr>
      <w:tr w:rsidR="00EA38DE" w:rsidRPr="00EA38DE" w14:paraId="23E1BEA9" w14:textId="77777777" w:rsidTr="00CF7D7E">
        <w:tc>
          <w:tcPr>
            <w:tcW w:w="704" w:type="dxa"/>
          </w:tcPr>
          <w:p w14:paraId="22D1830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17</w:t>
            </w:r>
          </w:p>
        </w:tc>
        <w:tc>
          <w:tcPr>
            <w:tcW w:w="1138" w:type="dxa"/>
          </w:tcPr>
          <w:p w14:paraId="5A9BC13C" w14:textId="20C1E94A" w:rsidR="00D21613" w:rsidRPr="00EA38DE" w:rsidRDefault="00D21613" w:rsidP="008B7891">
            <w:pPr>
              <w:jc w:val="both"/>
              <w:rPr>
                <w:rFonts w:ascii="Times New Roman" w:eastAsia="Times New Roman" w:hAnsi="Times New Roman"/>
                <w:sz w:val="24"/>
                <w:szCs w:val="24"/>
              </w:rPr>
            </w:pPr>
            <w:r w:rsidRPr="00EA38DE">
              <w:rPr>
                <w:rFonts w:ascii="Times New Roman" w:hAnsi="Times New Roman"/>
                <w:sz w:val="24"/>
                <w:szCs w:val="24"/>
              </w:rPr>
              <w:t>Okoroafor, et al. (2019)</w:t>
            </w:r>
          </w:p>
        </w:tc>
        <w:tc>
          <w:tcPr>
            <w:tcW w:w="1839" w:type="dxa"/>
          </w:tcPr>
          <w:p w14:paraId="2196F996" w14:textId="77777777" w:rsidR="00D21613" w:rsidRPr="00EA38DE" w:rsidRDefault="00D21613" w:rsidP="00D0408C">
            <w:pPr>
              <w:rPr>
                <w:rFonts w:ascii="Times New Roman" w:hAnsi="Times New Roman"/>
                <w:sz w:val="24"/>
                <w:szCs w:val="24"/>
              </w:rPr>
            </w:pPr>
            <w:r w:rsidRPr="00EA38DE">
              <w:rPr>
                <w:rFonts w:ascii="Times New Roman" w:hAnsi="Times New Roman"/>
                <w:sz w:val="24"/>
                <w:szCs w:val="24"/>
              </w:rPr>
              <w:t xml:space="preserve">Valuing the Blue Economy in Nigeria: The Contribution of Maritime Transport and </w:t>
            </w:r>
            <w:r w:rsidRPr="00EA38DE">
              <w:rPr>
                <w:rFonts w:ascii="Times New Roman" w:hAnsi="Times New Roman"/>
                <w:sz w:val="24"/>
                <w:szCs w:val="24"/>
              </w:rPr>
              <w:lastRenderedPageBreak/>
              <w:t>Fisheries to GDP.</w:t>
            </w:r>
          </w:p>
          <w:p w14:paraId="24510F03" w14:textId="19BB859D" w:rsidR="00D21613" w:rsidRPr="00EA38DE" w:rsidRDefault="00D21613" w:rsidP="00D0408C">
            <w:pPr>
              <w:rPr>
                <w:rFonts w:ascii="Times New Roman" w:eastAsia="Times New Roman" w:hAnsi="Times New Roman"/>
                <w:sz w:val="24"/>
                <w:szCs w:val="24"/>
              </w:rPr>
            </w:pPr>
          </w:p>
        </w:tc>
        <w:tc>
          <w:tcPr>
            <w:tcW w:w="992" w:type="dxa"/>
          </w:tcPr>
          <w:p w14:paraId="204019C9"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2010</w:t>
            </w:r>
          </w:p>
          <w:p w14:paraId="7DCCCDB8" w14:textId="75FF46F1"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54B9B55D" w14:textId="2DED25B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736F915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Expenditure approach</w:t>
            </w:r>
          </w:p>
        </w:tc>
        <w:tc>
          <w:tcPr>
            <w:tcW w:w="1843" w:type="dxa"/>
          </w:tcPr>
          <w:p w14:paraId="1A28A22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Maritime transport and fisheries significantly contribute to GDP; underreporting </w:t>
            </w:r>
            <w:r w:rsidRPr="00EA38DE">
              <w:rPr>
                <w:rFonts w:ascii="Times New Roman" w:eastAsia="Times New Roman" w:hAnsi="Times New Roman"/>
                <w:sz w:val="24"/>
                <w:szCs w:val="24"/>
              </w:rPr>
              <w:lastRenderedPageBreak/>
              <w:t>and data gaps affect full valuation of blue economy impact.</w:t>
            </w:r>
          </w:p>
        </w:tc>
      </w:tr>
      <w:tr w:rsidR="00EA38DE" w:rsidRPr="00EA38DE" w14:paraId="5C50517A" w14:textId="77777777" w:rsidTr="00CF7D7E">
        <w:tc>
          <w:tcPr>
            <w:tcW w:w="704" w:type="dxa"/>
          </w:tcPr>
          <w:p w14:paraId="265C22F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18</w:t>
            </w:r>
          </w:p>
        </w:tc>
        <w:tc>
          <w:tcPr>
            <w:tcW w:w="1138" w:type="dxa"/>
          </w:tcPr>
          <w:p w14:paraId="37B69289" w14:textId="32C08B6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Kummu &amp; Guillaume (2019)</w:t>
            </w:r>
          </w:p>
        </w:tc>
        <w:tc>
          <w:tcPr>
            <w:tcW w:w="1839" w:type="dxa"/>
          </w:tcPr>
          <w:p w14:paraId="4481DBD4" w14:textId="77777777" w:rsidR="00D21613" w:rsidRPr="00EA38DE" w:rsidRDefault="00D21613" w:rsidP="00D0408C">
            <w:pPr>
              <w:rPr>
                <w:rFonts w:ascii="Times New Roman" w:hAnsi="Times New Roman"/>
                <w:sz w:val="24"/>
                <w:szCs w:val="24"/>
              </w:rPr>
            </w:pPr>
            <w:r w:rsidRPr="00EA38DE">
              <w:rPr>
                <w:rFonts w:ascii="Times New Roman" w:hAnsi="Times New Roman"/>
                <w:sz w:val="24"/>
                <w:szCs w:val="24"/>
              </w:rPr>
              <w:t>Global Trends in Desalinated Water Shipping: Implications for Short-Range Maritime Logistics in Water-Stressed Regions.</w:t>
            </w:r>
          </w:p>
          <w:p w14:paraId="722050B5" w14:textId="069EE349" w:rsidR="00D21613" w:rsidRPr="00EA38DE" w:rsidRDefault="00D21613" w:rsidP="00D0408C">
            <w:pPr>
              <w:rPr>
                <w:rFonts w:ascii="Times New Roman" w:eastAsia="Times New Roman" w:hAnsi="Times New Roman"/>
                <w:sz w:val="24"/>
                <w:szCs w:val="24"/>
              </w:rPr>
            </w:pPr>
          </w:p>
        </w:tc>
        <w:tc>
          <w:tcPr>
            <w:tcW w:w="992" w:type="dxa"/>
          </w:tcPr>
          <w:p w14:paraId="3910DBDC"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2005</w:t>
            </w:r>
          </w:p>
          <w:p w14:paraId="6B53B3A3" w14:textId="159E5A4A"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5CC51FC5" w14:textId="34FD0FCB"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Global (focus: MENA, etc.)</w:t>
            </w:r>
          </w:p>
        </w:tc>
        <w:tc>
          <w:tcPr>
            <w:tcW w:w="1701" w:type="dxa"/>
          </w:tcPr>
          <w:p w14:paraId="1160B7B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Comparative cross-regional analysis</w:t>
            </w:r>
          </w:p>
        </w:tc>
        <w:tc>
          <w:tcPr>
            <w:tcW w:w="1843" w:type="dxa"/>
          </w:tcPr>
          <w:p w14:paraId="46739CB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Shipping of desalinated water is increasing in arid/coastal zones due to poor water infrastructure; supports short-range maritime logistics.</w:t>
            </w:r>
          </w:p>
        </w:tc>
      </w:tr>
      <w:tr w:rsidR="00EA38DE" w:rsidRPr="00EA38DE" w14:paraId="430A3879" w14:textId="77777777" w:rsidTr="00CF7D7E">
        <w:tc>
          <w:tcPr>
            <w:tcW w:w="704" w:type="dxa"/>
          </w:tcPr>
          <w:p w14:paraId="1052A13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w:t>
            </w:r>
          </w:p>
        </w:tc>
        <w:tc>
          <w:tcPr>
            <w:tcW w:w="1138" w:type="dxa"/>
          </w:tcPr>
          <w:p w14:paraId="4CFFAA66" w14:textId="1DFABF71"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Chukwu &amp; Ibrahim (2019)</w:t>
            </w:r>
          </w:p>
        </w:tc>
        <w:tc>
          <w:tcPr>
            <w:tcW w:w="1839" w:type="dxa"/>
          </w:tcPr>
          <w:p w14:paraId="0738E8B8" w14:textId="70D6E897" w:rsidR="00D21613" w:rsidRPr="00EA38DE" w:rsidRDefault="00D21613" w:rsidP="0097470D">
            <w:pPr>
              <w:rPr>
                <w:rFonts w:ascii="Times New Roman" w:hAnsi="Times New Roman"/>
                <w:sz w:val="24"/>
                <w:szCs w:val="24"/>
              </w:rPr>
            </w:pPr>
            <w:r w:rsidRPr="00EA38DE">
              <w:rPr>
                <w:rFonts w:ascii="Times New Roman" w:hAnsi="Times New Roman"/>
                <w:sz w:val="24"/>
                <w:szCs w:val="24"/>
              </w:rPr>
              <w:t>Commercial Aquaculture and Maritime Logistics in Nigeria: Impacts of Rising Input Costs on Exports and Domestic Cargo.</w:t>
            </w:r>
          </w:p>
        </w:tc>
        <w:tc>
          <w:tcPr>
            <w:tcW w:w="992" w:type="dxa"/>
          </w:tcPr>
          <w:p w14:paraId="26A39F3F"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2013</w:t>
            </w:r>
          </w:p>
          <w:p w14:paraId="2199EBDE" w14:textId="46E73FFA"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2D449045" w14:textId="051F6CB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(Niger Delta, Lagos)</w:t>
            </w:r>
          </w:p>
        </w:tc>
        <w:tc>
          <w:tcPr>
            <w:tcW w:w="1701" w:type="dxa"/>
          </w:tcPr>
          <w:p w14:paraId="3A5F6E1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 stats &amp; interviews</w:t>
            </w:r>
          </w:p>
        </w:tc>
        <w:tc>
          <w:tcPr>
            <w:tcW w:w="1843" w:type="dxa"/>
          </w:tcPr>
          <w:p w14:paraId="7A0F966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Commercial aquaculture relies on maritime logistics; rising input costs reduce export volumes and domestic cargo movement.</w:t>
            </w:r>
          </w:p>
        </w:tc>
      </w:tr>
      <w:tr w:rsidR="00EA38DE" w:rsidRPr="00EA38DE" w14:paraId="1AC08AA2" w14:textId="77777777" w:rsidTr="00CF7D7E">
        <w:tc>
          <w:tcPr>
            <w:tcW w:w="704" w:type="dxa"/>
          </w:tcPr>
          <w:p w14:paraId="7A255D3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w:t>
            </w:r>
          </w:p>
        </w:tc>
        <w:tc>
          <w:tcPr>
            <w:tcW w:w="1138" w:type="dxa"/>
          </w:tcPr>
          <w:p w14:paraId="0676BA7D" w14:textId="78055DD5"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Silva &amp; Amaral (2019)</w:t>
            </w:r>
          </w:p>
        </w:tc>
        <w:tc>
          <w:tcPr>
            <w:tcW w:w="1839" w:type="dxa"/>
          </w:tcPr>
          <w:p w14:paraId="13DD1246" w14:textId="27253B2D" w:rsidR="00D21613" w:rsidRPr="00EA38DE" w:rsidRDefault="00D21613" w:rsidP="0097470D">
            <w:pPr>
              <w:rPr>
                <w:rFonts w:ascii="Times New Roman" w:hAnsi="Times New Roman"/>
                <w:sz w:val="24"/>
                <w:szCs w:val="24"/>
              </w:rPr>
            </w:pPr>
            <w:r w:rsidRPr="00EA38DE">
              <w:rPr>
                <w:rFonts w:ascii="Times New Roman" w:hAnsi="Times New Roman"/>
                <w:sz w:val="24"/>
                <w:szCs w:val="24"/>
              </w:rPr>
              <w:t>Fisheries Sector and Long-Term Shipping Demand in Portugal: The Role of Macroeconomic Stability and Shipping Infrastructure.</w:t>
            </w:r>
          </w:p>
        </w:tc>
        <w:tc>
          <w:tcPr>
            <w:tcW w:w="992" w:type="dxa"/>
          </w:tcPr>
          <w:p w14:paraId="7A3DA955"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2005</w:t>
            </w:r>
          </w:p>
          <w:p w14:paraId="273AD4CF" w14:textId="2EEE0C1B"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2312B823" w14:textId="28FA5926"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Portugal</w:t>
            </w:r>
          </w:p>
        </w:tc>
        <w:tc>
          <w:tcPr>
            <w:tcW w:w="1701" w:type="dxa"/>
          </w:tcPr>
          <w:p w14:paraId="202ECCB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 policy review + quantitative data</w:t>
            </w:r>
          </w:p>
        </w:tc>
        <w:tc>
          <w:tcPr>
            <w:tcW w:w="1843" w:type="dxa"/>
          </w:tcPr>
          <w:p w14:paraId="3E714713"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Long-term shipping demand from fisheries sector depends on stable macroeconomic support and better shipping infrastructure.</w:t>
            </w:r>
          </w:p>
        </w:tc>
      </w:tr>
      <w:tr w:rsidR="00EA38DE" w:rsidRPr="00EA38DE" w14:paraId="2FC81AFB" w14:textId="77777777" w:rsidTr="00CF7D7E">
        <w:tc>
          <w:tcPr>
            <w:tcW w:w="704" w:type="dxa"/>
          </w:tcPr>
          <w:p w14:paraId="67931D7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21</w:t>
            </w:r>
          </w:p>
        </w:tc>
        <w:tc>
          <w:tcPr>
            <w:tcW w:w="1138" w:type="dxa"/>
          </w:tcPr>
          <w:p w14:paraId="11DDB240" w14:textId="788F624C"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Ojo &amp; Olajide (2019)</w:t>
            </w:r>
          </w:p>
        </w:tc>
        <w:tc>
          <w:tcPr>
            <w:tcW w:w="1839" w:type="dxa"/>
          </w:tcPr>
          <w:p w14:paraId="010C0331" w14:textId="27F6E32F" w:rsidR="00D21613" w:rsidRPr="00EA38DE" w:rsidRDefault="00D21613" w:rsidP="0097470D">
            <w:pPr>
              <w:rPr>
                <w:rFonts w:ascii="Times New Roman" w:hAnsi="Times New Roman"/>
                <w:sz w:val="24"/>
                <w:szCs w:val="24"/>
              </w:rPr>
            </w:pPr>
            <w:r w:rsidRPr="00EA38DE">
              <w:rPr>
                <w:rFonts w:ascii="Times New Roman" w:hAnsi="Times New Roman"/>
                <w:sz w:val="24"/>
                <w:szCs w:val="24"/>
              </w:rPr>
              <w:t>Hedging Strategies and Foreign Exchange Risk in Nigerian Shipping Firms: Evidence from Qualitative Case Studies</w:t>
            </w:r>
            <w:r w:rsidR="00430662" w:rsidRPr="00EA38DE">
              <w:rPr>
                <w:rFonts w:ascii="Times New Roman" w:hAnsi="Times New Roman"/>
                <w:sz w:val="24"/>
                <w:szCs w:val="24"/>
              </w:rPr>
              <w:t>.</w:t>
            </w:r>
          </w:p>
        </w:tc>
        <w:tc>
          <w:tcPr>
            <w:tcW w:w="992" w:type="dxa"/>
          </w:tcPr>
          <w:p w14:paraId="7D5E50F6"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5F8E64B3" w14:textId="31CD13B4"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44E31C48" w14:textId="1702C00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57C0D9D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Qualitative analysis &amp; case studies</w:t>
            </w:r>
          </w:p>
        </w:tc>
        <w:tc>
          <w:tcPr>
            <w:tcW w:w="1843" w:type="dxa"/>
          </w:tcPr>
          <w:p w14:paraId="1C70D5D5"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Nigerian shipping firms adopt hedging strategies against FX volatility, but these do not fully mitigate financial strain </w:t>
            </w:r>
            <w:r w:rsidRPr="00EA38DE">
              <w:rPr>
                <w:rFonts w:ascii="Times New Roman" w:eastAsia="Times New Roman" w:hAnsi="Times New Roman"/>
                <w:sz w:val="24"/>
                <w:szCs w:val="24"/>
              </w:rPr>
              <w:lastRenderedPageBreak/>
              <w:t>and cost management.</w:t>
            </w:r>
          </w:p>
        </w:tc>
      </w:tr>
      <w:tr w:rsidR="00EA38DE" w:rsidRPr="00EA38DE" w14:paraId="21F74589" w14:textId="77777777" w:rsidTr="00CF7D7E">
        <w:tc>
          <w:tcPr>
            <w:tcW w:w="704" w:type="dxa"/>
          </w:tcPr>
          <w:p w14:paraId="2ABFD76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22</w:t>
            </w:r>
          </w:p>
        </w:tc>
        <w:tc>
          <w:tcPr>
            <w:tcW w:w="1138" w:type="dxa"/>
          </w:tcPr>
          <w:p w14:paraId="1CB7DB3F" w14:textId="53E1F535"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Ijjo &amp; Olaoluwa (2019)</w:t>
            </w:r>
          </w:p>
        </w:tc>
        <w:tc>
          <w:tcPr>
            <w:tcW w:w="1839" w:type="dxa"/>
          </w:tcPr>
          <w:p w14:paraId="5462BC47" w14:textId="4A6822E3" w:rsidR="00D21613" w:rsidRPr="00EA38DE" w:rsidRDefault="00D21613" w:rsidP="00C42D21">
            <w:pPr>
              <w:rPr>
                <w:rFonts w:ascii="Times New Roman" w:eastAsia="Times New Roman" w:hAnsi="Times New Roman"/>
                <w:sz w:val="24"/>
                <w:szCs w:val="24"/>
              </w:rPr>
            </w:pPr>
            <w:r w:rsidRPr="00EA38DE">
              <w:rPr>
                <w:rFonts w:ascii="Times New Roman" w:hAnsi="Times New Roman"/>
                <w:sz w:val="24"/>
                <w:szCs w:val="24"/>
              </w:rPr>
              <w:t>Foreign Exchange Volatility and Shipping Firm Performance in Nigeria: Evidence from OLS and GARCH Time</w:t>
            </w:r>
            <w:r w:rsidRPr="00EA38DE">
              <w:rPr>
                <w:rFonts w:ascii="Times New Roman" w:hAnsi="Times New Roman"/>
                <w:sz w:val="24"/>
                <w:szCs w:val="24"/>
              </w:rPr>
              <w:noBreakHyphen/>
              <w:t>Series Models.</w:t>
            </w:r>
          </w:p>
        </w:tc>
        <w:tc>
          <w:tcPr>
            <w:tcW w:w="992" w:type="dxa"/>
          </w:tcPr>
          <w:p w14:paraId="1EA053E7" w14:textId="77777777" w:rsidR="00D21613"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2008</w:t>
            </w:r>
          </w:p>
          <w:p w14:paraId="1FA32C1B" w14:textId="0A387D94" w:rsidR="00430662" w:rsidRPr="00EA38DE" w:rsidRDefault="0043066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6ADDD911" w14:textId="74BA06C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5BDD42E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Time-series (OLS &amp; GARCH models)</w:t>
            </w:r>
          </w:p>
        </w:tc>
        <w:tc>
          <w:tcPr>
            <w:tcW w:w="1843" w:type="dxa"/>
          </w:tcPr>
          <w:p w14:paraId="525BAC8C"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Strong negative relationship between FX volatility and shipping firm performance due to rising cost of imported inputs.</w:t>
            </w:r>
          </w:p>
        </w:tc>
      </w:tr>
      <w:tr w:rsidR="00EA38DE" w:rsidRPr="00EA38DE" w14:paraId="4981638C" w14:textId="77777777" w:rsidTr="00CF7D7E">
        <w:tc>
          <w:tcPr>
            <w:tcW w:w="704" w:type="dxa"/>
          </w:tcPr>
          <w:p w14:paraId="263367F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23</w:t>
            </w:r>
          </w:p>
        </w:tc>
        <w:tc>
          <w:tcPr>
            <w:tcW w:w="1138" w:type="dxa"/>
          </w:tcPr>
          <w:p w14:paraId="1D286EB6" w14:textId="063B5B3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Olayiwola et al. (2019)</w:t>
            </w:r>
          </w:p>
        </w:tc>
        <w:tc>
          <w:tcPr>
            <w:tcW w:w="1839" w:type="dxa"/>
          </w:tcPr>
          <w:p w14:paraId="332BF8E3" w14:textId="44069310" w:rsidR="00D21613" w:rsidRPr="00EA38DE" w:rsidRDefault="00D21613" w:rsidP="00C42D21">
            <w:pPr>
              <w:rPr>
                <w:rFonts w:ascii="Times New Roman" w:eastAsia="Times New Roman" w:hAnsi="Times New Roman"/>
                <w:sz w:val="24"/>
                <w:szCs w:val="24"/>
              </w:rPr>
            </w:pPr>
            <w:r w:rsidRPr="00EA38DE">
              <w:rPr>
                <w:rFonts w:ascii="Times New Roman" w:hAnsi="Times New Roman"/>
                <w:sz w:val="24"/>
                <w:szCs w:val="24"/>
              </w:rPr>
              <w:t>Projected Impact of Exchange Rate Volatility on Input Costs and Profitability in Nigeria’s Maritime Sector.</w:t>
            </w:r>
          </w:p>
        </w:tc>
        <w:tc>
          <w:tcPr>
            <w:tcW w:w="992" w:type="dxa"/>
          </w:tcPr>
          <w:p w14:paraId="2E8CE155"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p w14:paraId="12064FD4" w14:textId="6F0EC685"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2024</w:t>
            </w:r>
          </w:p>
        </w:tc>
        <w:tc>
          <w:tcPr>
            <w:tcW w:w="1276" w:type="dxa"/>
          </w:tcPr>
          <w:p w14:paraId="38F7DBDB" w14:textId="51DFCE9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17BA2DA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Econometric analysis</w:t>
            </w:r>
          </w:p>
        </w:tc>
        <w:tc>
          <w:tcPr>
            <w:tcW w:w="1843" w:type="dxa"/>
          </w:tcPr>
          <w:p w14:paraId="5C7682B6"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(naira vs. USD/EUR) significantly increases input costs (e.g., fuel, parts), reducing profitability in maritime sector.</w:t>
            </w:r>
          </w:p>
        </w:tc>
      </w:tr>
      <w:tr w:rsidR="00EA38DE" w:rsidRPr="00EA38DE" w14:paraId="0BA59FBD" w14:textId="77777777" w:rsidTr="00CF7D7E">
        <w:tc>
          <w:tcPr>
            <w:tcW w:w="704" w:type="dxa"/>
          </w:tcPr>
          <w:p w14:paraId="03D4CD2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24</w:t>
            </w:r>
          </w:p>
        </w:tc>
        <w:tc>
          <w:tcPr>
            <w:tcW w:w="1138" w:type="dxa"/>
          </w:tcPr>
          <w:p w14:paraId="15CE013F" w14:textId="680A3C20"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Kilian &amp; Zhou (2019)</w:t>
            </w:r>
          </w:p>
        </w:tc>
        <w:tc>
          <w:tcPr>
            <w:tcW w:w="1839" w:type="dxa"/>
          </w:tcPr>
          <w:p w14:paraId="1B127F58" w14:textId="36D01FD7" w:rsidR="00D21613" w:rsidRPr="00EA38DE" w:rsidRDefault="00D21613" w:rsidP="005D5E5C">
            <w:pPr>
              <w:rPr>
                <w:rFonts w:ascii="Times New Roman" w:hAnsi="Times New Roman"/>
                <w:sz w:val="24"/>
                <w:szCs w:val="24"/>
              </w:rPr>
            </w:pPr>
            <w:r w:rsidRPr="00EA38DE">
              <w:rPr>
                <w:rFonts w:ascii="Times New Roman" w:hAnsi="Times New Roman"/>
                <w:sz w:val="24"/>
                <w:szCs w:val="24"/>
              </w:rPr>
              <w:t xml:space="preserve">Exchange Rate Volatility and Shipping Segment Performance: Evidence from Dry Bulk and Container Liners in OECD Countries. </w:t>
            </w:r>
          </w:p>
        </w:tc>
        <w:tc>
          <w:tcPr>
            <w:tcW w:w="992" w:type="dxa"/>
          </w:tcPr>
          <w:p w14:paraId="252EE74F"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1995</w:t>
            </w:r>
          </w:p>
          <w:p w14:paraId="55F0C057" w14:textId="78829A16"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2017</w:t>
            </w:r>
          </w:p>
        </w:tc>
        <w:tc>
          <w:tcPr>
            <w:tcW w:w="1276" w:type="dxa"/>
          </w:tcPr>
          <w:p w14:paraId="2FAC01F3" w14:textId="173135FC"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28 OECD countries</w:t>
            </w:r>
          </w:p>
        </w:tc>
        <w:tc>
          <w:tcPr>
            <w:tcW w:w="1701" w:type="dxa"/>
          </w:tcPr>
          <w:p w14:paraId="74D39CD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regression &amp; SVAR models</w:t>
            </w:r>
          </w:p>
        </w:tc>
        <w:tc>
          <w:tcPr>
            <w:tcW w:w="1843" w:type="dxa"/>
          </w:tcPr>
          <w:p w14:paraId="7534F4F0"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Short-term FX volatility impacts dry bulk carriers more than container liners; affects pricing, revenues, and freight rate behavior.</w:t>
            </w:r>
          </w:p>
        </w:tc>
      </w:tr>
      <w:tr w:rsidR="00EA38DE" w:rsidRPr="00EA38DE" w14:paraId="1C1BB64E" w14:textId="77777777" w:rsidTr="00CF7D7E">
        <w:tc>
          <w:tcPr>
            <w:tcW w:w="704" w:type="dxa"/>
          </w:tcPr>
          <w:p w14:paraId="6BEDD59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25</w:t>
            </w:r>
          </w:p>
        </w:tc>
        <w:tc>
          <w:tcPr>
            <w:tcW w:w="1138" w:type="dxa"/>
          </w:tcPr>
          <w:p w14:paraId="1E273FE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NIMASA (2020)</w:t>
            </w:r>
          </w:p>
        </w:tc>
        <w:tc>
          <w:tcPr>
            <w:tcW w:w="1839" w:type="dxa"/>
          </w:tcPr>
          <w:p w14:paraId="62CBFA34" w14:textId="2BE5AF95" w:rsidR="00D21613" w:rsidRPr="00EA38DE" w:rsidRDefault="00D21613" w:rsidP="005D5E5C">
            <w:pPr>
              <w:rPr>
                <w:rFonts w:ascii="Times New Roman" w:hAnsi="Times New Roman"/>
                <w:sz w:val="24"/>
                <w:szCs w:val="24"/>
              </w:rPr>
            </w:pPr>
            <w:r w:rsidRPr="00EA38DE">
              <w:rPr>
                <w:rFonts w:ascii="Times New Roman" w:hAnsi="Times New Roman"/>
                <w:sz w:val="24"/>
                <w:szCs w:val="24"/>
              </w:rPr>
              <w:t>Deep-Sea Port Investment, Automation, and Shipping Sector Performance in Nigeria: A Policy and Sectoral Review.</w:t>
            </w:r>
          </w:p>
        </w:tc>
        <w:tc>
          <w:tcPr>
            <w:tcW w:w="992" w:type="dxa"/>
          </w:tcPr>
          <w:p w14:paraId="10834633"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42B36173" w14:textId="4BC6784B"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2017</w:t>
            </w:r>
          </w:p>
        </w:tc>
        <w:tc>
          <w:tcPr>
            <w:tcW w:w="1276" w:type="dxa"/>
          </w:tcPr>
          <w:p w14:paraId="464A82F1" w14:textId="100FA180"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338E408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Policy report/sector review</w:t>
            </w:r>
          </w:p>
        </w:tc>
        <w:tc>
          <w:tcPr>
            <w:tcW w:w="1843" w:type="dxa"/>
          </w:tcPr>
          <w:p w14:paraId="734E40E0"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Investment in deep-sea ports and automation improves efficiency, reduces logistics costs, and enhances shipping profitability.</w:t>
            </w:r>
          </w:p>
        </w:tc>
      </w:tr>
      <w:tr w:rsidR="00EA38DE" w:rsidRPr="00EA38DE" w14:paraId="7CAFEAB0" w14:textId="77777777" w:rsidTr="00CF7D7E">
        <w:tc>
          <w:tcPr>
            <w:tcW w:w="704" w:type="dxa"/>
          </w:tcPr>
          <w:p w14:paraId="6E2D9B9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26</w:t>
            </w:r>
          </w:p>
        </w:tc>
        <w:tc>
          <w:tcPr>
            <w:tcW w:w="1138" w:type="dxa"/>
          </w:tcPr>
          <w:p w14:paraId="66B6ADB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Rodriguez &amp; Ortega (2020)</w:t>
            </w:r>
          </w:p>
        </w:tc>
        <w:tc>
          <w:tcPr>
            <w:tcW w:w="1839" w:type="dxa"/>
          </w:tcPr>
          <w:p w14:paraId="09345394" w14:textId="42BA3032" w:rsidR="00D21613" w:rsidRPr="00EA38DE" w:rsidRDefault="00D21613" w:rsidP="005D5E5C">
            <w:pPr>
              <w:rPr>
                <w:rFonts w:ascii="Times New Roman" w:hAnsi="Times New Roman"/>
                <w:sz w:val="24"/>
                <w:szCs w:val="24"/>
              </w:rPr>
            </w:pPr>
            <w:r w:rsidRPr="00EA38DE">
              <w:rPr>
                <w:rFonts w:ascii="Times New Roman" w:hAnsi="Times New Roman"/>
                <w:sz w:val="24"/>
                <w:szCs w:val="24"/>
              </w:rPr>
              <w:t xml:space="preserve">Desalination Integration and Shipping Efficiency in </w:t>
            </w:r>
            <w:r w:rsidRPr="00EA38DE">
              <w:rPr>
                <w:rFonts w:ascii="Times New Roman" w:hAnsi="Times New Roman"/>
                <w:sz w:val="24"/>
                <w:szCs w:val="24"/>
              </w:rPr>
              <w:lastRenderedPageBreak/>
              <w:t>Latin America: Impacts on Operational Costs and Financial Performance.</w:t>
            </w:r>
          </w:p>
        </w:tc>
        <w:tc>
          <w:tcPr>
            <w:tcW w:w="992" w:type="dxa"/>
          </w:tcPr>
          <w:p w14:paraId="4AC97276"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2010</w:t>
            </w:r>
          </w:p>
          <w:p w14:paraId="1762578F" w14:textId="2F19AFC1"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37770A6A" w14:textId="76AE4A39"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Latin America</w:t>
            </w:r>
          </w:p>
        </w:tc>
        <w:tc>
          <w:tcPr>
            <w:tcW w:w="1701" w:type="dxa"/>
          </w:tcPr>
          <w:p w14:paraId="6CD7607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Comparative case study + quantitative analysis</w:t>
            </w:r>
          </w:p>
        </w:tc>
        <w:tc>
          <w:tcPr>
            <w:tcW w:w="1843" w:type="dxa"/>
          </w:tcPr>
          <w:p w14:paraId="1D9BCA63"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Integrating desalination reduces operational costs </w:t>
            </w:r>
            <w:r w:rsidRPr="00EA38DE">
              <w:rPr>
                <w:rFonts w:ascii="Times New Roman" w:eastAsia="Times New Roman" w:hAnsi="Times New Roman"/>
                <w:sz w:val="24"/>
                <w:szCs w:val="24"/>
              </w:rPr>
              <w:lastRenderedPageBreak/>
              <w:t>and improves financial performance via improved freshwater access and faster vessel handling.</w:t>
            </w:r>
          </w:p>
        </w:tc>
      </w:tr>
      <w:tr w:rsidR="00EA38DE" w:rsidRPr="00EA38DE" w14:paraId="2F300556" w14:textId="77777777" w:rsidTr="00CF7D7E">
        <w:tc>
          <w:tcPr>
            <w:tcW w:w="704" w:type="dxa"/>
          </w:tcPr>
          <w:p w14:paraId="03CB610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27</w:t>
            </w:r>
          </w:p>
        </w:tc>
        <w:tc>
          <w:tcPr>
            <w:tcW w:w="1138" w:type="dxa"/>
          </w:tcPr>
          <w:p w14:paraId="2C55B2B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Okonkwo &amp; Ismaila (2020)</w:t>
            </w:r>
          </w:p>
        </w:tc>
        <w:tc>
          <w:tcPr>
            <w:tcW w:w="1839" w:type="dxa"/>
          </w:tcPr>
          <w:p w14:paraId="6EB4FAC7" w14:textId="717BC38B" w:rsidR="00D21613" w:rsidRPr="00EA38DE" w:rsidRDefault="00D21613" w:rsidP="005F7156">
            <w:pPr>
              <w:rPr>
                <w:rFonts w:ascii="Times New Roman" w:hAnsi="Times New Roman"/>
                <w:sz w:val="24"/>
                <w:szCs w:val="24"/>
              </w:rPr>
            </w:pPr>
            <w:r w:rsidRPr="00EA38DE">
              <w:rPr>
                <w:rFonts w:ascii="Times New Roman" w:hAnsi="Times New Roman"/>
                <w:sz w:val="24"/>
                <w:szCs w:val="24"/>
              </w:rPr>
              <w:t>Techno-Economic Assessment of Desalination Infrastructure and Its Impact on Maritime Logistics Demand in Lagos, Nigeria.</w:t>
            </w:r>
          </w:p>
        </w:tc>
        <w:tc>
          <w:tcPr>
            <w:tcW w:w="992" w:type="dxa"/>
          </w:tcPr>
          <w:p w14:paraId="29E63E1B"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66FCF1B7" w14:textId="323AA99A"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30059343" w14:textId="32C5BD53"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(Lagos)</w:t>
            </w:r>
          </w:p>
        </w:tc>
        <w:tc>
          <w:tcPr>
            <w:tcW w:w="1701" w:type="dxa"/>
          </w:tcPr>
          <w:p w14:paraId="60EF4BA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Techno-economic feasibility study</w:t>
            </w:r>
          </w:p>
        </w:tc>
        <w:tc>
          <w:tcPr>
            <w:tcW w:w="1843" w:type="dxa"/>
          </w:tcPr>
          <w:p w14:paraId="5735349B"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Desalination infrastructure boosts maritime logistics demand, especially for equipment and chemical shipping.</w:t>
            </w:r>
          </w:p>
        </w:tc>
      </w:tr>
      <w:tr w:rsidR="00EA38DE" w:rsidRPr="00EA38DE" w14:paraId="4A3A24FD" w14:textId="77777777" w:rsidTr="00CF7D7E">
        <w:tc>
          <w:tcPr>
            <w:tcW w:w="704" w:type="dxa"/>
          </w:tcPr>
          <w:p w14:paraId="604984B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28</w:t>
            </w:r>
          </w:p>
        </w:tc>
        <w:tc>
          <w:tcPr>
            <w:tcW w:w="1138" w:type="dxa"/>
          </w:tcPr>
          <w:p w14:paraId="7F753D7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Okonkwo &amp; Ifediora (2020)</w:t>
            </w:r>
          </w:p>
        </w:tc>
        <w:tc>
          <w:tcPr>
            <w:tcW w:w="1839" w:type="dxa"/>
          </w:tcPr>
          <w:p w14:paraId="4FC3E807" w14:textId="556BB837" w:rsidR="00D21613" w:rsidRPr="00EA38DE" w:rsidRDefault="00D21613" w:rsidP="005F7156">
            <w:pPr>
              <w:rPr>
                <w:rFonts w:ascii="Times New Roman" w:hAnsi="Times New Roman"/>
                <w:sz w:val="24"/>
                <w:szCs w:val="24"/>
              </w:rPr>
            </w:pPr>
            <w:r w:rsidRPr="00EA38DE">
              <w:rPr>
                <w:rFonts w:ascii="Times New Roman" w:hAnsi="Times New Roman"/>
                <w:sz w:val="24"/>
                <w:szCs w:val="24"/>
              </w:rPr>
              <w:t>Aquaculture Input Imports and Container Throughput in Nigeria: Evidence from GARCH and Regression Analysis.</w:t>
            </w:r>
          </w:p>
        </w:tc>
        <w:tc>
          <w:tcPr>
            <w:tcW w:w="992" w:type="dxa"/>
          </w:tcPr>
          <w:p w14:paraId="213F3478"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2005</w:t>
            </w:r>
          </w:p>
          <w:p w14:paraId="60A9D429" w14:textId="25B3CB6F"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29A940AB" w14:textId="10D1EE26"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5D2297B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GARCH model + regression</w:t>
            </w:r>
          </w:p>
        </w:tc>
        <w:tc>
          <w:tcPr>
            <w:tcW w:w="1843" w:type="dxa"/>
          </w:tcPr>
          <w:p w14:paraId="13233F25"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10% rise in aquaculture input imports correlates with 3.5% increase in container throughput.</w:t>
            </w:r>
          </w:p>
        </w:tc>
      </w:tr>
      <w:tr w:rsidR="00EA38DE" w:rsidRPr="00EA38DE" w14:paraId="7F2F2C87" w14:textId="77777777" w:rsidTr="00CF7D7E">
        <w:tc>
          <w:tcPr>
            <w:tcW w:w="704" w:type="dxa"/>
          </w:tcPr>
          <w:p w14:paraId="33A9E0B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29</w:t>
            </w:r>
          </w:p>
        </w:tc>
        <w:tc>
          <w:tcPr>
            <w:tcW w:w="1138" w:type="dxa"/>
          </w:tcPr>
          <w:p w14:paraId="171FA2E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Das &amp; Mukherjee (2020)</w:t>
            </w:r>
          </w:p>
        </w:tc>
        <w:tc>
          <w:tcPr>
            <w:tcW w:w="1839" w:type="dxa"/>
          </w:tcPr>
          <w:p w14:paraId="33B95581" w14:textId="6779A1C1" w:rsidR="00D21613" w:rsidRPr="00EA38DE" w:rsidRDefault="00D21613" w:rsidP="005F7156">
            <w:pPr>
              <w:rPr>
                <w:rFonts w:ascii="Times New Roman" w:hAnsi="Times New Roman"/>
                <w:sz w:val="24"/>
                <w:szCs w:val="24"/>
              </w:rPr>
            </w:pPr>
            <w:r w:rsidRPr="00EA38DE">
              <w:rPr>
                <w:rFonts w:ascii="Times New Roman" w:hAnsi="Times New Roman"/>
                <w:sz w:val="24"/>
                <w:szCs w:val="24"/>
              </w:rPr>
              <w:t>Desalination Logistics and Financial Performance in South Asia: The Role of Foreign Exchange Stability and Strategic Partnerships.</w:t>
            </w:r>
          </w:p>
        </w:tc>
        <w:tc>
          <w:tcPr>
            <w:tcW w:w="992" w:type="dxa"/>
          </w:tcPr>
          <w:p w14:paraId="3B4FA778"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2008</w:t>
            </w:r>
          </w:p>
          <w:p w14:paraId="38AC94CB" w14:textId="4D8F83D1"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2017</w:t>
            </w:r>
          </w:p>
        </w:tc>
        <w:tc>
          <w:tcPr>
            <w:tcW w:w="1276" w:type="dxa"/>
          </w:tcPr>
          <w:p w14:paraId="68120AAE" w14:textId="6E3D171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South Asia</w:t>
            </w:r>
          </w:p>
        </w:tc>
        <w:tc>
          <w:tcPr>
            <w:tcW w:w="1701" w:type="dxa"/>
          </w:tcPr>
          <w:p w14:paraId="1730A6B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Case study + financial modeling</w:t>
            </w:r>
          </w:p>
        </w:tc>
        <w:tc>
          <w:tcPr>
            <w:tcW w:w="1843" w:type="dxa"/>
          </w:tcPr>
          <w:p w14:paraId="40790E87"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Desalination logistics yield sustained long-term returns when backed by FX stability and partnerships.</w:t>
            </w:r>
          </w:p>
        </w:tc>
      </w:tr>
      <w:tr w:rsidR="00EA38DE" w:rsidRPr="00EA38DE" w14:paraId="6D634C53" w14:textId="77777777" w:rsidTr="00CF7D7E">
        <w:tc>
          <w:tcPr>
            <w:tcW w:w="704" w:type="dxa"/>
          </w:tcPr>
          <w:p w14:paraId="4FCC2EE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30</w:t>
            </w:r>
          </w:p>
        </w:tc>
        <w:tc>
          <w:tcPr>
            <w:tcW w:w="1138" w:type="dxa"/>
          </w:tcPr>
          <w:p w14:paraId="67312BE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El-Sayed &amp; Ahmed (2020)</w:t>
            </w:r>
          </w:p>
        </w:tc>
        <w:tc>
          <w:tcPr>
            <w:tcW w:w="1839" w:type="dxa"/>
          </w:tcPr>
          <w:p w14:paraId="646E8679" w14:textId="56CD6303" w:rsidR="00D21613" w:rsidRPr="00EA38DE" w:rsidRDefault="00D21613" w:rsidP="007B41BB">
            <w:pPr>
              <w:rPr>
                <w:rFonts w:ascii="Times New Roman" w:hAnsi="Times New Roman"/>
                <w:sz w:val="24"/>
                <w:szCs w:val="24"/>
              </w:rPr>
            </w:pPr>
            <w:r w:rsidRPr="00EA38DE">
              <w:rPr>
                <w:rFonts w:ascii="Times New Roman" w:hAnsi="Times New Roman"/>
                <w:sz w:val="24"/>
                <w:szCs w:val="24"/>
              </w:rPr>
              <w:t>Marine Desalination and Shipping Revenue in North Africa and the Middle East: Evidence from Egypt, Morocco, and Saudi Arabia.</w:t>
            </w:r>
          </w:p>
        </w:tc>
        <w:tc>
          <w:tcPr>
            <w:tcW w:w="992" w:type="dxa"/>
          </w:tcPr>
          <w:p w14:paraId="29330905"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3990202B" w14:textId="6AAC36E3"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7F29C152" w14:textId="4FD500E5"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Egypt, Morocco, Saudi Arabia</w:t>
            </w:r>
          </w:p>
        </w:tc>
        <w:tc>
          <w:tcPr>
            <w:tcW w:w="1701" w:type="dxa"/>
          </w:tcPr>
          <w:p w14:paraId="7FEA602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w:t>
            </w:r>
          </w:p>
        </w:tc>
        <w:tc>
          <w:tcPr>
            <w:tcW w:w="1843" w:type="dxa"/>
          </w:tcPr>
          <w:p w14:paraId="5D785BB6"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Marine desalination enhances shipping revenue through logistical contracts and equipment transport.</w:t>
            </w:r>
          </w:p>
        </w:tc>
      </w:tr>
      <w:tr w:rsidR="00EA38DE" w:rsidRPr="00EA38DE" w14:paraId="16116C70" w14:textId="77777777" w:rsidTr="00CF7D7E">
        <w:tc>
          <w:tcPr>
            <w:tcW w:w="704" w:type="dxa"/>
          </w:tcPr>
          <w:p w14:paraId="15740BF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31</w:t>
            </w:r>
          </w:p>
        </w:tc>
        <w:tc>
          <w:tcPr>
            <w:tcW w:w="1138" w:type="dxa"/>
          </w:tcPr>
          <w:p w14:paraId="1FFC716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Erondu &amp; Ukpere (2020)</w:t>
            </w:r>
          </w:p>
        </w:tc>
        <w:tc>
          <w:tcPr>
            <w:tcW w:w="1839" w:type="dxa"/>
          </w:tcPr>
          <w:p w14:paraId="32965DDF" w14:textId="136B287F" w:rsidR="00D21613" w:rsidRPr="00EA38DE" w:rsidRDefault="00D21613" w:rsidP="007B41BB">
            <w:pPr>
              <w:rPr>
                <w:rFonts w:ascii="Times New Roman" w:hAnsi="Times New Roman"/>
                <w:sz w:val="24"/>
                <w:szCs w:val="24"/>
              </w:rPr>
            </w:pPr>
            <w:r w:rsidRPr="00EA38DE">
              <w:rPr>
                <w:rFonts w:ascii="Times New Roman" w:hAnsi="Times New Roman"/>
                <w:sz w:val="24"/>
                <w:szCs w:val="24"/>
              </w:rPr>
              <w:t>Blue Economy Investments and Shipping Industry Financial Performance in Nigeria: Evidence from Survey-Based Analysis.</w:t>
            </w:r>
          </w:p>
        </w:tc>
        <w:tc>
          <w:tcPr>
            <w:tcW w:w="992" w:type="dxa"/>
          </w:tcPr>
          <w:p w14:paraId="425BCE2D"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44E14402" w14:textId="7FFD1E97"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4D9C005D" w14:textId="692ED65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74C6CD2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Survey-based analysis</w:t>
            </w:r>
          </w:p>
        </w:tc>
        <w:tc>
          <w:tcPr>
            <w:tcW w:w="1843" w:type="dxa"/>
          </w:tcPr>
          <w:p w14:paraId="09B8EAB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Blue economy investments (ports, tourism, fisheries) positively impact shipping industry financial outcomes.</w:t>
            </w:r>
          </w:p>
        </w:tc>
      </w:tr>
      <w:tr w:rsidR="00EA38DE" w:rsidRPr="00EA38DE" w14:paraId="0B7948D5" w14:textId="77777777" w:rsidTr="00CF7D7E">
        <w:tc>
          <w:tcPr>
            <w:tcW w:w="704" w:type="dxa"/>
          </w:tcPr>
          <w:p w14:paraId="3579C52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32</w:t>
            </w:r>
          </w:p>
        </w:tc>
        <w:tc>
          <w:tcPr>
            <w:tcW w:w="1138" w:type="dxa"/>
          </w:tcPr>
          <w:p w14:paraId="1B8C3E8F" w14:textId="4D0CB38C"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Mensah et. al. (2020)</w:t>
            </w:r>
          </w:p>
        </w:tc>
        <w:tc>
          <w:tcPr>
            <w:tcW w:w="1839" w:type="dxa"/>
          </w:tcPr>
          <w:p w14:paraId="6E48B6EF" w14:textId="60049606" w:rsidR="00D21613" w:rsidRPr="00EA38DE" w:rsidRDefault="00D21613" w:rsidP="007B41BB">
            <w:pPr>
              <w:rPr>
                <w:rFonts w:ascii="Times New Roman" w:hAnsi="Times New Roman"/>
                <w:sz w:val="24"/>
                <w:szCs w:val="24"/>
              </w:rPr>
            </w:pPr>
            <w:r w:rsidRPr="00EA38DE">
              <w:rPr>
                <w:rFonts w:ascii="Times New Roman" w:hAnsi="Times New Roman"/>
                <w:sz w:val="24"/>
                <w:szCs w:val="24"/>
              </w:rPr>
              <w:t>Fish Exports, Container Traffic, and Revenue in Ghana: Vulnerability to Currency Devaluation.</w:t>
            </w:r>
          </w:p>
        </w:tc>
        <w:tc>
          <w:tcPr>
            <w:tcW w:w="992" w:type="dxa"/>
          </w:tcPr>
          <w:p w14:paraId="2AD9F0D0"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043DABBB" w14:textId="7C51FB58"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769ED77F" w14:textId="10FAE55C"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Ghana</w:t>
            </w:r>
          </w:p>
        </w:tc>
        <w:tc>
          <w:tcPr>
            <w:tcW w:w="1701" w:type="dxa"/>
          </w:tcPr>
          <w:p w14:paraId="46BE19E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VECM</w:t>
            </w:r>
          </w:p>
        </w:tc>
        <w:tc>
          <w:tcPr>
            <w:tcW w:w="1843" w:type="dxa"/>
          </w:tcPr>
          <w:p w14:paraId="05F462A7"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Fish exports increase container traffic and revenue but remain vulnerable to currency devaluation.</w:t>
            </w:r>
          </w:p>
        </w:tc>
      </w:tr>
      <w:tr w:rsidR="00EA38DE" w:rsidRPr="00EA38DE" w14:paraId="751F5FFF" w14:textId="77777777" w:rsidTr="00CF7D7E">
        <w:tc>
          <w:tcPr>
            <w:tcW w:w="704" w:type="dxa"/>
          </w:tcPr>
          <w:p w14:paraId="46EBD4A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33</w:t>
            </w:r>
          </w:p>
        </w:tc>
        <w:tc>
          <w:tcPr>
            <w:tcW w:w="1138" w:type="dxa"/>
          </w:tcPr>
          <w:p w14:paraId="6049796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Oghenekaro &amp; Omodero (2020)</w:t>
            </w:r>
          </w:p>
        </w:tc>
        <w:tc>
          <w:tcPr>
            <w:tcW w:w="1839" w:type="dxa"/>
          </w:tcPr>
          <w:p w14:paraId="7DC479B4" w14:textId="78DA2C02" w:rsidR="00D21613" w:rsidRPr="00EA38DE" w:rsidRDefault="00D21613" w:rsidP="009B4A65">
            <w:pPr>
              <w:rPr>
                <w:rFonts w:ascii="Times New Roman" w:hAnsi="Times New Roman"/>
                <w:sz w:val="24"/>
                <w:szCs w:val="24"/>
              </w:rPr>
            </w:pPr>
            <w:r w:rsidRPr="00EA38DE">
              <w:rPr>
                <w:rFonts w:ascii="Times New Roman" w:hAnsi="Times New Roman"/>
                <w:sz w:val="24"/>
                <w:szCs w:val="24"/>
              </w:rPr>
              <w:t>Blue Economy Policy Coordination and Shipping Profitability in Africa: Evidence from Selected Countries.</w:t>
            </w:r>
          </w:p>
        </w:tc>
        <w:tc>
          <w:tcPr>
            <w:tcW w:w="992" w:type="dxa"/>
          </w:tcPr>
          <w:p w14:paraId="3009FD29" w14:textId="77777777" w:rsidR="00D21613"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7244E5A1" w14:textId="72E40447" w:rsidR="000B47DA" w:rsidRPr="00EA38DE" w:rsidRDefault="000B47DA"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757DDB2F" w14:textId="4CF1C5FA"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Selected African countries</w:t>
            </w:r>
          </w:p>
        </w:tc>
        <w:tc>
          <w:tcPr>
            <w:tcW w:w="1701" w:type="dxa"/>
          </w:tcPr>
          <w:p w14:paraId="784E906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data regression</w:t>
            </w:r>
          </w:p>
        </w:tc>
        <w:tc>
          <w:tcPr>
            <w:tcW w:w="1843" w:type="dxa"/>
          </w:tcPr>
          <w:p w14:paraId="7905F89C"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Coordinated blue economy policies boost shipping profitability; Nigeria lags due to fragmented policy execution.</w:t>
            </w:r>
          </w:p>
        </w:tc>
      </w:tr>
      <w:tr w:rsidR="00EA38DE" w:rsidRPr="00EA38DE" w14:paraId="553F6243" w14:textId="77777777" w:rsidTr="00CF7D7E">
        <w:tc>
          <w:tcPr>
            <w:tcW w:w="704" w:type="dxa"/>
          </w:tcPr>
          <w:p w14:paraId="4FB2A60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34</w:t>
            </w:r>
          </w:p>
        </w:tc>
        <w:tc>
          <w:tcPr>
            <w:tcW w:w="1138" w:type="dxa"/>
          </w:tcPr>
          <w:p w14:paraId="139960F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Adeniran &amp; Oluwole (2020)</w:t>
            </w:r>
          </w:p>
        </w:tc>
        <w:tc>
          <w:tcPr>
            <w:tcW w:w="1839" w:type="dxa"/>
          </w:tcPr>
          <w:p w14:paraId="7E2ADE6A" w14:textId="075E34D6" w:rsidR="00D21613" w:rsidRPr="00EA38DE" w:rsidRDefault="00D21613" w:rsidP="000528C9">
            <w:pPr>
              <w:rPr>
                <w:rFonts w:ascii="Times New Roman" w:hAnsi="Times New Roman"/>
                <w:sz w:val="24"/>
                <w:szCs w:val="24"/>
              </w:rPr>
            </w:pPr>
            <w:r w:rsidRPr="00EA38DE">
              <w:rPr>
                <w:rFonts w:ascii="Times New Roman" w:hAnsi="Times New Roman"/>
                <w:sz w:val="24"/>
                <w:szCs w:val="24"/>
              </w:rPr>
              <w:t>Blue Economy Investment in Nigeria: Sectoral Contributions and Gaps in Aquaculture and Renewable Marine Industries.</w:t>
            </w:r>
          </w:p>
        </w:tc>
        <w:tc>
          <w:tcPr>
            <w:tcW w:w="992" w:type="dxa"/>
          </w:tcPr>
          <w:p w14:paraId="7C244FCD"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2000</w:t>
            </w:r>
          </w:p>
          <w:p w14:paraId="672E6BD8" w14:textId="3F3055C3"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4DA38929" w14:textId="582A3B36"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15D1BF1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Expenditure approach + data review</w:t>
            </w:r>
          </w:p>
        </w:tc>
        <w:tc>
          <w:tcPr>
            <w:tcW w:w="1843" w:type="dxa"/>
          </w:tcPr>
          <w:p w14:paraId="2A9C9CFD"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Oil and gas drive blue economy investment; gaps exist in aquaculture and renewable marine investment.</w:t>
            </w:r>
          </w:p>
        </w:tc>
      </w:tr>
      <w:tr w:rsidR="00EA38DE" w:rsidRPr="00EA38DE" w14:paraId="4B3EB93D" w14:textId="77777777" w:rsidTr="00CF7D7E">
        <w:tc>
          <w:tcPr>
            <w:tcW w:w="704" w:type="dxa"/>
          </w:tcPr>
          <w:p w14:paraId="7BA981B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35</w:t>
            </w:r>
          </w:p>
        </w:tc>
        <w:tc>
          <w:tcPr>
            <w:tcW w:w="1138" w:type="dxa"/>
          </w:tcPr>
          <w:p w14:paraId="30E1964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FAO (2020)</w:t>
            </w:r>
          </w:p>
        </w:tc>
        <w:tc>
          <w:tcPr>
            <w:tcW w:w="1839" w:type="dxa"/>
          </w:tcPr>
          <w:p w14:paraId="595005ED" w14:textId="7188845B" w:rsidR="00D21613" w:rsidRPr="00EA38DE" w:rsidRDefault="00D21613" w:rsidP="000528C9">
            <w:pPr>
              <w:rPr>
                <w:rFonts w:ascii="Times New Roman" w:hAnsi="Times New Roman"/>
                <w:sz w:val="24"/>
                <w:szCs w:val="24"/>
              </w:rPr>
            </w:pPr>
            <w:r w:rsidRPr="00EA38DE">
              <w:rPr>
                <w:rFonts w:ascii="Times New Roman" w:hAnsi="Times New Roman"/>
                <w:sz w:val="24"/>
                <w:szCs w:val="24"/>
              </w:rPr>
              <w:t>Aquaculture Growth, Shipping Demand, and Financial Constraints in Developing Countries.</w:t>
            </w:r>
          </w:p>
        </w:tc>
        <w:tc>
          <w:tcPr>
            <w:tcW w:w="992" w:type="dxa"/>
          </w:tcPr>
          <w:p w14:paraId="36711879"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508E891E" w14:textId="5018D1A0"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6E003BE6" w14:textId="7AEC268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Developing countries</w:t>
            </w:r>
          </w:p>
        </w:tc>
        <w:tc>
          <w:tcPr>
            <w:tcW w:w="1701" w:type="dxa"/>
          </w:tcPr>
          <w:p w14:paraId="1A06C87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Sectoral review</w:t>
            </w:r>
          </w:p>
        </w:tc>
        <w:tc>
          <w:tcPr>
            <w:tcW w:w="1843" w:type="dxa"/>
          </w:tcPr>
          <w:p w14:paraId="1146267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Aquaculture growth fuels shipping demand, but logistics constraints and FX volatility hinder full profitability.</w:t>
            </w:r>
          </w:p>
        </w:tc>
      </w:tr>
      <w:tr w:rsidR="00EA38DE" w:rsidRPr="00EA38DE" w14:paraId="2BD46723" w14:textId="77777777" w:rsidTr="00CF7D7E">
        <w:tc>
          <w:tcPr>
            <w:tcW w:w="704" w:type="dxa"/>
          </w:tcPr>
          <w:p w14:paraId="4055255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36</w:t>
            </w:r>
          </w:p>
        </w:tc>
        <w:tc>
          <w:tcPr>
            <w:tcW w:w="1138" w:type="dxa"/>
          </w:tcPr>
          <w:p w14:paraId="1D87303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Alharthi &amp; Hanif (2020)</w:t>
            </w:r>
          </w:p>
        </w:tc>
        <w:tc>
          <w:tcPr>
            <w:tcW w:w="1839" w:type="dxa"/>
          </w:tcPr>
          <w:p w14:paraId="66514FC5" w14:textId="0B839EF6" w:rsidR="00D21613" w:rsidRPr="00EA38DE" w:rsidRDefault="00D21613" w:rsidP="00F97262">
            <w:pPr>
              <w:rPr>
                <w:rFonts w:ascii="Times New Roman" w:hAnsi="Times New Roman"/>
                <w:sz w:val="24"/>
                <w:szCs w:val="24"/>
              </w:rPr>
            </w:pPr>
            <w:r w:rsidRPr="00EA38DE">
              <w:rPr>
                <w:rFonts w:ascii="Times New Roman" w:hAnsi="Times New Roman"/>
                <w:sz w:val="24"/>
                <w:szCs w:val="24"/>
              </w:rPr>
              <w:t>Blue Economy and Economic Growth in SAARC Countries: Evidence from Fisheries Sector and SDG 14.</w:t>
            </w:r>
          </w:p>
        </w:tc>
        <w:tc>
          <w:tcPr>
            <w:tcW w:w="992" w:type="dxa"/>
          </w:tcPr>
          <w:p w14:paraId="45404D2F"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1995</w:t>
            </w:r>
          </w:p>
          <w:p w14:paraId="36A2E12D" w14:textId="48A3BCB1"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586E35B2" w14:textId="072F24C9"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SAARC countries</w:t>
            </w:r>
          </w:p>
        </w:tc>
        <w:tc>
          <w:tcPr>
            <w:tcW w:w="1701" w:type="dxa"/>
          </w:tcPr>
          <w:p w14:paraId="170ED48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Feasible GLS panel model</w:t>
            </w:r>
          </w:p>
        </w:tc>
        <w:tc>
          <w:tcPr>
            <w:tcW w:w="1843" w:type="dxa"/>
          </w:tcPr>
          <w:p w14:paraId="2EFC9B0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Blue economy (especially fisheries) significantly contributes to economic growth in line with SDG 14.</w:t>
            </w:r>
          </w:p>
        </w:tc>
      </w:tr>
      <w:tr w:rsidR="00EA38DE" w:rsidRPr="00EA38DE" w14:paraId="027A5164" w14:textId="77777777" w:rsidTr="00CF7D7E">
        <w:tc>
          <w:tcPr>
            <w:tcW w:w="704" w:type="dxa"/>
          </w:tcPr>
          <w:p w14:paraId="0E856C6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37</w:t>
            </w:r>
          </w:p>
        </w:tc>
        <w:tc>
          <w:tcPr>
            <w:tcW w:w="1138" w:type="dxa"/>
          </w:tcPr>
          <w:p w14:paraId="2F9C783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Asiedu &amp; Gyasi (2020)</w:t>
            </w:r>
          </w:p>
        </w:tc>
        <w:tc>
          <w:tcPr>
            <w:tcW w:w="1839" w:type="dxa"/>
          </w:tcPr>
          <w:p w14:paraId="38494320" w14:textId="77777777" w:rsidR="00D21613" w:rsidRPr="00EA38DE" w:rsidRDefault="00D21613" w:rsidP="00165460">
            <w:pPr>
              <w:rPr>
                <w:rFonts w:ascii="Times New Roman" w:hAnsi="Times New Roman"/>
                <w:sz w:val="24"/>
                <w:szCs w:val="24"/>
              </w:rPr>
            </w:pPr>
            <w:r w:rsidRPr="00EA38DE">
              <w:rPr>
                <w:rFonts w:ascii="Times New Roman" w:hAnsi="Times New Roman"/>
                <w:sz w:val="24"/>
                <w:szCs w:val="24"/>
              </w:rPr>
              <w:t>Impact of Fisheries and Climate Variability on Shipping Revenues and Operational Uncertainty in West Africa.</w:t>
            </w:r>
          </w:p>
          <w:p w14:paraId="20BCDD27" w14:textId="75FDBC35" w:rsidR="00D21613" w:rsidRPr="00EA38DE" w:rsidRDefault="00D21613" w:rsidP="00165460">
            <w:pPr>
              <w:rPr>
                <w:rFonts w:ascii="Times New Roman" w:eastAsia="Times New Roman" w:hAnsi="Times New Roman"/>
                <w:sz w:val="24"/>
                <w:szCs w:val="24"/>
              </w:rPr>
            </w:pPr>
          </w:p>
        </w:tc>
        <w:tc>
          <w:tcPr>
            <w:tcW w:w="992" w:type="dxa"/>
          </w:tcPr>
          <w:p w14:paraId="2347D3F5"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5E20EB5A" w14:textId="67C6B75F"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087CEEB9" w14:textId="21A550F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West Africa</w:t>
            </w:r>
          </w:p>
        </w:tc>
        <w:tc>
          <w:tcPr>
            <w:tcW w:w="1701" w:type="dxa"/>
          </w:tcPr>
          <w:p w14:paraId="3BDEE29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Fixed/random effects panel models</w:t>
            </w:r>
          </w:p>
        </w:tc>
        <w:tc>
          <w:tcPr>
            <w:tcW w:w="1843" w:type="dxa"/>
          </w:tcPr>
          <w:p w14:paraId="70A8455F"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Fisheries positively influence shipping revenues; climate and seasonal variability increase operational uncertainty.</w:t>
            </w:r>
          </w:p>
        </w:tc>
      </w:tr>
      <w:tr w:rsidR="00EA38DE" w:rsidRPr="00EA38DE" w14:paraId="475665EE" w14:textId="77777777" w:rsidTr="00CF7D7E">
        <w:tc>
          <w:tcPr>
            <w:tcW w:w="704" w:type="dxa"/>
          </w:tcPr>
          <w:p w14:paraId="299110D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38</w:t>
            </w:r>
          </w:p>
        </w:tc>
        <w:tc>
          <w:tcPr>
            <w:tcW w:w="1138" w:type="dxa"/>
          </w:tcPr>
          <w:p w14:paraId="3D3EF13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Asongu et al. (2020)</w:t>
            </w:r>
          </w:p>
        </w:tc>
        <w:tc>
          <w:tcPr>
            <w:tcW w:w="1839" w:type="dxa"/>
          </w:tcPr>
          <w:p w14:paraId="32B8291D" w14:textId="416E81E0" w:rsidR="00D21613" w:rsidRPr="00EA38DE" w:rsidRDefault="00D21613" w:rsidP="00165460">
            <w:pPr>
              <w:rPr>
                <w:rFonts w:ascii="Times New Roman" w:hAnsi="Times New Roman"/>
                <w:sz w:val="24"/>
                <w:szCs w:val="24"/>
              </w:rPr>
            </w:pPr>
            <w:r w:rsidRPr="00EA38DE">
              <w:rPr>
                <w:rFonts w:ascii="Times New Roman" w:hAnsi="Times New Roman"/>
                <w:sz w:val="24"/>
                <w:szCs w:val="24"/>
              </w:rPr>
              <w:t>Sustainable Marine Policies and Exchange Rate Stability Enhance Shipping and Maritime Economic Performance in African Coastal States.</w:t>
            </w:r>
          </w:p>
        </w:tc>
        <w:tc>
          <w:tcPr>
            <w:tcW w:w="992" w:type="dxa"/>
          </w:tcPr>
          <w:p w14:paraId="571A17A5"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66D3DA2E" w14:textId="5E36657C"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5E0E137A" w14:textId="2FF1B5A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African coastal states</w:t>
            </w:r>
          </w:p>
        </w:tc>
        <w:tc>
          <w:tcPr>
            <w:tcW w:w="1701" w:type="dxa"/>
          </w:tcPr>
          <w:p w14:paraId="5D0E164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econometrics</w:t>
            </w:r>
          </w:p>
        </w:tc>
        <w:tc>
          <w:tcPr>
            <w:tcW w:w="1843" w:type="dxa"/>
          </w:tcPr>
          <w:p w14:paraId="007944F0"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Sustainable marine policies + FX stability improve shipping and broader maritime economic performance.</w:t>
            </w:r>
          </w:p>
        </w:tc>
      </w:tr>
      <w:tr w:rsidR="00EA38DE" w:rsidRPr="00EA38DE" w14:paraId="0E915379" w14:textId="77777777" w:rsidTr="00CF7D7E">
        <w:tc>
          <w:tcPr>
            <w:tcW w:w="704" w:type="dxa"/>
          </w:tcPr>
          <w:p w14:paraId="589144E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39</w:t>
            </w:r>
          </w:p>
        </w:tc>
        <w:tc>
          <w:tcPr>
            <w:tcW w:w="1138" w:type="dxa"/>
          </w:tcPr>
          <w:p w14:paraId="580C8D3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Botteboom &amp; Rodrigue (2020)</w:t>
            </w:r>
          </w:p>
        </w:tc>
        <w:tc>
          <w:tcPr>
            <w:tcW w:w="1839" w:type="dxa"/>
          </w:tcPr>
          <w:p w14:paraId="749214CD" w14:textId="215AB54C" w:rsidR="00D21613" w:rsidRPr="00EA38DE" w:rsidRDefault="00D21613" w:rsidP="00165460">
            <w:pPr>
              <w:rPr>
                <w:rFonts w:ascii="Times New Roman" w:hAnsi="Times New Roman"/>
                <w:sz w:val="24"/>
                <w:szCs w:val="24"/>
              </w:rPr>
            </w:pPr>
            <w:r w:rsidRPr="00EA38DE">
              <w:rPr>
                <w:rFonts w:ascii="Times New Roman" w:hAnsi="Times New Roman"/>
                <w:sz w:val="24"/>
                <w:szCs w:val="24"/>
              </w:rPr>
              <w:t>Exchange Rate Volatility, Technological Advancement, and Regulation Shape Global Shipping Performance: The Importance of Adaptability.</w:t>
            </w:r>
          </w:p>
        </w:tc>
        <w:tc>
          <w:tcPr>
            <w:tcW w:w="992" w:type="dxa"/>
          </w:tcPr>
          <w:p w14:paraId="30BE4D8F"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2000</w:t>
            </w:r>
          </w:p>
          <w:p w14:paraId="2E3C6FAF" w14:textId="1BDAE626"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2334E18E" w14:textId="68660E3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Global (Asia, Europe, NA, etc.)</w:t>
            </w:r>
          </w:p>
        </w:tc>
        <w:tc>
          <w:tcPr>
            <w:tcW w:w="1701" w:type="dxa"/>
          </w:tcPr>
          <w:p w14:paraId="3EBDB96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Meta-analysis + comparative case studies</w:t>
            </w:r>
          </w:p>
        </w:tc>
        <w:tc>
          <w:tcPr>
            <w:tcW w:w="1843" w:type="dxa"/>
          </w:tcPr>
          <w:p w14:paraId="0F7ECD2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Shipping performance shaped by FX volatility, tech advancement, and regulation; adaptability is key.</w:t>
            </w:r>
          </w:p>
        </w:tc>
      </w:tr>
      <w:tr w:rsidR="00EA38DE" w:rsidRPr="00EA38DE" w14:paraId="06D2CC4A" w14:textId="77777777" w:rsidTr="00CF7D7E">
        <w:tc>
          <w:tcPr>
            <w:tcW w:w="704" w:type="dxa"/>
          </w:tcPr>
          <w:p w14:paraId="783BF78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40</w:t>
            </w:r>
          </w:p>
        </w:tc>
        <w:tc>
          <w:tcPr>
            <w:tcW w:w="1138" w:type="dxa"/>
          </w:tcPr>
          <w:p w14:paraId="2F952867" w14:textId="2DAAF9CA"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Adeyemo, et al. (2020)</w:t>
            </w:r>
          </w:p>
        </w:tc>
        <w:tc>
          <w:tcPr>
            <w:tcW w:w="1839" w:type="dxa"/>
          </w:tcPr>
          <w:p w14:paraId="20B4D886" w14:textId="6490C87A" w:rsidR="00D21613" w:rsidRPr="00EA38DE" w:rsidRDefault="00D21613" w:rsidP="00165460">
            <w:pPr>
              <w:rPr>
                <w:rStyle w:val="Strong"/>
                <w:rFonts w:ascii="Times New Roman" w:hAnsi="Times New Roman"/>
                <w:b w:val="0"/>
                <w:bCs w:val="0"/>
                <w:sz w:val="24"/>
                <w:szCs w:val="24"/>
              </w:rPr>
            </w:pPr>
            <w:r w:rsidRPr="00EA38DE">
              <w:rPr>
                <w:rStyle w:val="Strong"/>
                <w:rFonts w:ascii="Times New Roman" w:hAnsi="Times New Roman"/>
                <w:b w:val="0"/>
                <w:bCs w:val="0"/>
                <w:sz w:val="24"/>
                <w:szCs w:val="24"/>
              </w:rPr>
              <w:t>Exchange Rate Volatility and Shipping Industry Profitability in Nigeria.</w:t>
            </w:r>
          </w:p>
          <w:p w14:paraId="083BD036" w14:textId="529463AF" w:rsidR="00D21613" w:rsidRPr="00EA38DE" w:rsidRDefault="00D21613" w:rsidP="00165460">
            <w:pPr>
              <w:rPr>
                <w:rFonts w:ascii="Times New Roman" w:eastAsia="Times New Roman" w:hAnsi="Times New Roman"/>
                <w:b/>
                <w:bCs/>
                <w:sz w:val="24"/>
                <w:szCs w:val="24"/>
              </w:rPr>
            </w:pPr>
          </w:p>
        </w:tc>
        <w:tc>
          <w:tcPr>
            <w:tcW w:w="992" w:type="dxa"/>
          </w:tcPr>
          <w:p w14:paraId="312B2EAE"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2005</w:t>
            </w:r>
          </w:p>
          <w:p w14:paraId="7E5C26A5" w14:textId="4A481054"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79AF6475" w14:textId="5F95514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58ADC93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regression</w:t>
            </w:r>
          </w:p>
        </w:tc>
        <w:tc>
          <w:tcPr>
            <w:tcW w:w="1843" w:type="dxa"/>
          </w:tcPr>
          <w:p w14:paraId="1E0D7F21"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FX volatility negatively impacts transport/shipping profitability; high bankruptcy </w:t>
            </w:r>
            <w:r w:rsidRPr="00EA38DE">
              <w:rPr>
                <w:rFonts w:ascii="Times New Roman" w:eastAsia="Times New Roman" w:hAnsi="Times New Roman"/>
                <w:sz w:val="24"/>
                <w:szCs w:val="24"/>
              </w:rPr>
              <w:lastRenderedPageBreak/>
              <w:t>risk when unmanaged.</w:t>
            </w:r>
          </w:p>
        </w:tc>
      </w:tr>
      <w:tr w:rsidR="00EA38DE" w:rsidRPr="00EA38DE" w14:paraId="33B6CB3F" w14:textId="77777777" w:rsidTr="00CF7D7E">
        <w:tc>
          <w:tcPr>
            <w:tcW w:w="704" w:type="dxa"/>
          </w:tcPr>
          <w:p w14:paraId="5FF3E84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41</w:t>
            </w:r>
          </w:p>
        </w:tc>
        <w:tc>
          <w:tcPr>
            <w:tcW w:w="1138" w:type="dxa"/>
          </w:tcPr>
          <w:p w14:paraId="2B23E5B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Bhattacharya &amp; Dash (2020)</w:t>
            </w:r>
          </w:p>
        </w:tc>
        <w:tc>
          <w:tcPr>
            <w:tcW w:w="1839" w:type="dxa"/>
          </w:tcPr>
          <w:p w14:paraId="1B311845" w14:textId="2FE7C1AD" w:rsidR="00D21613" w:rsidRPr="00EA38DE" w:rsidRDefault="00045655" w:rsidP="00B720D7">
            <w:pPr>
              <w:rPr>
                <w:rFonts w:ascii="Times New Roman" w:hAnsi="Times New Roman"/>
                <w:sz w:val="24"/>
                <w:szCs w:val="24"/>
              </w:rPr>
            </w:pPr>
            <w:r w:rsidRPr="00EA38DE">
              <w:rPr>
                <w:rFonts w:ascii="Times New Roman" w:hAnsi="Times New Roman"/>
                <w:sz w:val="24"/>
                <w:szCs w:val="24"/>
              </w:rPr>
              <w:t>Capital investment and electricity access drive blue economy growth; supports sustainable governance efforts</w:t>
            </w:r>
          </w:p>
        </w:tc>
        <w:tc>
          <w:tcPr>
            <w:tcW w:w="992" w:type="dxa"/>
          </w:tcPr>
          <w:p w14:paraId="0865CE61" w14:textId="77777777" w:rsidR="00D21613"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1996</w:t>
            </w:r>
          </w:p>
          <w:p w14:paraId="2B68B291" w14:textId="4B889FE3" w:rsidR="008D29C7" w:rsidRPr="00EA38DE" w:rsidRDefault="008D29C7"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2016</w:t>
            </w:r>
          </w:p>
        </w:tc>
        <w:tc>
          <w:tcPr>
            <w:tcW w:w="1276" w:type="dxa"/>
          </w:tcPr>
          <w:p w14:paraId="457CC0AB" w14:textId="304392E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21 Asia-Pacific countries</w:t>
            </w:r>
          </w:p>
        </w:tc>
        <w:tc>
          <w:tcPr>
            <w:tcW w:w="1701" w:type="dxa"/>
          </w:tcPr>
          <w:p w14:paraId="5DF8436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data analysis</w:t>
            </w:r>
          </w:p>
        </w:tc>
        <w:tc>
          <w:tcPr>
            <w:tcW w:w="1843" w:type="dxa"/>
          </w:tcPr>
          <w:p w14:paraId="183E93BF"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Capital investment and electricity access drive blue economy growth; supports sustainable governance efforts.</w:t>
            </w:r>
          </w:p>
        </w:tc>
      </w:tr>
      <w:tr w:rsidR="00EA38DE" w:rsidRPr="00EA38DE" w14:paraId="54FD55C5" w14:textId="77777777" w:rsidTr="00CF7D7E">
        <w:tc>
          <w:tcPr>
            <w:tcW w:w="704" w:type="dxa"/>
          </w:tcPr>
          <w:p w14:paraId="06A006F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42</w:t>
            </w:r>
          </w:p>
        </w:tc>
        <w:tc>
          <w:tcPr>
            <w:tcW w:w="1138" w:type="dxa"/>
          </w:tcPr>
          <w:p w14:paraId="44379B0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Lee et al. (2020)</w:t>
            </w:r>
          </w:p>
        </w:tc>
        <w:tc>
          <w:tcPr>
            <w:tcW w:w="1839" w:type="dxa"/>
          </w:tcPr>
          <w:p w14:paraId="244333F6" w14:textId="6DD5D1E3" w:rsidR="00D21613" w:rsidRPr="00EA38DE" w:rsidRDefault="00D21613" w:rsidP="005A53A4">
            <w:r w:rsidRPr="00EA38DE">
              <w:rPr>
                <w:rFonts w:ascii="Times New Roman" w:hAnsi="Times New Roman"/>
                <w:sz w:val="24"/>
                <w:szCs w:val="24"/>
              </w:rPr>
              <w:t>The Impact of Exchange Rate Volatility on Working Capital Requirements and EBIT in Multi-Currency Shipping Firms.</w:t>
            </w:r>
          </w:p>
        </w:tc>
        <w:tc>
          <w:tcPr>
            <w:tcW w:w="992" w:type="dxa"/>
          </w:tcPr>
          <w:p w14:paraId="01F63503"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458E5369" w14:textId="2E3934BC"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tc>
        <w:tc>
          <w:tcPr>
            <w:tcW w:w="1276" w:type="dxa"/>
          </w:tcPr>
          <w:p w14:paraId="412D24BB" w14:textId="6A97330C"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Europe and Asia</w:t>
            </w:r>
          </w:p>
        </w:tc>
        <w:tc>
          <w:tcPr>
            <w:tcW w:w="1701" w:type="dxa"/>
          </w:tcPr>
          <w:p w14:paraId="7BE6F4E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Microeconomic firm-level panel regression</w:t>
            </w:r>
          </w:p>
        </w:tc>
        <w:tc>
          <w:tcPr>
            <w:tcW w:w="1843" w:type="dxa"/>
          </w:tcPr>
          <w:p w14:paraId="664DE2A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raises working capital needs and disrupts cash flow, reducing EBIT in multi-currency environments.</w:t>
            </w:r>
          </w:p>
        </w:tc>
      </w:tr>
      <w:tr w:rsidR="00EA38DE" w:rsidRPr="00EA38DE" w14:paraId="1793946A" w14:textId="77777777" w:rsidTr="00CF7D7E">
        <w:tc>
          <w:tcPr>
            <w:tcW w:w="704" w:type="dxa"/>
          </w:tcPr>
          <w:p w14:paraId="15D0416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43</w:t>
            </w:r>
          </w:p>
        </w:tc>
        <w:tc>
          <w:tcPr>
            <w:tcW w:w="1138" w:type="dxa"/>
          </w:tcPr>
          <w:p w14:paraId="716905C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Adewuyi &amp; Otubu (2021)</w:t>
            </w:r>
          </w:p>
        </w:tc>
        <w:tc>
          <w:tcPr>
            <w:tcW w:w="1839" w:type="dxa"/>
          </w:tcPr>
          <w:p w14:paraId="650F471B" w14:textId="3D78071F" w:rsidR="00D21613" w:rsidRPr="00EA38DE" w:rsidRDefault="00D21613" w:rsidP="005A53A4">
            <w:pPr>
              <w:rPr>
                <w:rFonts w:ascii="Times New Roman" w:eastAsia="Times New Roman" w:hAnsi="Times New Roman"/>
                <w:sz w:val="24"/>
                <w:szCs w:val="24"/>
              </w:rPr>
            </w:pPr>
            <w:r w:rsidRPr="00EA38DE">
              <w:rPr>
                <w:rFonts w:ascii="Times New Roman" w:hAnsi="Times New Roman"/>
                <w:sz w:val="24"/>
                <w:szCs w:val="24"/>
              </w:rPr>
              <w:t>Economic Impact of Desalination Investments on Port and Shipping Services in Nigeria: Evidence from Cost-Benefit and Input-Output Analysis</w:t>
            </w:r>
          </w:p>
        </w:tc>
        <w:tc>
          <w:tcPr>
            <w:tcW w:w="992" w:type="dxa"/>
          </w:tcPr>
          <w:p w14:paraId="6A647BBF"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2012</w:t>
            </w:r>
          </w:p>
          <w:p w14:paraId="5228A527" w14:textId="2F2925CE"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1627D045" w14:textId="0022CD3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106DAB6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Cost-benefit + Input-output modeling</w:t>
            </w:r>
          </w:p>
        </w:tc>
        <w:tc>
          <w:tcPr>
            <w:tcW w:w="1843" w:type="dxa"/>
          </w:tcPr>
          <w:p w14:paraId="5A555B11"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$1M desalination investment generates $250K in contracts for port/shipping services (equipment, marine chemicals, vessel services).</w:t>
            </w:r>
          </w:p>
        </w:tc>
      </w:tr>
      <w:tr w:rsidR="00EA38DE" w:rsidRPr="00EA38DE" w14:paraId="4ACD0984" w14:textId="77777777" w:rsidTr="00CF7D7E">
        <w:tc>
          <w:tcPr>
            <w:tcW w:w="704" w:type="dxa"/>
          </w:tcPr>
          <w:p w14:paraId="13B155F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44</w:t>
            </w:r>
          </w:p>
        </w:tc>
        <w:tc>
          <w:tcPr>
            <w:tcW w:w="1138" w:type="dxa"/>
          </w:tcPr>
          <w:p w14:paraId="153AB13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Al-Damkhi &amp; Al-Kandari (2021)</w:t>
            </w:r>
          </w:p>
        </w:tc>
        <w:tc>
          <w:tcPr>
            <w:tcW w:w="1839" w:type="dxa"/>
          </w:tcPr>
          <w:p w14:paraId="07ACE9A4" w14:textId="00AA2565" w:rsidR="00D21613" w:rsidRPr="00EA38DE" w:rsidRDefault="00D21613" w:rsidP="005A53A4">
            <w:pPr>
              <w:rPr>
                <w:rFonts w:ascii="Times New Roman" w:hAnsi="Times New Roman"/>
                <w:sz w:val="24"/>
                <w:szCs w:val="24"/>
              </w:rPr>
            </w:pPr>
            <w:r w:rsidRPr="00EA38DE">
              <w:rPr>
                <w:rFonts w:ascii="Times New Roman" w:hAnsi="Times New Roman"/>
                <w:sz w:val="24"/>
                <w:szCs w:val="24"/>
              </w:rPr>
              <w:t>Desalination Expansion and Its Impact on Shipping Contracts in Marine Fuels, Chemicals, and Equipment: Evidence from Kuwait and Qatar</w:t>
            </w:r>
            <w:r w:rsidR="00045655" w:rsidRPr="00EA38DE">
              <w:rPr>
                <w:rFonts w:ascii="Times New Roman" w:hAnsi="Times New Roman"/>
                <w:sz w:val="24"/>
                <w:szCs w:val="24"/>
              </w:rPr>
              <w:t>.</w:t>
            </w:r>
          </w:p>
        </w:tc>
        <w:tc>
          <w:tcPr>
            <w:tcW w:w="992" w:type="dxa"/>
          </w:tcPr>
          <w:p w14:paraId="77D6DEA5"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59E3D6E8" w14:textId="559971CC"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0F8BF293" w14:textId="7C54BD01"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Kuwait, Qatar (GCC)</w:t>
            </w:r>
          </w:p>
        </w:tc>
        <w:tc>
          <w:tcPr>
            <w:tcW w:w="1701" w:type="dxa"/>
          </w:tcPr>
          <w:p w14:paraId="06E5BB8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Comparative case study</w:t>
            </w:r>
          </w:p>
        </w:tc>
        <w:tc>
          <w:tcPr>
            <w:tcW w:w="1843" w:type="dxa"/>
          </w:tcPr>
          <w:p w14:paraId="3657365B"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Desalination expansion drives shipping contracts in marine fuels, chemicals, and equipment.</w:t>
            </w:r>
          </w:p>
        </w:tc>
      </w:tr>
      <w:tr w:rsidR="00EA38DE" w:rsidRPr="00EA38DE" w14:paraId="79221000" w14:textId="77777777" w:rsidTr="00CF7D7E">
        <w:tc>
          <w:tcPr>
            <w:tcW w:w="704" w:type="dxa"/>
          </w:tcPr>
          <w:p w14:paraId="36F2D93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45</w:t>
            </w:r>
          </w:p>
        </w:tc>
        <w:tc>
          <w:tcPr>
            <w:tcW w:w="1138" w:type="dxa"/>
          </w:tcPr>
          <w:p w14:paraId="1D8482D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 xml:space="preserve">Chukwu &amp; </w:t>
            </w:r>
            <w:r w:rsidRPr="00EA38DE">
              <w:rPr>
                <w:rFonts w:ascii="Times New Roman" w:eastAsia="Times New Roman" w:hAnsi="Times New Roman"/>
                <w:sz w:val="24"/>
                <w:szCs w:val="24"/>
              </w:rPr>
              <w:lastRenderedPageBreak/>
              <w:t>Adebayo (2021)</w:t>
            </w:r>
          </w:p>
        </w:tc>
        <w:tc>
          <w:tcPr>
            <w:tcW w:w="1839" w:type="dxa"/>
          </w:tcPr>
          <w:p w14:paraId="7F9BC30C" w14:textId="6F73437B" w:rsidR="00D21613" w:rsidRPr="00EA38DE" w:rsidRDefault="00D21613" w:rsidP="00BC4415">
            <w:pPr>
              <w:rPr>
                <w:rFonts w:ascii="Times New Roman" w:hAnsi="Times New Roman"/>
                <w:sz w:val="24"/>
                <w:szCs w:val="24"/>
              </w:rPr>
            </w:pPr>
            <w:r w:rsidRPr="00EA38DE">
              <w:rPr>
                <w:rFonts w:ascii="Times New Roman" w:hAnsi="Times New Roman"/>
                <w:sz w:val="24"/>
                <w:szCs w:val="24"/>
              </w:rPr>
              <w:lastRenderedPageBreak/>
              <w:t xml:space="preserve">Exchange Rate Stability, Aquaculture </w:t>
            </w:r>
            <w:r w:rsidRPr="00EA38DE">
              <w:rPr>
                <w:rFonts w:ascii="Times New Roman" w:hAnsi="Times New Roman"/>
                <w:sz w:val="24"/>
                <w:szCs w:val="24"/>
              </w:rPr>
              <w:lastRenderedPageBreak/>
              <w:t>Exports, and Shipping Cargo Volume in Nigeria: Evidence from an SVAR Mode.</w:t>
            </w:r>
          </w:p>
        </w:tc>
        <w:tc>
          <w:tcPr>
            <w:tcW w:w="992" w:type="dxa"/>
          </w:tcPr>
          <w:p w14:paraId="1A71A0E6"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2005</w:t>
            </w:r>
          </w:p>
          <w:p w14:paraId="0316FBE2" w14:textId="4D3F2853"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1596A0DE" w14:textId="14B872C0"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4EA621B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SVAR model</w:t>
            </w:r>
          </w:p>
        </w:tc>
        <w:tc>
          <w:tcPr>
            <w:tcW w:w="1843" w:type="dxa"/>
          </w:tcPr>
          <w:p w14:paraId="566844BE"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Exchange rate stability enhances </w:t>
            </w:r>
            <w:r w:rsidRPr="00EA38DE">
              <w:rPr>
                <w:rFonts w:ascii="Times New Roman" w:eastAsia="Times New Roman" w:hAnsi="Times New Roman"/>
                <w:sz w:val="24"/>
                <w:szCs w:val="24"/>
              </w:rPr>
              <w:lastRenderedPageBreak/>
              <w:t>aquaculture exports and boosts shipping cargo volume.</w:t>
            </w:r>
          </w:p>
        </w:tc>
      </w:tr>
      <w:tr w:rsidR="00EA38DE" w:rsidRPr="00EA38DE" w14:paraId="62D15927" w14:textId="77777777" w:rsidTr="00CF7D7E">
        <w:tc>
          <w:tcPr>
            <w:tcW w:w="704" w:type="dxa"/>
          </w:tcPr>
          <w:p w14:paraId="2ACCCE2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46</w:t>
            </w:r>
          </w:p>
        </w:tc>
        <w:tc>
          <w:tcPr>
            <w:tcW w:w="1138" w:type="dxa"/>
          </w:tcPr>
          <w:p w14:paraId="0E0E900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Adeyemi &amp; Adedeji (2021)</w:t>
            </w:r>
          </w:p>
        </w:tc>
        <w:tc>
          <w:tcPr>
            <w:tcW w:w="1839" w:type="dxa"/>
          </w:tcPr>
          <w:p w14:paraId="5FB93EA7" w14:textId="62B115E2" w:rsidR="00D21613" w:rsidRPr="00EA38DE" w:rsidRDefault="00D21613" w:rsidP="00BC4415">
            <w:pPr>
              <w:rPr>
                <w:rFonts w:ascii="Times New Roman" w:hAnsi="Times New Roman"/>
                <w:sz w:val="24"/>
                <w:szCs w:val="24"/>
              </w:rPr>
            </w:pPr>
            <w:r w:rsidRPr="00EA38DE">
              <w:rPr>
                <w:rFonts w:ascii="Times New Roman" w:hAnsi="Times New Roman"/>
                <w:sz w:val="24"/>
                <w:szCs w:val="24"/>
              </w:rPr>
              <w:t xml:space="preserve">Assessing the Impact of Government Spending on Nigeria’s Blue Economy: Evidence from Expenditure-Based Time-Series Analysis. </w:t>
            </w:r>
          </w:p>
        </w:tc>
        <w:tc>
          <w:tcPr>
            <w:tcW w:w="992" w:type="dxa"/>
          </w:tcPr>
          <w:p w14:paraId="7D24AB09"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2000</w:t>
            </w:r>
          </w:p>
          <w:p w14:paraId="0B52DD72" w14:textId="08B13700"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60A57724" w14:textId="23C9AF32"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46D87E3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Expenditure-based time-series analysis</w:t>
            </w:r>
          </w:p>
        </w:tc>
        <w:tc>
          <w:tcPr>
            <w:tcW w:w="1843" w:type="dxa"/>
          </w:tcPr>
          <w:p w14:paraId="7A6DD6AB"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Positive but moderate impact of government spending on blue economy; spending inconsistent and insufficient.</w:t>
            </w:r>
          </w:p>
        </w:tc>
      </w:tr>
      <w:tr w:rsidR="00EA38DE" w:rsidRPr="00EA38DE" w14:paraId="4A81CB64" w14:textId="77777777" w:rsidTr="00CF7D7E">
        <w:tc>
          <w:tcPr>
            <w:tcW w:w="704" w:type="dxa"/>
          </w:tcPr>
          <w:p w14:paraId="145610C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47</w:t>
            </w:r>
          </w:p>
        </w:tc>
        <w:tc>
          <w:tcPr>
            <w:tcW w:w="1138" w:type="dxa"/>
          </w:tcPr>
          <w:p w14:paraId="44CD5896" w14:textId="2603B8D2"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Oyekunle, et al. (2021)</w:t>
            </w:r>
          </w:p>
        </w:tc>
        <w:tc>
          <w:tcPr>
            <w:tcW w:w="1839" w:type="dxa"/>
          </w:tcPr>
          <w:p w14:paraId="14CC4D3C" w14:textId="0F818991" w:rsidR="00D21613" w:rsidRPr="00EA38DE" w:rsidRDefault="00D21613" w:rsidP="00BC4415">
            <w:pPr>
              <w:rPr>
                <w:rFonts w:ascii="Times New Roman" w:eastAsia="Times New Roman" w:hAnsi="Times New Roman"/>
                <w:sz w:val="24"/>
                <w:szCs w:val="24"/>
              </w:rPr>
            </w:pPr>
            <w:r w:rsidRPr="00EA38DE">
              <w:rPr>
                <w:rFonts w:ascii="Times New Roman" w:hAnsi="Times New Roman"/>
                <w:sz w:val="24"/>
                <w:szCs w:val="24"/>
              </w:rPr>
              <w:t xml:space="preserve">The Dual Effects of Exchange Rate Volatility on Shipping Competitiveness in Nigeria: Short-Term Losses and Long-Term Gains. </w:t>
            </w:r>
          </w:p>
        </w:tc>
        <w:tc>
          <w:tcPr>
            <w:tcW w:w="992" w:type="dxa"/>
          </w:tcPr>
          <w:p w14:paraId="6C416A0F"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2012</w:t>
            </w:r>
          </w:p>
          <w:p w14:paraId="57D767BF" w14:textId="2A9E014B"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2023</w:t>
            </w:r>
          </w:p>
        </w:tc>
        <w:tc>
          <w:tcPr>
            <w:tcW w:w="1276" w:type="dxa"/>
          </w:tcPr>
          <w:p w14:paraId="7CBBA8FF" w14:textId="05062573"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464F334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Likely econometric (unspecified)</w:t>
            </w:r>
          </w:p>
        </w:tc>
        <w:tc>
          <w:tcPr>
            <w:tcW w:w="1843" w:type="dxa"/>
          </w:tcPr>
          <w:p w14:paraId="676FE3C4"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harms shipping competitiveness short-term but can aid international competitiveness via naira depreciation.</w:t>
            </w:r>
          </w:p>
        </w:tc>
      </w:tr>
      <w:tr w:rsidR="00EA38DE" w:rsidRPr="00EA38DE" w14:paraId="49C0903E" w14:textId="77777777" w:rsidTr="00CF7D7E">
        <w:tc>
          <w:tcPr>
            <w:tcW w:w="704" w:type="dxa"/>
          </w:tcPr>
          <w:p w14:paraId="7064987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48</w:t>
            </w:r>
          </w:p>
        </w:tc>
        <w:tc>
          <w:tcPr>
            <w:tcW w:w="1138" w:type="dxa"/>
          </w:tcPr>
          <w:p w14:paraId="5E39DE9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Okonkwo &amp; Ugochukwu (2021)</w:t>
            </w:r>
          </w:p>
        </w:tc>
        <w:tc>
          <w:tcPr>
            <w:tcW w:w="1839" w:type="dxa"/>
          </w:tcPr>
          <w:p w14:paraId="6D1D9DD3" w14:textId="1625E34F" w:rsidR="00D21613" w:rsidRPr="00EA38DE" w:rsidRDefault="00D21613" w:rsidP="000B1420">
            <w:pPr>
              <w:rPr>
                <w:rFonts w:ascii="Times New Roman" w:hAnsi="Times New Roman"/>
                <w:sz w:val="24"/>
                <w:szCs w:val="24"/>
              </w:rPr>
            </w:pPr>
            <w:r w:rsidRPr="00EA38DE">
              <w:rPr>
                <w:rFonts w:ascii="Times New Roman" w:hAnsi="Times New Roman"/>
                <w:sz w:val="24"/>
                <w:szCs w:val="24"/>
              </w:rPr>
              <w:t>Exchange Rate Volatility and Shipping Firm Profitability in Nigeria: Implications for FX Risk Management.</w:t>
            </w:r>
          </w:p>
        </w:tc>
        <w:tc>
          <w:tcPr>
            <w:tcW w:w="992" w:type="dxa"/>
          </w:tcPr>
          <w:p w14:paraId="2AEA4C29"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2012</w:t>
            </w:r>
          </w:p>
          <w:p w14:paraId="78FF79F9" w14:textId="006CDDB3"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243C865D" w14:textId="7DB3E259"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40FB680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regression analysis</w:t>
            </w:r>
          </w:p>
        </w:tc>
        <w:tc>
          <w:tcPr>
            <w:tcW w:w="1843" w:type="dxa"/>
          </w:tcPr>
          <w:p w14:paraId="07D321B3"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Exchange rate volatility reduces profitability of shipping firms; FX risk management needed.</w:t>
            </w:r>
          </w:p>
        </w:tc>
      </w:tr>
      <w:tr w:rsidR="00EA38DE" w:rsidRPr="00EA38DE" w14:paraId="17DC5228" w14:textId="77777777" w:rsidTr="00CF7D7E">
        <w:tc>
          <w:tcPr>
            <w:tcW w:w="704" w:type="dxa"/>
          </w:tcPr>
          <w:p w14:paraId="7B6A678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49</w:t>
            </w:r>
          </w:p>
        </w:tc>
        <w:tc>
          <w:tcPr>
            <w:tcW w:w="1138" w:type="dxa"/>
          </w:tcPr>
          <w:p w14:paraId="3C135B9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UNCTAD (2021)</w:t>
            </w:r>
          </w:p>
        </w:tc>
        <w:tc>
          <w:tcPr>
            <w:tcW w:w="1839" w:type="dxa"/>
          </w:tcPr>
          <w:p w14:paraId="4DACD7AA" w14:textId="1FC4B26B" w:rsidR="00D21613" w:rsidRPr="00EA38DE" w:rsidRDefault="00D21613" w:rsidP="000B1420">
            <w:pPr>
              <w:rPr>
                <w:rFonts w:ascii="Times New Roman" w:hAnsi="Times New Roman"/>
                <w:sz w:val="24"/>
                <w:szCs w:val="24"/>
              </w:rPr>
            </w:pPr>
            <w:r w:rsidRPr="00EA38DE">
              <w:rPr>
                <w:rFonts w:ascii="Times New Roman" w:hAnsi="Times New Roman"/>
                <w:sz w:val="24"/>
                <w:szCs w:val="24"/>
              </w:rPr>
              <w:t>The Contribution of Fisheries Exports to Port and Shipping Profits in Developing Countries.</w:t>
            </w:r>
          </w:p>
        </w:tc>
        <w:tc>
          <w:tcPr>
            <w:tcW w:w="992" w:type="dxa"/>
          </w:tcPr>
          <w:p w14:paraId="341D1D7F"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565B0B9C" w14:textId="48542DC3"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7ADA769C" w14:textId="7BF7393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Developing countries incl. Nigeria</w:t>
            </w:r>
          </w:p>
        </w:tc>
        <w:tc>
          <w:tcPr>
            <w:tcW w:w="1701" w:type="dxa"/>
          </w:tcPr>
          <w:p w14:paraId="2A05476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Sectoral review + trade analysis</w:t>
            </w:r>
          </w:p>
        </w:tc>
        <w:tc>
          <w:tcPr>
            <w:tcW w:w="1843" w:type="dxa"/>
          </w:tcPr>
          <w:p w14:paraId="27919A61"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Fisheries exports, especially processed, raise port and shipping profits.</w:t>
            </w:r>
          </w:p>
        </w:tc>
      </w:tr>
      <w:tr w:rsidR="00EA38DE" w:rsidRPr="00EA38DE" w14:paraId="1BE0FC0C" w14:textId="77777777" w:rsidTr="00CF7D7E">
        <w:tc>
          <w:tcPr>
            <w:tcW w:w="704" w:type="dxa"/>
          </w:tcPr>
          <w:p w14:paraId="7A4896F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50</w:t>
            </w:r>
          </w:p>
        </w:tc>
        <w:tc>
          <w:tcPr>
            <w:tcW w:w="1138" w:type="dxa"/>
          </w:tcPr>
          <w:p w14:paraId="4DD4FBD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Usman &amp; Dikko (2021)</w:t>
            </w:r>
          </w:p>
        </w:tc>
        <w:tc>
          <w:tcPr>
            <w:tcW w:w="1839" w:type="dxa"/>
          </w:tcPr>
          <w:p w14:paraId="7ECE4D14" w14:textId="30C16F43" w:rsidR="00D21613" w:rsidRPr="00EA38DE" w:rsidRDefault="00D21613" w:rsidP="000B1420">
            <w:pPr>
              <w:rPr>
                <w:rFonts w:ascii="Times New Roman" w:hAnsi="Times New Roman"/>
                <w:sz w:val="24"/>
                <w:szCs w:val="24"/>
              </w:rPr>
            </w:pPr>
            <w:r w:rsidRPr="00EA38DE">
              <w:rPr>
                <w:rFonts w:ascii="Times New Roman" w:hAnsi="Times New Roman"/>
                <w:sz w:val="24"/>
                <w:szCs w:val="24"/>
              </w:rPr>
              <w:t xml:space="preserve">The Impact of Bureaucracy, Regulatory </w:t>
            </w:r>
            <w:r w:rsidRPr="00EA38DE">
              <w:rPr>
                <w:rFonts w:ascii="Times New Roman" w:hAnsi="Times New Roman"/>
                <w:sz w:val="24"/>
                <w:szCs w:val="24"/>
              </w:rPr>
              <w:lastRenderedPageBreak/>
              <w:t>Costs, and Port Infrastructure on Export Efficiency and Shipping Performance in Nigeria.</w:t>
            </w:r>
          </w:p>
        </w:tc>
        <w:tc>
          <w:tcPr>
            <w:tcW w:w="992" w:type="dxa"/>
          </w:tcPr>
          <w:p w14:paraId="20371078" w14:textId="77777777" w:rsidR="00D21613"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2015</w:t>
            </w:r>
          </w:p>
          <w:p w14:paraId="1185E802" w14:textId="616A4D7A" w:rsidR="00045655" w:rsidRPr="00EA38DE" w:rsidRDefault="00045655"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4B7000A2" w14:textId="7DD939A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22D5372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 xml:space="preserve">Mixed-methods + </w:t>
            </w:r>
            <w:r w:rsidRPr="00EA38DE">
              <w:rPr>
                <w:rFonts w:ascii="Times New Roman" w:eastAsia="Times New Roman" w:hAnsi="Times New Roman"/>
                <w:sz w:val="24"/>
                <w:szCs w:val="24"/>
              </w:rPr>
              <w:lastRenderedPageBreak/>
              <w:t>econometric modeling</w:t>
            </w:r>
          </w:p>
        </w:tc>
        <w:tc>
          <w:tcPr>
            <w:tcW w:w="1843" w:type="dxa"/>
          </w:tcPr>
          <w:p w14:paraId="68B2512C"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lastRenderedPageBreak/>
              <w:t xml:space="preserve">Bureaucracy, regulatory costs, and poor port </w:t>
            </w:r>
            <w:r w:rsidRPr="00EA38DE">
              <w:rPr>
                <w:rFonts w:ascii="Times New Roman" w:eastAsia="Times New Roman" w:hAnsi="Times New Roman"/>
                <w:sz w:val="24"/>
                <w:szCs w:val="24"/>
              </w:rPr>
              <w:lastRenderedPageBreak/>
              <w:t>facilities hurt export efficiency and shipping performance.</w:t>
            </w:r>
          </w:p>
        </w:tc>
      </w:tr>
      <w:tr w:rsidR="00EA38DE" w:rsidRPr="00EA38DE" w14:paraId="16870D3B" w14:textId="77777777" w:rsidTr="00CF7D7E">
        <w:tc>
          <w:tcPr>
            <w:tcW w:w="704" w:type="dxa"/>
          </w:tcPr>
          <w:p w14:paraId="213223E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51</w:t>
            </w:r>
          </w:p>
        </w:tc>
        <w:tc>
          <w:tcPr>
            <w:tcW w:w="1138" w:type="dxa"/>
          </w:tcPr>
          <w:p w14:paraId="1B9798E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Abila et al. (2021)</w:t>
            </w:r>
          </w:p>
        </w:tc>
        <w:tc>
          <w:tcPr>
            <w:tcW w:w="1839" w:type="dxa"/>
          </w:tcPr>
          <w:p w14:paraId="21D19CCD" w14:textId="3D36C641" w:rsidR="00D21613" w:rsidRPr="00EA38DE" w:rsidRDefault="00D21613" w:rsidP="00A62362">
            <w:pPr>
              <w:rPr>
                <w:rFonts w:ascii="Times New Roman" w:eastAsia="Times New Roman" w:hAnsi="Times New Roman"/>
                <w:sz w:val="24"/>
                <w:szCs w:val="24"/>
              </w:rPr>
            </w:pPr>
            <w:r w:rsidRPr="00EA38DE">
              <w:rPr>
                <w:rFonts w:ascii="Times New Roman" w:hAnsi="Times New Roman"/>
                <w:sz w:val="24"/>
                <w:szCs w:val="24"/>
              </w:rPr>
              <w:t>Aquaculture Growth, Port Activity, and the Vulnerability of Logistics Firms to Trade Shocks and FX Volatility in West Africa</w:t>
            </w:r>
            <w:r w:rsidR="0003308E" w:rsidRPr="00EA38DE">
              <w:rPr>
                <w:rFonts w:ascii="Times New Roman" w:eastAsia="Times New Roman" w:hAnsi="Times New Roman"/>
                <w:sz w:val="24"/>
                <w:szCs w:val="24"/>
              </w:rPr>
              <w:t>.</w:t>
            </w:r>
          </w:p>
        </w:tc>
        <w:tc>
          <w:tcPr>
            <w:tcW w:w="992" w:type="dxa"/>
          </w:tcPr>
          <w:p w14:paraId="0DBA8027"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11EB5391" w14:textId="6C2D44C5"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017937DF" w14:textId="59223F82"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Ghana, Senegal</w:t>
            </w:r>
          </w:p>
        </w:tc>
        <w:tc>
          <w:tcPr>
            <w:tcW w:w="1701" w:type="dxa"/>
          </w:tcPr>
          <w:p w14:paraId="22611FD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regression</w:t>
            </w:r>
          </w:p>
        </w:tc>
        <w:tc>
          <w:tcPr>
            <w:tcW w:w="1843" w:type="dxa"/>
          </w:tcPr>
          <w:p w14:paraId="030FF718"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Aquaculture growth increases port activity; logistics firms vulnerable to trade shocks and FX volatility.</w:t>
            </w:r>
          </w:p>
        </w:tc>
      </w:tr>
      <w:tr w:rsidR="00EA38DE" w:rsidRPr="00EA38DE" w14:paraId="299CBAC8" w14:textId="77777777" w:rsidTr="00CF7D7E">
        <w:tc>
          <w:tcPr>
            <w:tcW w:w="704" w:type="dxa"/>
          </w:tcPr>
          <w:p w14:paraId="5613406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52</w:t>
            </w:r>
          </w:p>
        </w:tc>
        <w:tc>
          <w:tcPr>
            <w:tcW w:w="1138" w:type="dxa"/>
          </w:tcPr>
          <w:p w14:paraId="3B9B805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Idris &amp; Dada (2021)</w:t>
            </w:r>
          </w:p>
        </w:tc>
        <w:tc>
          <w:tcPr>
            <w:tcW w:w="1839" w:type="dxa"/>
          </w:tcPr>
          <w:p w14:paraId="5797203C" w14:textId="188F65D7" w:rsidR="00D21613" w:rsidRPr="00EA38DE" w:rsidRDefault="00D21613" w:rsidP="00CB10A8">
            <w:pPr>
              <w:jc w:val="both"/>
              <w:rPr>
                <w:rFonts w:ascii="Times New Roman" w:hAnsi="Times New Roman"/>
                <w:sz w:val="24"/>
                <w:szCs w:val="24"/>
              </w:rPr>
            </w:pPr>
            <w:r w:rsidRPr="00EA38DE">
              <w:rPr>
                <w:rFonts w:ascii="Times New Roman" w:hAnsi="Times New Roman"/>
                <w:sz w:val="24"/>
                <w:szCs w:val="24"/>
              </w:rPr>
              <w:t>Impact of Local Freshwater Supply on Berthing Costs, Turnaround Time, and Shipping Firm Profitability in Nigeria.</w:t>
            </w:r>
          </w:p>
        </w:tc>
        <w:tc>
          <w:tcPr>
            <w:tcW w:w="992" w:type="dxa"/>
          </w:tcPr>
          <w:p w14:paraId="3FE8CAA0"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5088ED18" w14:textId="522DFE33"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5BBC7217" w14:textId="0BF1A663"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6771C37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w:t>
            </w:r>
          </w:p>
        </w:tc>
        <w:tc>
          <w:tcPr>
            <w:tcW w:w="1843" w:type="dxa"/>
          </w:tcPr>
          <w:p w14:paraId="126436F3"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Local freshwater supply improves berthing costs, turnaround time, and shipping firm profitability.</w:t>
            </w:r>
          </w:p>
        </w:tc>
      </w:tr>
      <w:tr w:rsidR="00EA38DE" w:rsidRPr="00EA38DE" w14:paraId="1EBCAB84" w14:textId="77777777" w:rsidTr="00CF7D7E">
        <w:tc>
          <w:tcPr>
            <w:tcW w:w="704" w:type="dxa"/>
          </w:tcPr>
          <w:p w14:paraId="7CB64E7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53</w:t>
            </w:r>
          </w:p>
        </w:tc>
        <w:tc>
          <w:tcPr>
            <w:tcW w:w="1138" w:type="dxa"/>
          </w:tcPr>
          <w:p w14:paraId="78ED13D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Adebayo (2021)</w:t>
            </w:r>
          </w:p>
        </w:tc>
        <w:tc>
          <w:tcPr>
            <w:tcW w:w="1839" w:type="dxa"/>
          </w:tcPr>
          <w:p w14:paraId="3A1E9BBC" w14:textId="03ACF1D3" w:rsidR="00D21613" w:rsidRPr="00EA38DE" w:rsidRDefault="00D21613" w:rsidP="00A62362">
            <w:pPr>
              <w:rPr>
                <w:rFonts w:ascii="Times New Roman" w:hAnsi="Times New Roman"/>
                <w:sz w:val="24"/>
                <w:szCs w:val="24"/>
              </w:rPr>
            </w:pPr>
            <w:r w:rsidRPr="00EA38DE">
              <w:rPr>
                <w:rFonts w:ascii="Times New Roman" w:hAnsi="Times New Roman"/>
                <w:sz w:val="24"/>
                <w:szCs w:val="24"/>
              </w:rPr>
              <w:t>Effects of Naira Depreciation on Aquaculture Input Costs and Shipping Margins in Nigeria: Evidence from GARCH and SVAR Models.</w:t>
            </w:r>
          </w:p>
        </w:tc>
        <w:tc>
          <w:tcPr>
            <w:tcW w:w="992" w:type="dxa"/>
          </w:tcPr>
          <w:p w14:paraId="6A7AC02C"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0820AC00" w14:textId="0A9FC1CB"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43494E8B" w14:textId="2FFC9659"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6E56FCC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GARCH + SVAR models</w:t>
            </w:r>
          </w:p>
        </w:tc>
        <w:tc>
          <w:tcPr>
            <w:tcW w:w="1843" w:type="dxa"/>
          </w:tcPr>
          <w:p w14:paraId="1A2BD5FB"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Naira depreciation increases costs for aquaculture inputs, reducing efficiency and shipping margins.</w:t>
            </w:r>
          </w:p>
        </w:tc>
      </w:tr>
      <w:tr w:rsidR="00EA38DE" w:rsidRPr="00EA38DE" w14:paraId="74B88392" w14:textId="77777777" w:rsidTr="00CF7D7E">
        <w:tc>
          <w:tcPr>
            <w:tcW w:w="704" w:type="dxa"/>
          </w:tcPr>
          <w:p w14:paraId="470CBCA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54</w:t>
            </w:r>
          </w:p>
        </w:tc>
        <w:tc>
          <w:tcPr>
            <w:tcW w:w="1138" w:type="dxa"/>
          </w:tcPr>
          <w:p w14:paraId="4EAEE48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Olayemi &amp; Okpara (2021)</w:t>
            </w:r>
          </w:p>
        </w:tc>
        <w:tc>
          <w:tcPr>
            <w:tcW w:w="1839" w:type="dxa"/>
          </w:tcPr>
          <w:p w14:paraId="26820B47" w14:textId="3BBA79A5" w:rsidR="00D21613" w:rsidRPr="00EA38DE" w:rsidRDefault="00D21613" w:rsidP="00BA256D">
            <w:pPr>
              <w:rPr>
                <w:rFonts w:ascii="Times New Roman" w:hAnsi="Times New Roman"/>
                <w:sz w:val="24"/>
                <w:szCs w:val="24"/>
              </w:rPr>
            </w:pPr>
            <w:r w:rsidRPr="00EA38DE">
              <w:rPr>
                <w:rFonts w:ascii="Times New Roman" w:hAnsi="Times New Roman"/>
                <w:sz w:val="24"/>
                <w:szCs w:val="24"/>
              </w:rPr>
              <w:t>Exchange Rate Volatility, Desalination Supply Chains, and Shipping Profit Margins in Nigeria.</w:t>
            </w:r>
          </w:p>
        </w:tc>
        <w:tc>
          <w:tcPr>
            <w:tcW w:w="992" w:type="dxa"/>
          </w:tcPr>
          <w:p w14:paraId="042E329D"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2012</w:t>
            </w:r>
          </w:p>
          <w:p w14:paraId="28EDCA98" w14:textId="44DCAA03"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65F75C69" w14:textId="68734368"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5DA11C2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Econometric (regression)</w:t>
            </w:r>
          </w:p>
        </w:tc>
        <w:tc>
          <w:tcPr>
            <w:tcW w:w="1843" w:type="dxa"/>
          </w:tcPr>
          <w:p w14:paraId="08C12516"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raises import costs in desalination supply chains, eroding shipping firms’ profit margins.</w:t>
            </w:r>
          </w:p>
        </w:tc>
      </w:tr>
      <w:tr w:rsidR="00EA38DE" w:rsidRPr="00EA38DE" w14:paraId="58C9F18C" w14:textId="77777777" w:rsidTr="00CF7D7E">
        <w:tc>
          <w:tcPr>
            <w:tcW w:w="704" w:type="dxa"/>
          </w:tcPr>
          <w:p w14:paraId="659C7C4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55</w:t>
            </w:r>
          </w:p>
        </w:tc>
        <w:tc>
          <w:tcPr>
            <w:tcW w:w="1138" w:type="dxa"/>
          </w:tcPr>
          <w:p w14:paraId="3F58ED4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 xml:space="preserve">Obadan &amp; </w:t>
            </w:r>
            <w:r w:rsidRPr="00EA38DE">
              <w:rPr>
                <w:rFonts w:ascii="Times New Roman" w:eastAsia="Times New Roman" w:hAnsi="Times New Roman"/>
                <w:sz w:val="24"/>
                <w:szCs w:val="24"/>
              </w:rPr>
              <w:lastRenderedPageBreak/>
              <w:t>Omoruyi (2021)</w:t>
            </w:r>
          </w:p>
        </w:tc>
        <w:tc>
          <w:tcPr>
            <w:tcW w:w="1839" w:type="dxa"/>
          </w:tcPr>
          <w:p w14:paraId="5193F185" w14:textId="7E5B91A2" w:rsidR="00D21613" w:rsidRPr="00EA38DE" w:rsidRDefault="00D21613" w:rsidP="009403FE">
            <w:pPr>
              <w:rPr>
                <w:rFonts w:ascii="Times New Roman" w:hAnsi="Times New Roman"/>
                <w:sz w:val="24"/>
                <w:szCs w:val="24"/>
              </w:rPr>
            </w:pPr>
            <w:r w:rsidRPr="00EA38DE">
              <w:rPr>
                <w:rFonts w:ascii="Times New Roman" w:hAnsi="Times New Roman"/>
                <w:sz w:val="24"/>
                <w:szCs w:val="24"/>
              </w:rPr>
              <w:lastRenderedPageBreak/>
              <w:t xml:space="preserve">The Impact of Exchange Rate Volatility on </w:t>
            </w:r>
            <w:r w:rsidRPr="00EA38DE">
              <w:rPr>
                <w:rFonts w:ascii="Times New Roman" w:hAnsi="Times New Roman"/>
                <w:sz w:val="24"/>
                <w:szCs w:val="24"/>
              </w:rPr>
              <w:lastRenderedPageBreak/>
              <w:t>Transport Infrastructure Project Timelines in Nigeria.</w:t>
            </w:r>
          </w:p>
        </w:tc>
        <w:tc>
          <w:tcPr>
            <w:tcW w:w="992" w:type="dxa"/>
          </w:tcPr>
          <w:p w14:paraId="5B32CDCE"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2015</w:t>
            </w:r>
          </w:p>
          <w:p w14:paraId="245DCEEC" w14:textId="11A8B5FE"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33A559A7" w14:textId="4581EC9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696D297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w:t>
            </w:r>
          </w:p>
        </w:tc>
        <w:tc>
          <w:tcPr>
            <w:tcW w:w="1843" w:type="dxa"/>
          </w:tcPr>
          <w:p w14:paraId="1BDBC2B9"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FX volatility delays major transport </w:t>
            </w:r>
            <w:r w:rsidRPr="00EA38DE">
              <w:rPr>
                <w:rFonts w:ascii="Times New Roman" w:eastAsia="Times New Roman" w:hAnsi="Times New Roman"/>
                <w:sz w:val="24"/>
                <w:szCs w:val="24"/>
              </w:rPr>
              <w:lastRenderedPageBreak/>
              <w:t>infrastructure projects due to irregular funding.</w:t>
            </w:r>
          </w:p>
        </w:tc>
      </w:tr>
      <w:tr w:rsidR="00EA38DE" w:rsidRPr="00EA38DE" w14:paraId="568384E8" w14:textId="77777777" w:rsidTr="00CF7D7E">
        <w:tc>
          <w:tcPr>
            <w:tcW w:w="704" w:type="dxa"/>
          </w:tcPr>
          <w:p w14:paraId="5644667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56</w:t>
            </w:r>
          </w:p>
        </w:tc>
        <w:tc>
          <w:tcPr>
            <w:tcW w:w="1138" w:type="dxa"/>
          </w:tcPr>
          <w:p w14:paraId="191CD96D"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Adeoye &amp; Afolabi (2021)</w:t>
            </w:r>
          </w:p>
        </w:tc>
        <w:tc>
          <w:tcPr>
            <w:tcW w:w="1839" w:type="dxa"/>
          </w:tcPr>
          <w:p w14:paraId="02CDE26C" w14:textId="031951CE" w:rsidR="00D21613" w:rsidRPr="00EA38DE" w:rsidRDefault="00D21613" w:rsidP="009403FE">
            <w:pPr>
              <w:rPr>
                <w:rFonts w:ascii="Times New Roman" w:hAnsi="Times New Roman"/>
                <w:sz w:val="24"/>
                <w:szCs w:val="24"/>
              </w:rPr>
            </w:pPr>
            <w:r w:rsidRPr="00EA38DE">
              <w:rPr>
                <w:rFonts w:ascii="Times New Roman" w:hAnsi="Times New Roman"/>
                <w:sz w:val="24"/>
                <w:szCs w:val="24"/>
              </w:rPr>
              <w:t>The Impact of Fishery Exports on Shipping Profitability in Nigeria: Evidence for Reefer and Cold-Chain Vessels.</w:t>
            </w:r>
          </w:p>
        </w:tc>
        <w:tc>
          <w:tcPr>
            <w:tcW w:w="992" w:type="dxa"/>
          </w:tcPr>
          <w:p w14:paraId="7DB4A4A3"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2005</w:t>
            </w:r>
          </w:p>
          <w:p w14:paraId="200A0611" w14:textId="04B8A42E"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2F740913" w14:textId="3DD7EF7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118CEE7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ARDL model</w:t>
            </w:r>
          </w:p>
        </w:tc>
        <w:tc>
          <w:tcPr>
            <w:tcW w:w="1843" w:type="dxa"/>
          </w:tcPr>
          <w:p w14:paraId="66A4ACBC"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Fishery exports positively affect shipping profitability; especially for reefer and cold-chain vessels.</w:t>
            </w:r>
          </w:p>
        </w:tc>
      </w:tr>
      <w:tr w:rsidR="00EA38DE" w:rsidRPr="00EA38DE" w14:paraId="0DA6A56F" w14:textId="77777777" w:rsidTr="00CF7D7E">
        <w:tc>
          <w:tcPr>
            <w:tcW w:w="704" w:type="dxa"/>
          </w:tcPr>
          <w:p w14:paraId="0E8EA59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57</w:t>
            </w:r>
          </w:p>
        </w:tc>
        <w:tc>
          <w:tcPr>
            <w:tcW w:w="1138" w:type="dxa"/>
          </w:tcPr>
          <w:p w14:paraId="1173DF5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Eze &amp; Uchenna (2021)</w:t>
            </w:r>
          </w:p>
        </w:tc>
        <w:tc>
          <w:tcPr>
            <w:tcW w:w="1839" w:type="dxa"/>
          </w:tcPr>
          <w:p w14:paraId="254AB5CA" w14:textId="5B9B6548" w:rsidR="00D21613" w:rsidRPr="00EA38DE" w:rsidRDefault="00D21613" w:rsidP="009403FE">
            <w:pPr>
              <w:rPr>
                <w:rFonts w:ascii="Times New Roman" w:hAnsi="Times New Roman"/>
                <w:sz w:val="24"/>
                <w:szCs w:val="24"/>
              </w:rPr>
            </w:pPr>
            <w:r w:rsidRPr="00EA38DE">
              <w:rPr>
                <w:rFonts w:ascii="Times New Roman" w:hAnsi="Times New Roman"/>
                <w:sz w:val="24"/>
                <w:szCs w:val="24"/>
              </w:rPr>
              <w:t>The Impact of Naira Depreciation on Shipping Firm Profit Margins in Nigeria: Evidence from Firms with Dollar Liabilities.</w:t>
            </w:r>
          </w:p>
        </w:tc>
        <w:tc>
          <w:tcPr>
            <w:tcW w:w="992" w:type="dxa"/>
          </w:tcPr>
          <w:p w14:paraId="2E4C6F8C"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2013</w:t>
            </w:r>
          </w:p>
          <w:p w14:paraId="3C5365F6" w14:textId="742A23BC"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3E2CC2ED" w14:textId="3B97743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563ECEF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regression</w:t>
            </w:r>
          </w:p>
        </w:tc>
        <w:tc>
          <w:tcPr>
            <w:tcW w:w="1843" w:type="dxa"/>
          </w:tcPr>
          <w:p w14:paraId="4295F361"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losses due to naira depreciation significantly reduce profit margins for shipping firms with dollar liabilities.</w:t>
            </w:r>
          </w:p>
        </w:tc>
      </w:tr>
      <w:tr w:rsidR="00EA38DE" w:rsidRPr="00EA38DE" w14:paraId="774C6BD0" w14:textId="77777777" w:rsidTr="00CF7D7E">
        <w:tc>
          <w:tcPr>
            <w:tcW w:w="704" w:type="dxa"/>
          </w:tcPr>
          <w:p w14:paraId="4D255AF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58</w:t>
            </w:r>
          </w:p>
        </w:tc>
        <w:tc>
          <w:tcPr>
            <w:tcW w:w="1138" w:type="dxa"/>
          </w:tcPr>
          <w:p w14:paraId="2D1F355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Ekanem &amp; Bako (2021)</w:t>
            </w:r>
          </w:p>
        </w:tc>
        <w:tc>
          <w:tcPr>
            <w:tcW w:w="1839" w:type="dxa"/>
          </w:tcPr>
          <w:p w14:paraId="214EC16C" w14:textId="304A1520" w:rsidR="00D21613" w:rsidRPr="00EA38DE" w:rsidRDefault="00D21613" w:rsidP="009403FE">
            <w:pPr>
              <w:rPr>
                <w:rFonts w:ascii="Times New Roman" w:eastAsia="Times New Roman" w:hAnsi="Times New Roman"/>
                <w:sz w:val="24"/>
                <w:szCs w:val="24"/>
              </w:rPr>
            </w:pPr>
            <w:r w:rsidRPr="00EA38DE">
              <w:rPr>
                <w:rFonts w:ascii="Times New Roman" w:hAnsi="Times New Roman"/>
                <w:sz w:val="24"/>
                <w:szCs w:val="24"/>
              </w:rPr>
              <w:t>Fisheries Logistics Investment and Its Impact on Port Performance and Maritime Financial Health in Lagos and Cross River, Nigeria</w:t>
            </w:r>
            <w:r w:rsidR="0003308E" w:rsidRPr="00EA38DE">
              <w:rPr>
                <w:rFonts w:ascii="Times New Roman" w:eastAsia="Times New Roman" w:hAnsi="Times New Roman"/>
                <w:sz w:val="24"/>
                <w:szCs w:val="24"/>
              </w:rPr>
              <w:t>.</w:t>
            </w:r>
          </w:p>
        </w:tc>
        <w:tc>
          <w:tcPr>
            <w:tcW w:w="992" w:type="dxa"/>
          </w:tcPr>
          <w:p w14:paraId="1C0F13E3"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24AD69B5" w14:textId="66C54A1A"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655F0C25" w14:textId="667B565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(Lagos, Cross River)</w:t>
            </w:r>
          </w:p>
        </w:tc>
        <w:tc>
          <w:tcPr>
            <w:tcW w:w="1701" w:type="dxa"/>
          </w:tcPr>
          <w:p w14:paraId="0A61E55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w:t>
            </w:r>
          </w:p>
        </w:tc>
        <w:tc>
          <w:tcPr>
            <w:tcW w:w="1843" w:type="dxa"/>
          </w:tcPr>
          <w:p w14:paraId="68A75A9F"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Investment in fisheries logistics improves port performance and maritime financial health.</w:t>
            </w:r>
          </w:p>
        </w:tc>
      </w:tr>
      <w:tr w:rsidR="00EA38DE" w:rsidRPr="00EA38DE" w14:paraId="2D5C524E" w14:textId="77777777" w:rsidTr="00CF7D7E">
        <w:tc>
          <w:tcPr>
            <w:tcW w:w="704" w:type="dxa"/>
          </w:tcPr>
          <w:p w14:paraId="49D0F38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59</w:t>
            </w:r>
          </w:p>
        </w:tc>
        <w:tc>
          <w:tcPr>
            <w:tcW w:w="1138" w:type="dxa"/>
          </w:tcPr>
          <w:p w14:paraId="701BBB0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Adewuyi &amp; Adefolami (2021)</w:t>
            </w:r>
          </w:p>
        </w:tc>
        <w:tc>
          <w:tcPr>
            <w:tcW w:w="1839" w:type="dxa"/>
          </w:tcPr>
          <w:p w14:paraId="72E35A87" w14:textId="1B88A5C0" w:rsidR="00D21613" w:rsidRPr="00EA38DE" w:rsidRDefault="00D21613" w:rsidP="00D21613">
            <w:pPr>
              <w:rPr>
                <w:rFonts w:ascii="Times New Roman" w:hAnsi="Times New Roman"/>
                <w:sz w:val="24"/>
                <w:szCs w:val="24"/>
              </w:rPr>
            </w:pPr>
            <w:r w:rsidRPr="00EA38DE">
              <w:rPr>
                <w:rFonts w:ascii="Times New Roman" w:hAnsi="Times New Roman"/>
                <w:sz w:val="24"/>
                <w:szCs w:val="24"/>
              </w:rPr>
              <w:t>Exchange Rate Volatility, Port Throughput, and Shipping Revenue in Nigeria: Evidence from ARDL Analysis.</w:t>
            </w:r>
          </w:p>
        </w:tc>
        <w:tc>
          <w:tcPr>
            <w:tcW w:w="992" w:type="dxa"/>
          </w:tcPr>
          <w:p w14:paraId="14F92976"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2000</w:t>
            </w:r>
          </w:p>
          <w:p w14:paraId="0EBC1C61" w14:textId="3C8F8E92"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1714DC77" w14:textId="2BBD0D83"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165A789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ARDL model</w:t>
            </w:r>
          </w:p>
        </w:tc>
        <w:tc>
          <w:tcPr>
            <w:tcW w:w="1843" w:type="dxa"/>
          </w:tcPr>
          <w:p w14:paraId="27D18EB4"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Exchange rate volatility negatively impacts port throughput and shipping revenue. Stable FX policy is crucial.</w:t>
            </w:r>
          </w:p>
        </w:tc>
      </w:tr>
      <w:tr w:rsidR="00EA38DE" w:rsidRPr="00EA38DE" w14:paraId="5D07BBAA" w14:textId="77777777" w:rsidTr="00CF7D7E">
        <w:tc>
          <w:tcPr>
            <w:tcW w:w="704" w:type="dxa"/>
          </w:tcPr>
          <w:p w14:paraId="49CE35A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60</w:t>
            </w:r>
          </w:p>
        </w:tc>
        <w:tc>
          <w:tcPr>
            <w:tcW w:w="1138" w:type="dxa"/>
          </w:tcPr>
          <w:p w14:paraId="06EE28A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Eze &amp; Ugochuk</w:t>
            </w:r>
            <w:r w:rsidRPr="00EA38DE">
              <w:rPr>
                <w:rFonts w:ascii="Times New Roman" w:eastAsia="Times New Roman" w:hAnsi="Times New Roman"/>
                <w:sz w:val="24"/>
                <w:szCs w:val="24"/>
              </w:rPr>
              <w:lastRenderedPageBreak/>
              <w:t>wu (2021)</w:t>
            </w:r>
          </w:p>
        </w:tc>
        <w:tc>
          <w:tcPr>
            <w:tcW w:w="1839" w:type="dxa"/>
          </w:tcPr>
          <w:p w14:paraId="799A83B4" w14:textId="11E6E443" w:rsidR="00D21613" w:rsidRPr="00EA38DE" w:rsidRDefault="00D21613" w:rsidP="00D21613">
            <w:pPr>
              <w:rPr>
                <w:rFonts w:ascii="Times New Roman" w:hAnsi="Times New Roman"/>
                <w:sz w:val="24"/>
                <w:szCs w:val="24"/>
              </w:rPr>
            </w:pPr>
            <w:r w:rsidRPr="00EA38DE">
              <w:rPr>
                <w:rFonts w:ascii="Times New Roman" w:hAnsi="Times New Roman"/>
                <w:sz w:val="24"/>
                <w:szCs w:val="24"/>
              </w:rPr>
              <w:lastRenderedPageBreak/>
              <w:t xml:space="preserve">Aquaculture Exports and </w:t>
            </w:r>
            <w:r w:rsidRPr="00EA38DE">
              <w:rPr>
                <w:rFonts w:ascii="Times New Roman" w:hAnsi="Times New Roman"/>
                <w:sz w:val="24"/>
                <w:szCs w:val="24"/>
              </w:rPr>
              <w:lastRenderedPageBreak/>
              <w:t>Their Contribution to Port Revenue and Reefer Logistics Demand in Nigeria</w:t>
            </w:r>
            <w:r w:rsidR="00776927" w:rsidRPr="00EA38DE">
              <w:rPr>
                <w:rFonts w:ascii="Times New Roman" w:hAnsi="Times New Roman"/>
                <w:sz w:val="24"/>
                <w:szCs w:val="24"/>
              </w:rPr>
              <w:t>.</w:t>
            </w:r>
          </w:p>
        </w:tc>
        <w:tc>
          <w:tcPr>
            <w:tcW w:w="992" w:type="dxa"/>
          </w:tcPr>
          <w:p w14:paraId="317024A9"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2008</w:t>
            </w:r>
          </w:p>
          <w:p w14:paraId="58162656" w14:textId="3D128A37"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2019</w:t>
            </w:r>
          </w:p>
        </w:tc>
        <w:tc>
          <w:tcPr>
            <w:tcW w:w="1276" w:type="dxa"/>
          </w:tcPr>
          <w:p w14:paraId="37BB85F4" w14:textId="61997B25"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300EBB5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Cointegration analysis</w:t>
            </w:r>
          </w:p>
        </w:tc>
        <w:tc>
          <w:tcPr>
            <w:tcW w:w="1843" w:type="dxa"/>
          </w:tcPr>
          <w:p w14:paraId="40356F9D"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Aquaculture exports boost </w:t>
            </w:r>
            <w:r w:rsidRPr="00EA38DE">
              <w:rPr>
                <w:rFonts w:ascii="Times New Roman" w:eastAsia="Times New Roman" w:hAnsi="Times New Roman"/>
                <w:sz w:val="24"/>
                <w:szCs w:val="24"/>
              </w:rPr>
              <w:lastRenderedPageBreak/>
              <w:t>port revenue and demand for reefer logistics, though smaller than traditional fisheries.</w:t>
            </w:r>
          </w:p>
        </w:tc>
      </w:tr>
      <w:tr w:rsidR="00EA38DE" w:rsidRPr="00EA38DE" w14:paraId="2A724EC9" w14:textId="77777777" w:rsidTr="00CF7D7E">
        <w:tc>
          <w:tcPr>
            <w:tcW w:w="704" w:type="dxa"/>
          </w:tcPr>
          <w:p w14:paraId="0CB75C9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61</w:t>
            </w:r>
          </w:p>
        </w:tc>
        <w:tc>
          <w:tcPr>
            <w:tcW w:w="1138" w:type="dxa"/>
          </w:tcPr>
          <w:p w14:paraId="71682C6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Onwuka (2022)</w:t>
            </w:r>
          </w:p>
        </w:tc>
        <w:tc>
          <w:tcPr>
            <w:tcW w:w="1839" w:type="dxa"/>
          </w:tcPr>
          <w:p w14:paraId="447B5410" w14:textId="19A8C14F" w:rsidR="00D21613" w:rsidRPr="00EA38DE" w:rsidRDefault="00776927" w:rsidP="00776927">
            <w:pPr>
              <w:rPr>
                <w:rFonts w:ascii="Times New Roman" w:hAnsi="Times New Roman"/>
                <w:sz w:val="24"/>
                <w:szCs w:val="24"/>
              </w:rPr>
            </w:pPr>
            <w:r w:rsidRPr="00EA38DE">
              <w:rPr>
                <w:rFonts w:ascii="Times New Roman" w:hAnsi="Times New Roman"/>
                <w:sz w:val="24"/>
                <w:szCs w:val="24"/>
              </w:rPr>
              <w:t>The Effects of Exchange Rate Volatility on Fish Import Costs, Aquaculture Trade, and Shipping Demand in Nigeria.</w:t>
            </w:r>
          </w:p>
        </w:tc>
        <w:tc>
          <w:tcPr>
            <w:tcW w:w="992" w:type="dxa"/>
          </w:tcPr>
          <w:p w14:paraId="06354F3C"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2012</w:t>
            </w:r>
          </w:p>
          <w:p w14:paraId="2625510F" w14:textId="36C7B2CB"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2021</w:t>
            </w:r>
          </w:p>
        </w:tc>
        <w:tc>
          <w:tcPr>
            <w:tcW w:w="1276" w:type="dxa"/>
          </w:tcPr>
          <w:p w14:paraId="4A54C6F3" w14:textId="64C9A0A9"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316129A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GARCH (1,1)</w:t>
            </w:r>
          </w:p>
        </w:tc>
        <w:tc>
          <w:tcPr>
            <w:tcW w:w="1843" w:type="dxa"/>
          </w:tcPr>
          <w:p w14:paraId="7787A92E"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increased fish import costs, reduced aquaculture-related maritime trade volumes and shipping demand.</w:t>
            </w:r>
          </w:p>
        </w:tc>
      </w:tr>
      <w:tr w:rsidR="00EA38DE" w:rsidRPr="00EA38DE" w14:paraId="181A5B9B" w14:textId="77777777" w:rsidTr="00CF7D7E">
        <w:tc>
          <w:tcPr>
            <w:tcW w:w="704" w:type="dxa"/>
          </w:tcPr>
          <w:p w14:paraId="7E453F4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62</w:t>
            </w:r>
          </w:p>
        </w:tc>
        <w:tc>
          <w:tcPr>
            <w:tcW w:w="1138" w:type="dxa"/>
          </w:tcPr>
          <w:p w14:paraId="41993A7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Okoro et al. (2022)</w:t>
            </w:r>
          </w:p>
        </w:tc>
        <w:tc>
          <w:tcPr>
            <w:tcW w:w="1839" w:type="dxa"/>
          </w:tcPr>
          <w:p w14:paraId="2E65DA5A" w14:textId="69C6F6BE" w:rsidR="00D21613" w:rsidRPr="00EA38DE" w:rsidRDefault="00776927" w:rsidP="00776927">
            <w:pPr>
              <w:rPr>
                <w:rFonts w:ascii="Times New Roman" w:hAnsi="Times New Roman"/>
                <w:sz w:val="24"/>
                <w:szCs w:val="24"/>
              </w:rPr>
            </w:pPr>
            <w:r w:rsidRPr="00EA38DE">
              <w:rPr>
                <w:rFonts w:ascii="Times New Roman" w:hAnsi="Times New Roman"/>
                <w:sz w:val="24"/>
                <w:szCs w:val="24"/>
              </w:rPr>
              <w:t>The Role of Desalination Imports in Shipping Sector Performance and Blue Economy Logistics in Nigeria.</w:t>
            </w:r>
          </w:p>
        </w:tc>
        <w:tc>
          <w:tcPr>
            <w:tcW w:w="992" w:type="dxa"/>
          </w:tcPr>
          <w:p w14:paraId="51F8BCB6"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2017</w:t>
            </w:r>
          </w:p>
          <w:p w14:paraId="16EE9569" w14:textId="225D5FDE"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2021</w:t>
            </w:r>
          </w:p>
        </w:tc>
        <w:tc>
          <w:tcPr>
            <w:tcW w:w="1276" w:type="dxa"/>
          </w:tcPr>
          <w:p w14:paraId="14767BB9" w14:textId="00A361E1"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2075378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Descriptive statistics, port data</w:t>
            </w:r>
          </w:p>
        </w:tc>
        <w:tc>
          <w:tcPr>
            <w:tcW w:w="1843" w:type="dxa"/>
          </w:tcPr>
          <w:p w14:paraId="4BE12A23"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Desalination imports are strongly tied to shipping sector performance; maritime transport is key in blue economy logistics.</w:t>
            </w:r>
          </w:p>
        </w:tc>
      </w:tr>
      <w:tr w:rsidR="00EA38DE" w:rsidRPr="00EA38DE" w14:paraId="15E6E1FB" w14:textId="77777777" w:rsidTr="00CF7D7E">
        <w:tc>
          <w:tcPr>
            <w:tcW w:w="704" w:type="dxa"/>
          </w:tcPr>
          <w:p w14:paraId="4639097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63</w:t>
            </w:r>
          </w:p>
        </w:tc>
        <w:tc>
          <w:tcPr>
            <w:tcW w:w="1138" w:type="dxa"/>
          </w:tcPr>
          <w:p w14:paraId="152C46D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Osho &amp; Fagbamila (2022)</w:t>
            </w:r>
          </w:p>
        </w:tc>
        <w:tc>
          <w:tcPr>
            <w:tcW w:w="1839" w:type="dxa"/>
          </w:tcPr>
          <w:p w14:paraId="5EA65336" w14:textId="344EEDB8" w:rsidR="00D21613" w:rsidRPr="00EA38DE" w:rsidRDefault="00776927" w:rsidP="00776927">
            <w:pPr>
              <w:rPr>
                <w:rFonts w:ascii="Times New Roman" w:eastAsia="Times New Roman" w:hAnsi="Times New Roman"/>
                <w:sz w:val="24"/>
                <w:szCs w:val="24"/>
              </w:rPr>
            </w:pPr>
            <w:r w:rsidRPr="00EA38DE">
              <w:rPr>
                <w:rFonts w:ascii="Times New Roman" w:hAnsi="Times New Roman"/>
                <w:sz w:val="24"/>
                <w:szCs w:val="24"/>
              </w:rPr>
              <w:t>Exchange Rate and Interest Spread Effects on Oil &amp; Gas Financial Performance: Implications for Marine Logistics in Nigeri</w:t>
            </w:r>
            <w:r w:rsidR="0003308E" w:rsidRPr="00EA38DE">
              <w:rPr>
                <w:rFonts w:ascii="Times New Roman" w:hAnsi="Times New Roman"/>
                <w:sz w:val="24"/>
                <w:szCs w:val="24"/>
              </w:rPr>
              <w:t>a.</w:t>
            </w:r>
          </w:p>
        </w:tc>
        <w:tc>
          <w:tcPr>
            <w:tcW w:w="992" w:type="dxa"/>
          </w:tcPr>
          <w:p w14:paraId="7303C037" w14:textId="77777777" w:rsidR="00D21613"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2006</w:t>
            </w:r>
          </w:p>
          <w:p w14:paraId="7E667400" w14:textId="557BB8E1" w:rsidR="0003308E" w:rsidRPr="00EA38DE" w:rsidRDefault="0003308E"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2DD325CB" w14:textId="59E6981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185DBB2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Correlation and regression</w:t>
            </w:r>
          </w:p>
        </w:tc>
        <w:tc>
          <w:tcPr>
            <w:tcW w:w="1843" w:type="dxa"/>
          </w:tcPr>
          <w:p w14:paraId="5EE1C246"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rates and interest spread significantly affect financial performance of oil &amp; gas firms; implications for marine logistics service firms.</w:t>
            </w:r>
          </w:p>
        </w:tc>
      </w:tr>
      <w:tr w:rsidR="00EA38DE" w:rsidRPr="00EA38DE" w14:paraId="75E79531" w14:textId="77777777" w:rsidTr="00CF7D7E">
        <w:tc>
          <w:tcPr>
            <w:tcW w:w="704" w:type="dxa"/>
          </w:tcPr>
          <w:p w14:paraId="557818E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64</w:t>
            </w:r>
          </w:p>
        </w:tc>
        <w:tc>
          <w:tcPr>
            <w:tcW w:w="1138" w:type="dxa"/>
          </w:tcPr>
          <w:p w14:paraId="7B600AA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Adekunle &amp; Eyo (2022)</w:t>
            </w:r>
          </w:p>
        </w:tc>
        <w:tc>
          <w:tcPr>
            <w:tcW w:w="1839" w:type="dxa"/>
          </w:tcPr>
          <w:p w14:paraId="2E86172B" w14:textId="0314BA55" w:rsidR="00D21613" w:rsidRPr="00EA38DE" w:rsidRDefault="00776927" w:rsidP="00776927">
            <w:pPr>
              <w:rPr>
                <w:rFonts w:ascii="Times New Roman" w:hAnsi="Times New Roman"/>
                <w:sz w:val="24"/>
                <w:szCs w:val="24"/>
              </w:rPr>
            </w:pPr>
            <w:r w:rsidRPr="00EA38DE">
              <w:rPr>
                <w:rFonts w:ascii="Times New Roman" w:hAnsi="Times New Roman"/>
                <w:sz w:val="24"/>
                <w:szCs w:val="24"/>
              </w:rPr>
              <w:t>Long-Run and Short-Run Dynamics of Aquaculture and Shipping Profitability in Nigeria: Evidence from VECM</w:t>
            </w:r>
            <w:r w:rsidR="00F140E4" w:rsidRPr="00EA38DE">
              <w:rPr>
                <w:rFonts w:ascii="Times New Roman" w:hAnsi="Times New Roman"/>
                <w:sz w:val="24"/>
                <w:szCs w:val="24"/>
              </w:rPr>
              <w:t>.</w:t>
            </w:r>
          </w:p>
        </w:tc>
        <w:tc>
          <w:tcPr>
            <w:tcW w:w="992" w:type="dxa"/>
          </w:tcPr>
          <w:p w14:paraId="6CB3030B"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2008</w:t>
            </w:r>
          </w:p>
          <w:p w14:paraId="48BDA943" w14:textId="7EF11EFF"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69338663" w14:textId="3B7D15E4"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78B785E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VECM</w:t>
            </w:r>
          </w:p>
        </w:tc>
        <w:tc>
          <w:tcPr>
            <w:tcW w:w="1843" w:type="dxa"/>
          </w:tcPr>
          <w:p w14:paraId="33985452"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Long-run link between aquaculture and shipping profitability; short-run dynamics affected by FX and fuel price shocks.</w:t>
            </w:r>
          </w:p>
        </w:tc>
      </w:tr>
      <w:tr w:rsidR="00EA38DE" w:rsidRPr="00EA38DE" w14:paraId="7B1B7187" w14:textId="77777777" w:rsidTr="00CF7D7E">
        <w:tc>
          <w:tcPr>
            <w:tcW w:w="704" w:type="dxa"/>
          </w:tcPr>
          <w:p w14:paraId="50537CF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65</w:t>
            </w:r>
          </w:p>
        </w:tc>
        <w:tc>
          <w:tcPr>
            <w:tcW w:w="1138" w:type="dxa"/>
          </w:tcPr>
          <w:p w14:paraId="2DEE462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Elia &amp; Indrajaya (2022)</w:t>
            </w:r>
          </w:p>
        </w:tc>
        <w:tc>
          <w:tcPr>
            <w:tcW w:w="1839" w:type="dxa"/>
          </w:tcPr>
          <w:p w14:paraId="290737DE" w14:textId="6E67DB1A" w:rsidR="00D21613" w:rsidRPr="00EA38DE" w:rsidRDefault="00C70877" w:rsidP="00C70877">
            <w:pPr>
              <w:rPr>
                <w:rFonts w:ascii="Times New Roman" w:hAnsi="Times New Roman"/>
                <w:sz w:val="24"/>
                <w:szCs w:val="24"/>
              </w:rPr>
            </w:pPr>
            <w:r w:rsidRPr="00EA38DE">
              <w:rPr>
                <w:rFonts w:ascii="Times New Roman" w:hAnsi="Times New Roman"/>
                <w:sz w:val="24"/>
                <w:szCs w:val="24"/>
              </w:rPr>
              <w:t>The Impact of Blue Economy Initiatives on Sustainable Fisheries Production in Indonesia.</w:t>
            </w:r>
          </w:p>
        </w:tc>
        <w:tc>
          <w:tcPr>
            <w:tcW w:w="992" w:type="dxa"/>
          </w:tcPr>
          <w:p w14:paraId="1F82A25F"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p w14:paraId="14D3B9E4" w14:textId="026AC3BE"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tc>
        <w:tc>
          <w:tcPr>
            <w:tcW w:w="1276" w:type="dxa"/>
          </w:tcPr>
          <w:p w14:paraId="14F6FB5F" w14:textId="2F135C96"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Indonesia</w:t>
            </w:r>
          </w:p>
        </w:tc>
        <w:tc>
          <w:tcPr>
            <w:tcW w:w="1701" w:type="dxa"/>
          </w:tcPr>
          <w:p w14:paraId="6216161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 methods (survey + quantitative)</w:t>
            </w:r>
          </w:p>
        </w:tc>
        <w:tc>
          <w:tcPr>
            <w:tcW w:w="1843" w:type="dxa"/>
          </w:tcPr>
          <w:p w14:paraId="045990FA"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Blue economy initiatives positively enhance sustainable fisheries production.</w:t>
            </w:r>
          </w:p>
        </w:tc>
      </w:tr>
      <w:tr w:rsidR="00EA38DE" w:rsidRPr="00EA38DE" w14:paraId="3A2AE48B" w14:textId="77777777" w:rsidTr="00CF7D7E">
        <w:tc>
          <w:tcPr>
            <w:tcW w:w="704" w:type="dxa"/>
          </w:tcPr>
          <w:p w14:paraId="66DF366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66</w:t>
            </w:r>
          </w:p>
        </w:tc>
        <w:tc>
          <w:tcPr>
            <w:tcW w:w="1138" w:type="dxa"/>
          </w:tcPr>
          <w:p w14:paraId="1C37496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Salami &amp; Ibrahim (2022)</w:t>
            </w:r>
          </w:p>
        </w:tc>
        <w:tc>
          <w:tcPr>
            <w:tcW w:w="1839" w:type="dxa"/>
          </w:tcPr>
          <w:p w14:paraId="1008373C" w14:textId="3793F28C" w:rsidR="00D21613" w:rsidRPr="00EA38DE" w:rsidRDefault="00C70877" w:rsidP="00C70877">
            <w:pPr>
              <w:rPr>
                <w:rFonts w:ascii="Times New Roman" w:hAnsi="Times New Roman"/>
                <w:sz w:val="24"/>
                <w:szCs w:val="24"/>
              </w:rPr>
            </w:pPr>
            <w:r w:rsidRPr="00EA38DE">
              <w:rPr>
                <w:rFonts w:ascii="Times New Roman" w:hAnsi="Times New Roman"/>
                <w:sz w:val="24"/>
                <w:szCs w:val="24"/>
              </w:rPr>
              <w:t>Modern Aquaculture Technology, Logistics Demand, and the Limiting Effect of FX Costs in Nigeria.</w:t>
            </w:r>
          </w:p>
        </w:tc>
        <w:tc>
          <w:tcPr>
            <w:tcW w:w="992" w:type="dxa"/>
          </w:tcPr>
          <w:p w14:paraId="1164619C"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p w14:paraId="21D8BE04" w14:textId="41EE3ADF"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2021</w:t>
            </w:r>
          </w:p>
        </w:tc>
        <w:tc>
          <w:tcPr>
            <w:tcW w:w="1276" w:type="dxa"/>
          </w:tcPr>
          <w:p w14:paraId="263BB677" w14:textId="198F19A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(Lagos &amp; Rivers States)</w:t>
            </w:r>
          </w:p>
        </w:tc>
        <w:tc>
          <w:tcPr>
            <w:tcW w:w="1701" w:type="dxa"/>
          </w:tcPr>
          <w:p w14:paraId="5BD3B98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Cross-sectional survey</w:t>
            </w:r>
          </w:p>
        </w:tc>
        <w:tc>
          <w:tcPr>
            <w:tcW w:w="1843" w:type="dxa"/>
          </w:tcPr>
          <w:p w14:paraId="6480BEF7"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Modern aquaculture tech boosts logistics demand but FX costs for imported tech limit adoption scale.</w:t>
            </w:r>
          </w:p>
        </w:tc>
      </w:tr>
      <w:tr w:rsidR="00EA38DE" w:rsidRPr="00EA38DE" w14:paraId="567AAE62" w14:textId="77777777" w:rsidTr="00CF7D7E">
        <w:tc>
          <w:tcPr>
            <w:tcW w:w="704" w:type="dxa"/>
          </w:tcPr>
          <w:p w14:paraId="1A8E880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67</w:t>
            </w:r>
          </w:p>
        </w:tc>
        <w:tc>
          <w:tcPr>
            <w:tcW w:w="1138" w:type="dxa"/>
          </w:tcPr>
          <w:p w14:paraId="6905651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Nwankwo &amp; Obiefuna (2022)</w:t>
            </w:r>
          </w:p>
        </w:tc>
        <w:tc>
          <w:tcPr>
            <w:tcW w:w="1839" w:type="dxa"/>
          </w:tcPr>
          <w:p w14:paraId="0F03D017" w14:textId="0BB072B0" w:rsidR="00D21613" w:rsidRPr="00EA38DE" w:rsidRDefault="00C70877" w:rsidP="00CB10A8">
            <w:pPr>
              <w:jc w:val="both"/>
              <w:rPr>
                <w:rFonts w:ascii="Times New Roman" w:hAnsi="Times New Roman"/>
                <w:sz w:val="24"/>
                <w:szCs w:val="24"/>
              </w:rPr>
            </w:pPr>
            <w:r w:rsidRPr="00EA38DE">
              <w:rPr>
                <w:rFonts w:ascii="Times New Roman" w:hAnsi="Times New Roman"/>
                <w:sz w:val="24"/>
                <w:szCs w:val="24"/>
              </w:rPr>
              <w:t>The Impact of Exchange Rate Volatility and Capital Costs on Shipping Firms in Desalination Logistics in Nigeria.</w:t>
            </w:r>
          </w:p>
        </w:tc>
        <w:tc>
          <w:tcPr>
            <w:tcW w:w="992" w:type="dxa"/>
          </w:tcPr>
          <w:p w14:paraId="3CA64655"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46AE2D5C" w14:textId="0BBECD8F"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2021</w:t>
            </w:r>
          </w:p>
        </w:tc>
        <w:tc>
          <w:tcPr>
            <w:tcW w:w="1276" w:type="dxa"/>
          </w:tcPr>
          <w:p w14:paraId="2052C6B1" w14:textId="12FE73D3"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229D40F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w:t>
            </w:r>
          </w:p>
        </w:tc>
        <w:tc>
          <w:tcPr>
            <w:tcW w:w="1843" w:type="dxa"/>
          </w:tcPr>
          <w:p w14:paraId="05D1A384"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High FX volatility and capital costs undermine shipping firms in desalination logistics.</w:t>
            </w:r>
          </w:p>
        </w:tc>
      </w:tr>
      <w:tr w:rsidR="00EA38DE" w:rsidRPr="00EA38DE" w14:paraId="4EC248A8" w14:textId="77777777" w:rsidTr="00CF7D7E">
        <w:tc>
          <w:tcPr>
            <w:tcW w:w="704" w:type="dxa"/>
          </w:tcPr>
          <w:p w14:paraId="3B80BE9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68</w:t>
            </w:r>
          </w:p>
        </w:tc>
        <w:tc>
          <w:tcPr>
            <w:tcW w:w="1138" w:type="dxa"/>
          </w:tcPr>
          <w:p w14:paraId="551D852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Adewuyi et al. (2022)</w:t>
            </w:r>
          </w:p>
        </w:tc>
        <w:tc>
          <w:tcPr>
            <w:tcW w:w="1839" w:type="dxa"/>
          </w:tcPr>
          <w:p w14:paraId="6889BCCC" w14:textId="30AB52FF" w:rsidR="00D21613" w:rsidRPr="00EA38DE" w:rsidRDefault="00C70877" w:rsidP="00C70877">
            <w:pPr>
              <w:rPr>
                <w:rFonts w:ascii="Times New Roman" w:hAnsi="Times New Roman"/>
                <w:sz w:val="24"/>
                <w:szCs w:val="24"/>
              </w:rPr>
            </w:pPr>
            <w:r w:rsidRPr="00EA38DE">
              <w:rPr>
                <w:rFonts w:ascii="Times New Roman" w:hAnsi="Times New Roman"/>
                <w:sz w:val="24"/>
                <w:szCs w:val="24"/>
              </w:rPr>
              <w:t>Informal Marine Fish Logistics Chains and Their Impact on Shipping Turnover and Efficiency in Nigerian Port Cities.</w:t>
            </w:r>
          </w:p>
        </w:tc>
        <w:tc>
          <w:tcPr>
            <w:tcW w:w="992" w:type="dxa"/>
          </w:tcPr>
          <w:p w14:paraId="1FFA5C01"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p w14:paraId="0FF65344" w14:textId="6271DF7D"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2021</w:t>
            </w:r>
          </w:p>
        </w:tc>
        <w:tc>
          <w:tcPr>
            <w:tcW w:w="1276" w:type="dxa"/>
          </w:tcPr>
          <w:p w14:paraId="071CCE95" w14:textId="230EF5BF"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(Port cities)</w:t>
            </w:r>
          </w:p>
        </w:tc>
        <w:tc>
          <w:tcPr>
            <w:tcW w:w="1701" w:type="dxa"/>
          </w:tcPr>
          <w:p w14:paraId="772DCFE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Survey + regression</w:t>
            </w:r>
          </w:p>
        </w:tc>
        <w:tc>
          <w:tcPr>
            <w:tcW w:w="1843" w:type="dxa"/>
          </w:tcPr>
          <w:p w14:paraId="338D4CA6"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Over 65% of marine fish enter inefficient informal logistics chains, reducing shipping turnover and efficiency.</w:t>
            </w:r>
          </w:p>
        </w:tc>
      </w:tr>
      <w:tr w:rsidR="00EA38DE" w:rsidRPr="00EA38DE" w14:paraId="00F11349" w14:textId="77777777" w:rsidTr="00CF7D7E">
        <w:tc>
          <w:tcPr>
            <w:tcW w:w="704" w:type="dxa"/>
          </w:tcPr>
          <w:p w14:paraId="0E6A3265"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69</w:t>
            </w:r>
          </w:p>
        </w:tc>
        <w:tc>
          <w:tcPr>
            <w:tcW w:w="1138" w:type="dxa"/>
          </w:tcPr>
          <w:p w14:paraId="1B1C0C9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Nnaji &amp; Hassan (2022)</w:t>
            </w:r>
          </w:p>
        </w:tc>
        <w:tc>
          <w:tcPr>
            <w:tcW w:w="1839" w:type="dxa"/>
          </w:tcPr>
          <w:p w14:paraId="1E1C6DD4" w14:textId="2C3DDD78" w:rsidR="00D21613" w:rsidRPr="00EA38DE" w:rsidRDefault="00C70877" w:rsidP="00C70877">
            <w:pPr>
              <w:rPr>
                <w:rFonts w:ascii="Times New Roman" w:hAnsi="Times New Roman"/>
                <w:sz w:val="24"/>
                <w:szCs w:val="24"/>
              </w:rPr>
            </w:pPr>
            <w:r w:rsidRPr="00EA38DE">
              <w:rPr>
                <w:rFonts w:ascii="Times New Roman" w:hAnsi="Times New Roman"/>
                <w:sz w:val="24"/>
                <w:szCs w:val="24"/>
              </w:rPr>
              <w:t>Legal Frameworks, FX Instability, and Investment Constraints in Desalination Logistics in Nigeria</w:t>
            </w:r>
            <w:r w:rsidR="00510A8B" w:rsidRPr="00EA38DE">
              <w:rPr>
                <w:rFonts w:ascii="Times New Roman" w:hAnsi="Times New Roman"/>
                <w:sz w:val="24"/>
                <w:szCs w:val="24"/>
              </w:rPr>
              <w:t>.</w:t>
            </w:r>
          </w:p>
        </w:tc>
        <w:tc>
          <w:tcPr>
            <w:tcW w:w="992" w:type="dxa"/>
          </w:tcPr>
          <w:p w14:paraId="117B5B99"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2015</w:t>
            </w:r>
          </w:p>
          <w:p w14:paraId="2AD63F45" w14:textId="04AD24D2"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2021</w:t>
            </w:r>
          </w:p>
        </w:tc>
        <w:tc>
          <w:tcPr>
            <w:tcW w:w="1276" w:type="dxa"/>
          </w:tcPr>
          <w:p w14:paraId="43AE177C" w14:textId="77E517F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08C7D61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Qualitative (policy/interviews)</w:t>
            </w:r>
          </w:p>
        </w:tc>
        <w:tc>
          <w:tcPr>
            <w:tcW w:w="1843" w:type="dxa"/>
          </w:tcPr>
          <w:p w14:paraId="756D660E"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Investment in desalination logistics is constrained by unclear legal frameworks and FX instability.</w:t>
            </w:r>
          </w:p>
        </w:tc>
      </w:tr>
      <w:tr w:rsidR="00EA38DE" w:rsidRPr="00EA38DE" w14:paraId="049FB079" w14:textId="77777777" w:rsidTr="00CF7D7E">
        <w:tc>
          <w:tcPr>
            <w:tcW w:w="704" w:type="dxa"/>
          </w:tcPr>
          <w:p w14:paraId="3B7D9616"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70</w:t>
            </w:r>
          </w:p>
        </w:tc>
        <w:tc>
          <w:tcPr>
            <w:tcW w:w="1138" w:type="dxa"/>
          </w:tcPr>
          <w:p w14:paraId="5BF3972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Adekoya &amp; Olubunmi (2022)</w:t>
            </w:r>
          </w:p>
        </w:tc>
        <w:tc>
          <w:tcPr>
            <w:tcW w:w="1839" w:type="dxa"/>
          </w:tcPr>
          <w:p w14:paraId="2AFB355F" w14:textId="2F402BED" w:rsidR="00D21613" w:rsidRPr="00EA38DE" w:rsidRDefault="00510A8B" w:rsidP="00510A8B">
            <w:pPr>
              <w:rPr>
                <w:rFonts w:ascii="Times New Roman" w:hAnsi="Times New Roman"/>
                <w:sz w:val="24"/>
                <w:szCs w:val="24"/>
              </w:rPr>
            </w:pPr>
            <w:r w:rsidRPr="00EA38DE">
              <w:rPr>
                <w:rFonts w:ascii="Times New Roman" w:hAnsi="Times New Roman"/>
                <w:sz w:val="24"/>
                <w:szCs w:val="24"/>
              </w:rPr>
              <w:t xml:space="preserve">Opportunities and Constraints of Desalination Logistics in Nigeria: Revenue </w:t>
            </w:r>
            <w:r w:rsidRPr="00EA38DE">
              <w:rPr>
                <w:rFonts w:ascii="Times New Roman" w:hAnsi="Times New Roman"/>
                <w:sz w:val="24"/>
                <w:szCs w:val="24"/>
              </w:rPr>
              <w:lastRenderedPageBreak/>
              <w:t>Potential, Fuel Dependency, and Energy Infrastructure.</w:t>
            </w:r>
          </w:p>
        </w:tc>
        <w:tc>
          <w:tcPr>
            <w:tcW w:w="992" w:type="dxa"/>
          </w:tcPr>
          <w:p w14:paraId="67A9F21F"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2010</w:t>
            </w:r>
          </w:p>
          <w:p w14:paraId="3148D60B" w14:textId="0EDA3BE1"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2020</w:t>
            </w:r>
          </w:p>
        </w:tc>
        <w:tc>
          <w:tcPr>
            <w:tcW w:w="1276" w:type="dxa"/>
          </w:tcPr>
          <w:p w14:paraId="023B54CF" w14:textId="7846055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39312DC4"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Mixed-methods (cost-benefit + interviews)</w:t>
            </w:r>
          </w:p>
        </w:tc>
        <w:tc>
          <w:tcPr>
            <w:tcW w:w="1843" w:type="dxa"/>
          </w:tcPr>
          <w:p w14:paraId="2EB58442"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 xml:space="preserve">Desalination logistics offers new revenue but hindered by marine fuel import </w:t>
            </w:r>
            <w:r w:rsidRPr="00EA38DE">
              <w:rPr>
                <w:rFonts w:ascii="Times New Roman" w:eastAsia="Times New Roman" w:hAnsi="Times New Roman"/>
                <w:sz w:val="24"/>
                <w:szCs w:val="24"/>
              </w:rPr>
              <w:lastRenderedPageBreak/>
              <w:t>dependency and weak energy infrastructure.</w:t>
            </w:r>
          </w:p>
        </w:tc>
      </w:tr>
      <w:tr w:rsidR="00EA38DE" w:rsidRPr="00EA38DE" w14:paraId="23EFF14E" w14:textId="77777777" w:rsidTr="00CF7D7E">
        <w:tc>
          <w:tcPr>
            <w:tcW w:w="704" w:type="dxa"/>
          </w:tcPr>
          <w:p w14:paraId="7D41B2E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71</w:t>
            </w:r>
          </w:p>
        </w:tc>
        <w:tc>
          <w:tcPr>
            <w:tcW w:w="1138" w:type="dxa"/>
          </w:tcPr>
          <w:p w14:paraId="5C7A04F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Okoye &amp; Ojo (2023)</w:t>
            </w:r>
          </w:p>
        </w:tc>
        <w:tc>
          <w:tcPr>
            <w:tcW w:w="1839" w:type="dxa"/>
          </w:tcPr>
          <w:p w14:paraId="501C591B" w14:textId="29DD5D0A" w:rsidR="00D21613" w:rsidRPr="00EA38DE" w:rsidRDefault="00510A8B" w:rsidP="00510A8B">
            <w:pPr>
              <w:rPr>
                <w:rFonts w:ascii="Times New Roman" w:hAnsi="Times New Roman"/>
                <w:sz w:val="24"/>
                <w:szCs w:val="24"/>
              </w:rPr>
            </w:pPr>
            <w:r w:rsidRPr="00EA38DE">
              <w:rPr>
                <w:rFonts w:ascii="Times New Roman" w:hAnsi="Times New Roman"/>
                <w:sz w:val="24"/>
                <w:szCs w:val="24"/>
              </w:rPr>
              <w:t>The Impact of Aquaculture Infrastructure Investment on Containerized Shipping Volumes in Nigeria: Evidence from ARDL Modeling.</w:t>
            </w:r>
          </w:p>
        </w:tc>
        <w:tc>
          <w:tcPr>
            <w:tcW w:w="992" w:type="dxa"/>
          </w:tcPr>
          <w:p w14:paraId="799E1C56"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377C17CC" w14:textId="592ED54C"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tc>
        <w:tc>
          <w:tcPr>
            <w:tcW w:w="1276" w:type="dxa"/>
          </w:tcPr>
          <w:p w14:paraId="6A934C8E" w14:textId="5248373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2FECC51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ARDL econometric modeling</w:t>
            </w:r>
          </w:p>
        </w:tc>
        <w:tc>
          <w:tcPr>
            <w:tcW w:w="1843" w:type="dxa"/>
          </w:tcPr>
          <w:p w14:paraId="29510314"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1% rise in aquaculture infrastructure investment leads to 0.7% increase in containerized shipping volumes.</w:t>
            </w:r>
          </w:p>
        </w:tc>
      </w:tr>
      <w:tr w:rsidR="00EA38DE" w:rsidRPr="00EA38DE" w14:paraId="69320363" w14:textId="77777777" w:rsidTr="00CF7D7E">
        <w:tc>
          <w:tcPr>
            <w:tcW w:w="704" w:type="dxa"/>
          </w:tcPr>
          <w:p w14:paraId="47090B6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72</w:t>
            </w:r>
          </w:p>
        </w:tc>
        <w:tc>
          <w:tcPr>
            <w:tcW w:w="1138" w:type="dxa"/>
          </w:tcPr>
          <w:p w14:paraId="41079F53"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Federal Min. of Marine &amp; Blue Econ. (2023)</w:t>
            </w:r>
          </w:p>
        </w:tc>
        <w:tc>
          <w:tcPr>
            <w:tcW w:w="1839" w:type="dxa"/>
          </w:tcPr>
          <w:p w14:paraId="5C78075F" w14:textId="4B168217" w:rsidR="00D21613" w:rsidRPr="00EA38DE" w:rsidRDefault="00510A8B" w:rsidP="00F140E4">
            <w:pPr>
              <w:rPr>
                <w:rFonts w:ascii="Times New Roman" w:eastAsia="Times New Roman" w:hAnsi="Times New Roman"/>
                <w:sz w:val="24"/>
                <w:szCs w:val="24"/>
              </w:rPr>
            </w:pPr>
            <w:r w:rsidRPr="00EA38DE">
              <w:rPr>
                <w:rFonts w:ascii="Times New Roman" w:hAnsi="Times New Roman"/>
                <w:sz w:val="24"/>
                <w:szCs w:val="24"/>
              </w:rPr>
              <w:t>Onboard Desalination Systems and Their Impact on Freshwater Costs and Offshore Shipping Efficiency in Nigeria</w:t>
            </w:r>
            <w:r w:rsidR="00F140E4" w:rsidRPr="00EA38DE">
              <w:rPr>
                <w:rFonts w:ascii="Times New Roman" w:hAnsi="Times New Roman"/>
                <w:sz w:val="24"/>
                <w:szCs w:val="24"/>
              </w:rPr>
              <w:t>.</w:t>
            </w:r>
          </w:p>
        </w:tc>
        <w:tc>
          <w:tcPr>
            <w:tcW w:w="992" w:type="dxa"/>
          </w:tcPr>
          <w:p w14:paraId="65AAB237"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p w14:paraId="3F0C0EF0" w14:textId="46AF7C72"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2023</w:t>
            </w:r>
          </w:p>
        </w:tc>
        <w:tc>
          <w:tcPr>
            <w:tcW w:w="1276" w:type="dxa"/>
          </w:tcPr>
          <w:p w14:paraId="03BFA7A6" w14:textId="2EA9B185"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(Offshore vessels)</w:t>
            </w:r>
          </w:p>
        </w:tc>
        <w:tc>
          <w:tcPr>
            <w:tcW w:w="1701" w:type="dxa"/>
          </w:tcPr>
          <w:p w14:paraId="6A8F408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Sectoral review + technology assessment</w:t>
            </w:r>
          </w:p>
        </w:tc>
        <w:tc>
          <w:tcPr>
            <w:tcW w:w="1843" w:type="dxa"/>
          </w:tcPr>
          <w:p w14:paraId="14AA6D5B"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Onboard desalination systems cut freshwater supply costs, improving offshore shipping efficiency.</w:t>
            </w:r>
          </w:p>
        </w:tc>
      </w:tr>
      <w:tr w:rsidR="00EA38DE" w:rsidRPr="00EA38DE" w14:paraId="4CAE1B44" w14:textId="77777777" w:rsidTr="00CF7D7E">
        <w:tc>
          <w:tcPr>
            <w:tcW w:w="704" w:type="dxa"/>
          </w:tcPr>
          <w:p w14:paraId="3EB8EA2C"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73</w:t>
            </w:r>
          </w:p>
        </w:tc>
        <w:tc>
          <w:tcPr>
            <w:tcW w:w="1138" w:type="dxa"/>
          </w:tcPr>
          <w:p w14:paraId="56FC617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Adewumi et al. (2023)</w:t>
            </w:r>
          </w:p>
        </w:tc>
        <w:tc>
          <w:tcPr>
            <w:tcW w:w="1839" w:type="dxa"/>
          </w:tcPr>
          <w:p w14:paraId="2B33F703" w14:textId="79F69D51" w:rsidR="00D21613" w:rsidRPr="00EA38DE" w:rsidRDefault="00510A8B" w:rsidP="00F140E4">
            <w:pPr>
              <w:rPr>
                <w:rFonts w:ascii="Times New Roman" w:eastAsia="Times New Roman" w:hAnsi="Times New Roman"/>
                <w:sz w:val="24"/>
                <w:szCs w:val="24"/>
              </w:rPr>
            </w:pPr>
            <w:r w:rsidRPr="00EA38DE">
              <w:rPr>
                <w:rFonts w:ascii="Times New Roman" w:hAnsi="Times New Roman"/>
                <w:sz w:val="24"/>
                <w:szCs w:val="24"/>
              </w:rPr>
              <w:t>Infrastructure Constraints in Nigerian Ports: Implications for Aquaculture Logistics and Cold Storage Efficiency</w:t>
            </w:r>
            <w:r w:rsidR="00F140E4" w:rsidRPr="00EA38DE">
              <w:rPr>
                <w:rFonts w:ascii="Times New Roman" w:eastAsia="Times New Roman" w:hAnsi="Times New Roman"/>
                <w:sz w:val="24"/>
                <w:szCs w:val="24"/>
              </w:rPr>
              <w:t>.</w:t>
            </w:r>
          </w:p>
        </w:tc>
        <w:tc>
          <w:tcPr>
            <w:tcW w:w="992" w:type="dxa"/>
          </w:tcPr>
          <w:p w14:paraId="7B0B4B3B"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2018</w:t>
            </w:r>
          </w:p>
          <w:p w14:paraId="11F35C5C" w14:textId="49160E00"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tc>
        <w:tc>
          <w:tcPr>
            <w:tcW w:w="1276" w:type="dxa"/>
          </w:tcPr>
          <w:p w14:paraId="0397ED55" w14:textId="4CA5DBF0"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7678950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Survey + interviews</w:t>
            </w:r>
          </w:p>
        </w:tc>
        <w:tc>
          <w:tcPr>
            <w:tcW w:w="1843" w:type="dxa"/>
          </w:tcPr>
          <w:p w14:paraId="0AFAA58F"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Nigerian ports lack infrastructure for aquaculture logistics; cold storage and customs inefficiency are major constraints.</w:t>
            </w:r>
          </w:p>
        </w:tc>
      </w:tr>
      <w:tr w:rsidR="00EA38DE" w:rsidRPr="00EA38DE" w14:paraId="20A10847" w14:textId="77777777" w:rsidTr="00CF7D7E">
        <w:tc>
          <w:tcPr>
            <w:tcW w:w="704" w:type="dxa"/>
          </w:tcPr>
          <w:p w14:paraId="4E58E202"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74</w:t>
            </w:r>
          </w:p>
        </w:tc>
        <w:tc>
          <w:tcPr>
            <w:tcW w:w="1138" w:type="dxa"/>
          </w:tcPr>
          <w:p w14:paraId="42E34C8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Eze &amp; Onyekachi (2023)</w:t>
            </w:r>
          </w:p>
        </w:tc>
        <w:tc>
          <w:tcPr>
            <w:tcW w:w="1839" w:type="dxa"/>
          </w:tcPr>
          <w:p w14:paraId="24FCB7A8" w14:textId="09977B01" w:rsidR="00D21613" w:rsidRPr="00EA38DE" w:rsidRDefault="00510A8B" w:rsidP="00F140E4">
            <w:pPr>
              <w:rPr>
                <w:rFonts w:ascii="Times New Roman" w:eastAsia="Times New Roman" w:hAnsi="Times New Roman"/>
                <w:sz w:val="24"/>
                <w:szCs w:val="24"/>
              </w:rPr>
            </w:pPr>
            <w:r w:rsidRPr="00EA38DE">
              <w:rPr>
                <w:rFonts w:ascii="Times New Roman" w:hAnsi="Times New Roman"/>
                <w:sz w:val="24"/>
                <w:szCs w:val="24"/>
              </w:rPr>
              <w:t xml:space="preserve">The Effect of Desalination Imports on Maritime Throughput and Shipping Demand in Lagos and Tin Can Ports, Nigeria: Evidence from </w:t>
            </w:r>
            <w:r w:rsidRPr="00EA38DE">
              <w:rPr>
                <w:rFonts w:ascii="Times New Roman" w:hAnsi="Times New Roman"/>
                <w:sz w:val="24"/>
                <w:szCs w:val="24"/>
              </w:rPr>
              <w:lastRenderedPageBreak/>
              <w:t>ARDL Time Series Analysis</w:t>
            </w:r>
            <w:r w:rsidR="00825802" w:rsidRPr="00EA38DE">
              <w:rPr>
                <w:rFonts w:ascii="Times New Roman" w:hAnsi="Times New Roman"/>
                <w:sz w:val="24"/>
                <w:szCs w:val="24"/>
              </w:rPr>
              <w:t>.</w:t>
            </w:r>
          </w:p>
        </w:tc>
        <w:tc>
          <w:tcPr>
            <w:tcW w:w="992" w:type="dxa"/>
          </w:tcPr>
          <w:p w14:paraId="1C2354E7" w14:textId="77777777" w:rsidR="00D21613"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lastRenderedPageBreak/>
              <w:t>2015</w:t>
            </w:r>
          </w:p>
          <w:p w14:paraId="488ED8BA" w14:textId="1E1652A6" w:rsidR="00F140E4" w:rsidRPr="00EA38DE" w:rsidRDefault="00F140E4"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tc>
        <w:tc>
          <w:tcPr>
            <w:tcW w:w="1276" w:type="dxa"/>
          </w:tcPr>
          <w:p w14:paraId="0E1E7A3B" w14:textId="402AE48D"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(Lagos, Tin Can Ports)</w:t>
            </w:r>
          </w:p>
        </w:tc>
        <w:tc>
          <w:tcPr>
            <w:tcW w:w="1701" w:type="dxa"/>
          </w:tcPr>
          <w:p w14:paraId="4243E6E0"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ARDL time series model</w:t>
            </w:r>
          </w:p>
        </w:tc>
        <w:tc>
          <w:tcPr>
            <w:tcW w:w="1843" w:type="dxa"/>
          </w:tcPr>
          <w:p w14:paraId="41FCF71E"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1% increase in desalination imports leads to 0.5% increase in maritime throughput; desalination drives measurable shipping demand.</w:t>
            </w:r>
          </w:p>
        </w:tc>
      </w:tr>
      <w:tr w:rsidR="00EA38DE" w:rsidRPr="00EA38DE" w14:paraId="035FC5AE" w14:textId="77777777" w:rsidTr="00CF7D7E">
        <w:tc>
          <w:tcPr>
            <w:tcW w:w="704" w:type="dxa"/>
          </w:tcPr>
          <w:p w14:paraId="5CC73F1E"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75</w:t>
            </w:r>
          </w:p>
        </w:tc>
        <w:tc>
          <w:tcPr>
            <w:tcW w:w="1138" w:type="dxa"/>
          </w:tcPr>
          <w:p w14:paraId="62CD4BFF"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Ogunbiyi &amp; Omotayo (2023)</w:t>
            </w:r>
          </w:p>
        </w:tc>
        <w:tc>
          <w:tcPr>
            <w:tcW w:w="1839" w:type="dxa"/>
          </w:tcPr>
          <w:p w14:paraId="78E95744" w14:textId="637E6DFA" w:rsidR="00D21613" w:rsidRPr="00EA38DE" w:rsidRDefault="00DA434C" w:rsidP="00DA434C">
            <w:pPr>
              <w:rPr>
                <w:rFonts w:ascii="Times New Roman" w:eastAsia="Times New Roman" w:hAnsi="Times New Roman"/>
                <w:sz w:val="24"/>
                <w:szCs w:val="24"/>
              </w:rPr>
            </w:pPr>
            <w:r w:rsidRPr="00EA38DE">
              <w:rPr>
                <w:rFonts w:ascii="Times New Roman" w:hAnsi="Times New Roman"/>
                <w:sz w:val="24"/>
                <w:szCs w:val="24"/>
              </w:rPr>
              <w:t>Rising Seafood Consumption and Data Gaps in Marine Product Demand in Nigeria: Evidence from Household Surveys</w:t>
            </w:r>
            <w:r w:rsidR="00825802" w:rsidRPr="00EA38DE">
              <w:rPr>
                <w:rFonts w:ascii="Times New Roman" w:hAnsi="Times New Roman"/>
                <w:sz w:val="24"/>
                <w:szCs w:val="24"/>
              </w:rPr>
              <w:t>.</w:t>
            </w:r>
          </w:p>
        </w:tc>
        <w:tc>
          <w:tcPr>
            <w:tcW w:w="992" w:type="dxa"/>
          </w:tcPr>
          <w:p w14:paraId="383DAB7C" w14:textId="77777777" w:rsidR="00D21613"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2000</w:t>
            </w:r>
          </w:p>
          <w:p w14:paraId="1B3F4C56" w14:textId="7B403FE8" w:rsidR="00825802"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tc>
        <w:tc>
          <w:tcPr>
            <w:tcW w:w="1276" w:type="dxa"/>
          </w:tcPr>
          <w:p w14:paraId="2AC5BF8B" w14:textId="2B1D39CE"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(Households)</w:t>
            </w:r>
          </w:p>
        </w:tc>
        <w:tc>
          <w:tcPr>
            <w:tcW w:w="1701" w:type="dxa"/>
          </w:tcPr>
          <w:p w14:paraId="7F520A4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Survey + expenditure approach</w:t>
            </w:r>
          </w:p>
        </w:tc>
        <w:tc>
          <w:tcPr>
            <w:tcW w:w="1843" w:type="dxa"/>
          </w:tcPr>
          <w:p w14:paraId="0961AE13"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Seafood consumption rising, especially in coastal regions; rural data gaps may underreport total marine product demand.</w:t>
            </w:r>
          </w:p>
        </w:tc>
      </w:tr>
      <w:tr w:rsidR="00EA38DE" w:rsidRPr="00EA38DE" w14:paraId="4DF8C6FB" w14:textId="77777777" w:rsidTr="00CF7D7E">
        <w:tc>
          <w:tcPr>
            <w:tcW w:w="704" w:type="dxa"/>
          </w:tcPr>
          <w:p w14:paraId="0C2F4F39"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76</w:t>
            </w:r>
          </w:p>
        </w:tc>
        <w:tc>
          <w:tcPr>
            <w:tcW w:w="1138" w:type="dxa"/>
          </w:tcPr>
          <w:p w14:paraId="0DFEFB3A"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Ibe &amp; Nwaogu (2023)</w:t>
            </w:r>
          </w:p>
        </w:tc>
        <w:tc>
          <w:tcPr>
            <w:tcW w:w="1839" w:type="dxa"/>
          </w:tcPr>
          <w:p w14:paraId="09F8986C" w14:textId="0ABA57A8" w:rsidR="00D21613" w:rsidRPr="00EA38DE" w:rsidRDefault="00DA434C" w:rsidP="00825802">
            <w:pPr>
              <w:rPr>
                <w:rFonts w:ascii="Times New Roman" w:eastAsia="Times New Roman" w:hAnsi="Times New Roman"/>
                <w:sz w:val="24"/>
                <w:szCs w:val="24"/>
              </w:rPr>
            </w:pPr>
            <w:r w:rsidRPr="00EA38DE">
              <w:rPr>
                <w:rFonts w:ascii="Times New Roman" w:hAnsi="Times New Roman"/>
                <w:sz w:val="24"/>
                <w:szCs w:val="24"/>
              </w:rPr>
              <w:t>Fisheries Infrastructure and Maritime Logistics Demand in Nigeria: Evidence from Six Coastal States</w:t>
            </w:r>
            <w:r w:rsidR="00825802" w:rsidRPr="00EA38DE">
              <w:rPr>
                <w:rFonts w:ascii="Times New Roman" w:hAnsi="Times New Roman"/>
                <w:sz w:val="24"/>
                <w:szCs w:val="24"/>
              </w:rPr>
              <w:t>.</w:t>
            </w:r>
          </w:p>
        </w:tc>
        <w:tc>
          <w:tcPr>
            <w:tcW w:w="992" w:type="dxa"/>
          </w:tcPr>
          <w:p w14:paraId="2CCCD2DF" w14:textId="77777777" w:rsidR="00D21613"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2010</w:t>
            </w:r>
          </w:p>
          <w:p w14:paraId="1347515D" w14:textId="5A7490EF" w:rsidR="00825802"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tc>
        <w:tc>
          <w:tcPr>
            <w:tcW w:w="1276" w:type="dxa"/>
          </w:tcPr>
          <w:p w14:paraId="20FC0B21" w14:textId="66603111"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 (6 coastal states)</w:t>
            </w:r>
          </w:p>
        </w:tc>
        <w:tc>
          <w:tcPr>
            <w:tcW w:w="1701" w:type="dxa"/>
          </w:tcPr>
          <w:p w14:paraId="0043A4B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Panel regression</w:t>
            </w:r>
          </w:p>
        </w:tc>
        <w:tc>
          <w:tcPr>
            <w:tcW w:w="1843" w:type="dxa"/>
          </w:tcPr>
          <w:p w14:paraId="3E11DA84"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Fisheries infrastructure strongly linked to maritime logistics demand; cold-chain shipping services benefit most.</w:t>
            </w:r>
          </w:p>
        </w:tc>
      </w:tr>
      <w:tr w:rsidR="00EA38DE" w:rsidRPr="00EA38DE" w14:paraId="1D4CCDDE" w14:textId="77777777" w:rsidTr="00CF7D7E">
        <w:tc>
          <w:tcPr>
            <w:tcW w:w="704" w:type="dxa"/>
          </w:tcPr>
          <w:p w14:paraId="5BF668EB"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77</w:t>
            </w:r>
          </w:p>
        </w:tc>
        <w:tc>
          <w:tcPr>
            <w:tcW w:w="1138" w:type="dxa"/>
          </w:tcPr>
          <w:p w14:paraId="1723E221"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Akinwale &amp; Adepoju (2024)</w:t>
            </w:r>
          </w:p>
        </w:tc>
        <w:tc>
          <w:tcPr>
            <w:tcW w:w="1839" w:type="dxa"/>
          </w:tcPr>
          <w:p w14:paraId="56A6CEE6" w14:textId="07439347" w:rsidR="00D21613" w:rsidRPr="00EA38DE" w:rsidRDefault="00DA434C" w:rsidP="00825802">
            <w:pPr>
              <w:rPr>
                <w:rFonts w:ascii="Times New Roman" w:eastAsia="Times New Roman" w:hAnsi="Times New Roman"/>
                <w:sz w:val="24"/>
                <w:szCs w:val="24"/>
              </w:rPr>
            </w:pPr>
            <w:r w:rsidRPr="00EA38DE">
              <w:rPr>
                <w:rFonts w:ascii="Times New Roman" w:hAnsi="Times New Roman"/>
                <w:sz w:val="24"/>
                <w:szCs w:val="24"/>
              </w:rPr>
              <w:t>Institutional Gaps and FX Risk in Nigeria: Implications for Fisheries–Shipping Linkages in the Blue Economy</w:t>
            </w:r>
            <w:r w:rsidR="00825802" w:rsidRPr="00EA38DE">
              <w:rPr>
                <w:rFonts w:ascii="Times New Roman" w:eastAsia="Times New Roman" w:hAnsi="Times New Roman"/>
                <w:sz w:val="24"/>
                <w:szCs w:val="24"/>
              </w:rPr>
              <w:t>.</w:t>
            </w:r>
          </w:p>
        </w:tc>
        <w:tc>
          <w:tcPr>
            <w:tcW w:w="992" w:type="dxa"/>
          </w:tcPr>
          <w:p w14:paraId="0D489869" w14:textId="77777777" w:rsidR="00D21613"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p w14:paraId="22C714BC" w14:textId="07CBD06B" w:rsidR="00825802"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2023</w:t>
            </w:r>
          </w:p>
        </w:tc>
        <w:tc>
          <w:tcPr>
            <w:tcW w:w="1276" w:type="dxa"/>
          </w:tcPr>
          <w:p w14:paraId="585C2F43" w14:textId="32091DC0"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638DF1C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Qualitative interviews</w:t>
            </w:r>
          </w:p>
        </w:tc>
        <w:tc>
          <w:tcPr>
            <w:tcW w:w="1843" w:type="dxa"/>
          </w:tcPr>
          <w:p w14:paraId="57817AB1"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Institutional gaps and FX risk weaken linkages between fisheries and shipping in Nigeria’s blue economy policy framework.</w:t>
            </w:r>
          </w:p>
        </w:tc>
      </w:tr>
      <w:tr w:rsidR="00EA38DE" w:rsidRPr="00EA38DE" w14:paraId="3EDBD3E8" w14:textId="77777777" w:rsidTr="00CF7D7E">
        <w:tc>
          <w:tcPr>
            <w:tcW w:w="704" w:type="dxa"/>
          </w:tcPr>
          <w:p w14:paraId="268270E7"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78</w:t>
            </w:r>
          </w:p>
        </w:tc>
        <w:tc>
          <w:tcPr>
            <w:tcW w:w="1138" w:type="dxa"/>
          </w:tcPr>
          <w:p w14:paraId="75320AAF" w14:textId="4C125DF5"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Okene, et al. (2024)</w:t>
            </w:r>
          </w:p>
        </w:tc>
        <w:tc>
          <w:tcPr>
            <w:tcW w:w="1839" w:type="dxa"/>
          </w:tcPr>
          <w:p w14:paraId="1BD0C154" w14:textId="65D1DD04" w:rsidR="00D21613" w:rsidRPr="00EA38DE" w:rsidRDefault="00DA434C" w:rsidP="00DA434C">
            <w:pPr>
              <w:rPr>
                <w:rFonts w:ascii="Times New Roman" w:eastAsia="Times New Roman" w:hAnsi="Times New Roman"/>
                <w:sz w:val="24"/>
                <w:szCs w:val="24"/>
              </w:rPr>
            </w:pPr>
            <w:r w:rsidRPr="00EA38DE">
              <w:rPr>
                <w:rFonts w:ascii="Times New Roman" w:hAnsi="Times New Roman"/>
                <w:sz w:val="24"/>
                <w:szCs w:val="24"/>
              </w:rPr>
              <w:t>Exchange Rate Volatility and Maritime Trade Volume in Nigeria: Evidence from GARCH and ARDL Bounds Testing</w:t>
            </w:r>
            <w:r w:rsidR="00825802" w:rsidRPr="00EA38DE">
              <w:rPr>
                <w:rFonts w:ascii="Times New Roman" w:eastAsia="Times New Roman" w:hAnsi="Times New Roman"/>
                <w:sz w:val="24"/>
                <w:szCs w:val="24"/>
              </w:rPr>
              <w:t>.</w:t>
            </w:r>
          </w:p>
        </w:tc>
        <w:tc>
          <w:tcPr>
            <w:tcW w:w="992" w:type="dxa"/>
          </w:tcPr>
          <w:p w14:paraId="2E78245C" w14:textId="77777777" w:rsidR="00D21613"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1995</w:t>
            </w:r>
          </w:p>
          <w:p w14:paraId="41F04968" w14:textId="10A92FFC" w:rsidR="00825802" w:rsidRPr="00EA38DE" w:rsidRDefault="00825802"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2022</w:t>
            </w:r>
          </w:p>
        </w:tc>
        <w:tc>
          <w:tcPr>
            <w:tcW w:w="1276" w:type="dxa"/>
          </w:tcPr>
          <w:p w14:paraId="3295809E" w14:textId="4A733CCC"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Nigeria</w:t>
            </w:r>
          </w:p>
        </w:tc>
        <w:tc>
          <w:tcPr>
            <w:tcW w:w="1701" w:type="dxa"/>
          </w:tcPr>
          <w:p w14:paraId="2C7403B8" w14:textId="77777777" w:rsidR="00D21613" w:rsidRPr="00EA38DE" w:rsidRDefault="00D21613" w:rsidP="00CB10A8">
            <w:pPr>
              <w:jc w:val="both"/>
              <w:rPr>
                <w:rFonts w:ascii="Times New Roman" w:eastAsia="Times New Roman" w:hAnsi="Times New Roman"/>
                <w:sz w:val="24"/>
                <w:szCs w:val="24"/>
              </w:rPr>
            </w:pPr>
            <w:r w:rsidRPr="00EA38DE">
              <w:rPr>
                <w:rFonts w:ascii="Times New Roman" w:eastAsia="Times New Roman" w:hAnsi="Times New Roman"/>
                <w:sz w:val="24"/>
                <w:szCs w:val="24"/>
              </w:rPr>
              <w:t>GARCH + ARDL bounds testing</w:t>
            </w:r>
          </w:p>
        </w:tc>
        <w:tc>
          <w:tcPr>
            <w:tcW w:w="1843" w:type="dxa"/>
          </w:tcPr>
          <w:p w14:paraId="79BF66E8" w14:textId="77777777" w:rsidR="00D21613" w:rsidRPr="00EA38DE" w:rsidRDefault="00D21613" w:rsidP="00B77648">
            <w:pPr>
              <w:rPr>
                <w:rFonts w:ascii="Times New Roman" w:eastAsia="Times New Roman" w:hAnsi="Times New Roman"/>
                <w:sz w:val="24"/>
                <w:szCs w:val="24"/>
              </w:rPr>
            </w:pPr>
            <w:r w:rsidRPr="00EA38DE">
              <w:rPr>
                <w:rFonts w:ascii="Times New Roman" w:eastAsia="Times New Roman" w:hAnsi="Times New Roman"/>
                <w:sz w:val="24"/>
                <w:szCs w:val="24"/>
              </w:rPr>
              <w:t>FX volatility has no significant impact on maritime trade volume; recommends domestic production to stabilize exchange rate and revitalize shipping sector.</w:t>
            </w:r>
          </w:p>
        </w:tc>
      </w:tr>
    </w:tbl>
    <w:p w14:paraId="145220DE" w14:textId="5DCAEA10" w:rsidR="009E0E31" w:rsidRDefault="009E0E31" w:rsidP="00CB10A8">
      <w:pPr>
        <w:spacing w:after="120" w:line="480" w:lineRule="auto"/>
        <w:jc w:val="both"/>
        <w:rPr>
          <w:rFonts w:ascii="Times New Roman" w:eastAsia="Times New Roman" w:hAnsi="Times New Roman" w:cs="Times New Roman"/>
          <w:b/>
          <w:bCs/>
          <w:sz w:val="24"/>
          <w:szCs w:val="24"/>
        </w:rPr>
      </w:pPr>
      <w:r w:rsidRPr="00EA38DE">
        <w:rPr>
          <w:rFonts w:ascii="Times New Roman" w:eastAsia="Times New Roman" w:hAnsi="Times New Roman" w:cs="Times New Roman"/>
          <w:b/>
          <w:bCs/>
          <w:sz w:val="24"/>
          <w:szCs w:val="24"/>
        </w:rPr>
        <w:t xml:space="preserve">Source: </w:t>
      </w:r>
      <w:r w:rsidR="00696A52" w:rsidRPr="00EA38DE">
        <w:rPr>
          <w:rFonts w:ascii="Times New Roman" w:eastAsia="Times New Roman" w:hAnsi="Times New Roman" w:cs="Times New Roman"/>
          <w:b/>
          <w:bCs/>
          <w:sz w:val="24"/>
          <w:szCs w:val="24"/>
        </w:rPr>
        <w:t>Researcher’</w:t>
      </w:r>
      <w:r w:rsidRPr="00EA38DE">
        <w:rPr>
          <w:rFonts w:ascii="Times New Roman" w:eastAsia="Times New Roman" w:hAnsi="Times New Roman" w:cs="Times New Roman"/>
          <w:b/>
          <w:bCs/>
          <w:sz w:val="24"/>
          <w:szCs w:val="24"/>
        </w:rPr>
        <w:t>s Com</w:t>
      </w:r>
      <w:r w:rsidR="00696A52" w:rsidRPr="00EA38DE">
        <w:rPr>
          <w:rFonts w:ascii="Times New Roman" w:eastAsia="Times New Roman" w:hAnsi="Times New Roman" w:cs="Times New Roman"/>
          <w:b/>
          <w:bCs/>
          <w:sz w:val="24"/>
          <w:szCs w:val="24"/>
        </w:rPr>
        <w:t>pila</w:t>
      </w:r>
      <w:r w:rsidRPr="00EA38DE">
        <w:rPr>
          <w:rFonts w:ascii="Times New Roman" w:eastAsia="Times New Roman" w:hAnsi="Times New Roman" w:cs="Times New Roman"/>
          <w:b/>
          <w:bCs/>
          <w:sz w:val="24"/>
          <w:szCs w:val="24"/>
        </w:rPr>
        <w:t xml:space="preserve">tion </w:t>
      </w:r>
      <w:r w:rsidR="004F2F5A" w:rsidRPr="00EA38DE">
        <w:rPr>
          <w:rFonts w:ascii="Times New Roman" w:eastAsia="Times New Roman" w:hAnsi="Times New Roman" w:cs="Times New Roman"/>
          <w:b/>
          <w:bCs/>
          <w:sz w:val="24"/>
          <w:szCs w:val="24"/>
        </w:rPr>
        <w:t>(</w:t>
      </w:r>
      <w:r w:rsidRPr="00EA38DE">
        <w:rPr>
          <w:rFonts w:ascii="Times New Roman" w:eastAsia="Times New Roman" w:hAnsi="Times New Roman" w:cs="Times New Roman"/>
          <w:b/>
          <w:bCs/>
          <w:sz w:val="24"/>
          <w:szCs w:val="24"/>
        </w:rPr>
        <w:t>2025</w:t>
      </w:r>
      <w:r w:rsidR="004F2F5A" w:rsidRPr="00EA38DE">
        <w:rPr>
          <w:rFonts w:ascii="Times New Roman" w:eastAsia="Times New Roman" w:hAnsi="Times New Roman" w:cs="Times New Roman"/>
          <w:b/>
          <w:bCs/>
          <w:sz w:val="24"/>
          <w:szCs w:val="24"/>
        </w:rPr>
        <w:t>).</w:t>
      </w:r>
    </w:p>
    <w:p w14:paraId="4C82488B" w14:textId="77777777" w:rsidR="00B77648" w:rsidRPr="00EA38DE" w:rsidRDefault="00B77648" w:rsidP="00CB10A8">
      <w:pPr>
        <w:spacing w:after="120" w:line="480" w:lineRule="auto"/>
        <w:jc w:val="both"/>
        <w:rPr>
          <w:rFonts w:ascii="Times New Roman" w:eastAsia="Times New Roman" w:hAnsi="Times New Roman" w:cs="Times New Roman"/>
          <w:b/>
          <w:bCs/>
          <w:sz w:val="24"/>
          <w:szCs w:val="24"/>
        </w:rPr>
      </w:pPr>
    </w:p>
    <w:p w14:paraId="42D27F41" w14:textId="6ECECCAD" w:rsidR="009E0E31" w:rsidRPr="00EA38DE" w:rsidRDefault="002274B4" w:rsidP="001371F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
          <w:bCs/>
          <w:sz w:val="24"/>
          <w:szCs w:val="24"/>
        </w:rPr>
        <w:lastRenderedPageBreak/>
        <w:t>2.</w:t>
      </w:r>
      <w:r w:rsidR="00B616F5" w:rsidRPr="00EA38DE">
        <w:rPr>
          <w:rFonts w:ascii="Times New Roman" w:eastAsia="Times New Roman" w:hAnsi="Times New Roman" w:cs="Times New Roman"/>
          <w:b/>
          <w:bCs/>
          <w:sz w:val="24"/>
          <w:szCs w:val="24"/>
        </w:rPr>
        <w:t>6</w:t>
      </w:r>
      <w:r w:rsidR="00B616F5" w:rsidRPr="00EA38DE">
        <w:rPr>
          <w:rFonts w:ascii="Times New Roman" w:eastAsia="Times New Roman" w:hAnsi="Times New Roman" w:cs="Times New Roman"/>
          <w:b/>
          <w:bCs/>
          <w:sz w:val="24"/>
          <w:szCs w:val="24"/>
        </w:rPr>
        <w:tab/>
      </w:r>
      <w:r w:rsidR="009E0E31" w:rsidRPr="00EA38DE">
        <w:rPr>
          <w:rFonts w:ascii="Times New Roman" w:eastAsia="Times New Roman" w:hAnsi="Times New Roman" w:cs="Times New Roman"/>
          <w:b/>
          <w:bCs/>
          <w:sz w:val="24"/>
          <w:szCs w:val="24"/>
        </w:rPr>
        <w:t>Gap</w:t>
      </w:r>
      <w:r w:rsidR="003429DA" w:rsidRPr="00EA38DE">
        <w:rPr>
          <w:rFonts w:ascii="Times New Roman" w:eastAsia="Times New Roman" w:hAnsi="Times New Roman" w:cs="Times New Roman"/>
          <w:b/>
          <w:bCs/>
          <w:sz w:val="24"/>
          <w:szCs w:val="24"/>
        </w:rPr>
        <w:t>s</w:t>
      </w:r>
      <w:r w:rsidR="009E0E31" w:rsidRPr="00EA38DE">
        <w:rPr>
          <w:rFonts w:ascii="Times New Roman" w:eastAsia="Times New Roman" w:hAnsi="Times New Roman" w:cs="Times New Roman"/>
          <w:b/>
          <w:bCs/>
          <w:sz w:val="24"/>
          <w:szCs w:val="24"/>
        </w:rPr>
        <w:t xml:space="preserve"> in Literature</w:t>
      </w:r>
    </w:p>
    <w:p w14:paraId="64EBC2A2" w14:textId="2545FB5E" w:rsidR="00F575C0" w:rsidRPr="00EA38DE" w:rsidRDefault="00F575C0" w:rsidP="001371F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Despite extensive research on the interactions between exchange rate </w:t>
      </w:r>
      <w:r w:rsidR="00341039"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w:t>
      </w:r>
      <w:r w:rsidR="00696A52" w:rsidRPr="00EA38DE">
        <w:rPr>
          <w:rFonts w:ascii="Times New Roman" w:eastAsia="Times New Roman" w:hAnsi="Times New Roman" w:cs="Times New Roman"/>
          <w:sz w:val="24"/>
          <w:szCs w:val="24"/>
        </w:rPr>
        <w:t xml:space="preserve">fisheries, </w:t>
      </w:r>
      <w:r w:rsidRPr="00EA38DE">
        <w:rPr>
          <w:rFonts w:ascii="Times New Roman" w:eastAsia="Times New Roman" w:hAnsi="Times New Roman" w:cs="Times New Roman"/>
          <w:sz w:val="24"/>
          <w:szCs w:val="24"/>
        </w:rPr>
        <w:t>aquaculture development, desalination logistics, and the financial performance of Nigerian shipping firms, several gaps remain in the existing literature.</w:t>
      </w:r>
    </w:p>
    <w:p w14:paraId="4396B66A" w14:textId="1739BFA6" w:rsidR="00F575C0" w:rsidRPr="00EA38DE" w:rsidRDefault="00F575C0" w:rsidP="001371F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Firstly, althou</w:t>
      </w:r>
      <w:r w:rsidR="00730C46" w:rsidRPr="00EA38DE">
        <w:rPr>
          <w:rFonts w:ascii="Times New Roman" w:eastAsia="Times New Roman" w:hAnsi="Times New Roman" w:cs="Times New Roman"/>
          <w:sz w:val="24"/>
          <w:szCs w:val="24"/>
        </w:rPr>
        <w:t>gh some studies (such as Nnaji &amp; Hassan, 2022; Akinwale &amp;</w:t>
      </w:r>
      <w:r w:rsidRPr="00EA38DE">
        <w:rPr>
          <w:rFonts w:ascii="Times New Roman" w:eastAsia="Times New Roman" w:hAnsi="Times New Roman" w:cs="Times New Roman"/>
          <w:sz w:val="24"/>
          <w:szCs w:val="24"/>
        </w:rPr>
        <w:t xml:space="preserve"> Adepoju, 2024) highlight the negative impact of weak legal and institutional coordination on maritime and fisheries sector linkages, these governance factors are rarely incorporated explicitly into quantitative economic models. This indicates a need for empirical research that integrates regulatory environment variables into econometric frameworks to better assess their direct impact on shipping financial performance and trade volumes.</w:t>
      </w:r>
    </w:p>
    <w:p w14:paraId="1A2576A9" w14:textId="015E1780" w:rsidR="00A56EF9" w:rsidRPr="00EA38DE" w:rsidRDefault="00F575C0" w:rsidP="001371F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Secondly, much of the existing literature focuses on data ending around 2020 or 2021</w:t>
      </w:r>
      <w:r w:rsidR="002A5796" w:rsidRPr="00EA38DE">
        <w:rPr>
          <w:rFonts w:ascii="Times New Roman" w:eastAsia="Times New Roman" w:hAnsi="Times New Roman" w:cs="Times New Roman"/>
          <w:sz w:val="24"/>
          <w:szCs w:val="24"/>
        </w:rPr>
        <w:t>. F</w:t>
      </w:r>
      <w:r w:rsidRPr="00EA38DE">
        <w:rPr>
          <w:rFonts w:ascii="Times New Roman" w:eastAsia="Times New Roman" w:hAnsi="Times New Roman" w:cs="Times New Roman"/>
          <w:sz w:val="24"/>
          <w:szCs w:val="24"/>
        </w:rPr>
        <w:t xml:space="preserve">or example, </w:t>
      </w:r>
      <w:r w:rsidR="002A579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Adekunle </w:t>
      </w:r>
      <w:r w:rsidR="00730C46" w:rsidRPr="00EA38DE">
        <w:rPr>
          <w:rFonts w:ascii="Times New Roman" w:eastAsia="Times New Roman" w:hAnsi="Times New Roman" w:cs="Times New Roman"/>
          <w:sz w:val="24"/>
          <w:szCs w:val="24"/>
        </w:rPr>
        <w:t>&amp;</w:t>
      </w:r>
      <w:r w:rsidRPr="00EA38DE">
        <w:rPr>
          <w:rFonts w:ascii="Times New Roman" w:eastAsia="Times New Roman" w:hAnsi="Times New Roman" w:cs="Times New Roman"/>
          <w:sz w:val="24"/>
          <w:szCs w:val="24"/>
        </w:rPr>
        <w:t xml:space="preserve"> Eyo, 2022; Okoro et al., 2022), with limited investigations that incorporate the most recent developments up to 2023 and beyond.</w:t>
      </w:r>
      <w:r w:rsidR="00A56EF9" w:rsidRPr="00EA38DE">
        <w:rPr>
          <w:rFonts w:ascii="Times New Roman" w:eastAsia="Times New Roman" w:hAnsi="Times New Roman" w:cs="Times New Roman"/>
          <w:sz w:val="24"/>
          <w:szCs w:val="24"/>
        </w:rPr>
        <w:t xml:space="preserve"> </w:t>
      </w:r>
      <w:r w:rsidR="00A56EF9" w:rsidRPr="00EA38DE">
        <w:rPr>
          <w:rFonts w:ascii="Times New Roman" w:hAnsi="Times New Roman" w:cs="Times New Roman"/>
          <w:sz w:val="24"/>
          <w:szCs w:val="24"/>
        </w:rPr>
        <w:t>In light of rapid technological progress, shifting exchange rate regimes, and emerging blue economy policies, contemporary longitudinal studies that apply causal inference methods could yield deeper insights into the sector’s evolving dynamics.</w:t>
      </w:r>
    </w:p>
    <w:p w14:paraId="61277414" w14:textId="3B474669" w:rsidR="00F575C0" w:rsidRPr="00EA38DE" w:rsidRDefault="00F575C0" w:rsidP="001371F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Thirdly, while</w:t>
      </w:r>
      <w:r w:rsidR="002A579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w:t>
      </w:r>
      <w:r w:rsidR="002A5796"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Okene et al. 2024</w:t>
      </w:r>
      <w:r w:rsidR="00E21339"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Okoro et al. 2022) underscore the negative effects of Nigeria’s high import dependence and exchange rate volatility on maritime logistics costs, there is scant</w:t>
      </w:r>
      <w:r w:rsidR="009105E4" w:rsidRPr="00EA38DE">
        <w:rPr>
          <w:rFonts w:ascii="Times New Roman" w:eastAsia="Times New Roman" w:hAnsi="Times New Roman" w:cs="Times New Roman"/>
          <w:sz w:val="24"/>
          <w:szCs w:val="24"/>
        </w:rPr>
        <w:t>y</w:t>
      </w:r>
      <w:r w:rsidRPr="00EA38DE">
        <w:rPr>
          <w:rFonts w:ascii="Times New Roman" w:eastAsia="Times New Roman" w:hAnsi="Times New Roman" w:cs="Times New Roman"/>
          <w:sz w:val="24"/>
          <w:szCs w:val="24"/>
        </w:rPr>
        <w:t xml:space="preserve"> empirical research exploring how strengthening domestic production of aquaculture inputs and desalination components could help mitigate these vulnerabilities and enhance the resilience of the shipping sector.</w:t>
      </w:r>
      <w:r w:rsidR="00E83F8B" w:rsidRPr="00EA38DE">
        <w:rPr>
          <w:rFonts w:ascii="Times New Roman" w:eastAsia="Times New Roman" w:hAnsi="Times New Roman" w:cs="Times New Roman"/>
          <w:sz w:val="24"/>
          <w:szCs w:val="24"/>
        </w:rPr>
        <w:t xml:space="preserve"> </w:t>
      </w:r>
      <w:r w:rsidR="00696A52" w:rsidRPr="00EA38DE">
        <w:rPr>
          <w:rFonts w:ascii="Times New Roman" w:eastAsia="Times New Roman" w:hAnsi="Times New Roman" w:cs="Times New Roman"/>
          <w:sz w:val="24"/>
          <w:szCs w:val="24"/>
        </w:rPr>
        <w:t xml:space="preserve">Although </w:t>
      </w:r>
      <w:r w:rsidRPr="00EA38DE">
        <w:rPr>
          <w:rFonts w:ascii="Times New Roman" w:eastAsia="Times New Roman" w:hAnsi="Times New Roman" w:cs="Times New Roman"/>
          <w:sz w:val="24"/>
          <w:szCs w:val="24"/>
        </w:rPr>
        <w:t>s</w:t>
      </w:r>
      <w:r w:rsidR="00F022C9" w:rsidRPr="00EA38DE">
        <w:rPr>
          <w:rFonts w:ascii="Times New Roman" w:eastAsia="Times New Roman" w:hAnsi="Times New Roman" w:cs="Times New Roman"/>
          <w:sz w:val="24"/>
          <w:szCs w:val="24"/>
        </w:rPr>
        <w:t xml:space="preserve">everal studies such as </w:t>
      </w:r>
      <w:r w:rsidR="006B2E19" w:rsidRPr="00EA38DE">
        <w:rPr>
          <w:rFonts w:ascii="Times New Roman" w:eastAsia="Times New Roman" w:hAnsi="Times New Roman" w:cs="Times New Roman"/>
          <w:sz w:val="24"/>
          <w:szCs w:val="24"/>
        </w:rPr>
        <w:t>(</w:t>
      </w:r>
      <w:r w:rsidR="00F022C9" w:rsidRPr="00EA38DE">
        <w:rPr>
          <w:rFonts w:ascii="Times New Roman" w:eastAsia="Times New Roman" w:hAnsi="Times New Roman" w:cs="Times New Roman"/>
          <w:sz w:val="24"/>
          <w:szCs w:val="24"/>
        </w:rPr>
        <w:t>Salami &amp;</w:t>
      </w:r>
      <w:r w:rsidRPr="00EA38DE">
        <w:rPr>
          <w:rFonts w:ascii="Times New Roman" w:eastAsia="Times New Roman" w:hAnsi="Times New Roman" w:cs="Times New Roman"/>
          <w:sz w:val="24"/>
          <w:szCs w:val="24"/>
        </w:rPr>
        <w:t xml:space="preserve"> Ibrahim, 2022; Adewumi et al., 2023) acknowledge infrastructure inadequacies and the high costs associated with importing technology, </w:t>
      </w:r>
      <w:r w:rsidRPr="00EA38DE">
        <w:rPr>
          <w:rFonts w:ascii="Times New Roman" w:eastAsia="Times New Roman" w:hAnsi="Times New Roman" w:cs="Times New Roman"/>
          <w:sz w:val="24"/>
          <w:szCs w:val="24"/>
        </w:rPr>
        <w:lastRenderedPageBreak/>
        <w:t>there are few quantitative analyses linking these factors to shipping demand elasticity or cost structures. Research quantifying the economic benefits of infrastructure upgrades such as improvements in cold storage capacity, modern landing sites, and automated logistics systems remains limited.</w:t>
      </w:r>
    </w:p>
    <w:p w14:paraId="419D16BB" w14:textId="60463C57" w:rsidR="00F575C0" w:rsidRPr="00EA38DE" w:rsidRDefault="00696A52" w:rsidP="001371F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Fourthly</w:t>
      </w:r>
      <w:r w:rsidR="00F575C0" w:rsidRPr="00EA38DE">
        <w:rPr>
          <w:rFonts w:ascii="Times New Roman" w:eastAsia="Times New Roman" w:hAnsi="Times New Roman" w:cs="Times New Roman"/>
          <w:sz w:val="24"/>
          <w:szCs w:val="24"/>
        </w:rPr>
        <w:t xml:space="preserve">, most existing analyses rely heavily on aggregate industry or port-level data, with insufficient focus on firm-level case studies or panel data that examine how individual shipping companies respond to macroeconomic shocks like exchange rate </w:t>
      </w:r>
      <w:r w:rsidR="0079499E" w:rsidRPr="00EA38DE">
        <w:rPr>
          <w:rFonts w:ascii="Times New Roman" w:eastAsia="Times New Roman" w:hAnsi="Times New Roman" w:cs="Times New Roman"/>
          <w:sz w:val="24"/>
          <w:szCs w:val="24"/>
        </w:rPr>
        <w:t>volatility</w:t>
      </w:r>
      <w:r w:rsidR="00F575C0" w:rsidRPr="00EA38DE">
        <w:rPr>
          <w:rFonts w:ascii="Times New Roman" w:eastAsia="Times New Roman" w:hAnsi="Times New Roman" w:cs="Times New Roman"/>
          <w:sz w:val="24"/>
          <w:szCs w:val="24"/>
        </w:rPr>
        <w:t xml:space="preserve"> and input price volatility. Access to such micro-level data could enrich understanding of the heterogeneity in firm resilience and risk management strategies within the maritime sector.</w:t>
      </w:r>
    </w:p>
    <w:p w14:paraId="712AACAD" w14:textId="2F2DB849" w:rsidR="00F575C0" w:rsidRPr="00EA38DE" w:rsidRDefault="00F575C0" w:rsidP="001371F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Furthermore, the literature primarily concentrates on fisheries, aquaculture, and desalination subsectors. </w:t>
      </w:r>
      <w:r w:rsidR="004D0214" w:rsidRPr="00EA38DE">
        <w:rPr>
          <w:rFonts w:ascii="Times New Roman" w:eastAsia="Times New Roman" w:hAnsi="Times New Roman" w:cs="Times New Roman"/>
          <w:sz w:val="24"/>
          <w:szCs w:val="24"/>
        </w:rPr>
        <w:t>D</w:t>
      </w:r>
      <w:r w:rsidRPr="00EA38DE">
        <w:rPr>
          <w:rFonts w:ascii="Times New Roman" w:eastAsia="Times New Roman" w:hAnsi="Times New Roman" w:cs="Times New Roman"/>
          <w:sz w:val="24"/>
          <w:szCs w:val="24"/>
        </w:rPr>
        <w:t>espite some discussion of sustainability in fisheries development</w:t>
      </w:r>
      <w:r w:rsidR="008E4B69" w:rsidRPr="00EA38DE">
        <w:rPr>
          <w:rFonts w:ascii="Times New Roman" w:eastAsia="Times New Roman" w:hAnsi="Times New Roman" w:cs="Times New Roman"/>
          <w:sz w:val="24"/>
          <w:szCs w:val="24"/>
        </w:rPr>
        <w:t>, aquaculture development and issues pertaining to desalination</w:t>
      </w:r>
      <w:r w:rsidRPr="00EA38DE">
        <w:rPr>
          <w:rFonts w:ascii="Times New Roman" w:eastAsia="Times New Roman" w:hAnsi="Times New Roman" w:cs="Times New Roman"/>
          <w:sz w:val="24"/>
          <w:szCs w:val="24"/>
        </w:rPr>
        <w:t>,</w:t>
      </w:r>
      <w:r w:rsidR="008E4B69"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there is inadequate consideration of environmental and climate change factors within analyses of shipping and maritime logistics performance, particularly in the Nigerian coastal context</w:t>
      </w:r>
      <w:r w:rsidR="008E4B69" w:rsidRPr="00EA38DE">
        <w:rPr>
          <w:rFonts w:ascii="Times New Roman" w:eastAsia="Times New Roman" w:hAnsi="Times New Roman" w:cs="Times New Roman"/>
          <w:sz w:val="24"/>
          <w:szCs w:val="24"/>
        </w:rPr>
        <w:t xml:space="preserve"> (Elia &amp; Indrajaya, 2022)</w:t>
      </w:r>
      <w:r w:rsidRPr="00EA38DE">
        <w:rPr>
          <w:rFonts w:ascii="Times New Roman" w:eastAsia="Times New Roman" w:hAnsi="Times New Roman" w:cs="Times New Roman"/>
          <w:sz w:val="24"/>
          <w:szCs w:val="24"/>
        </w:rPr>
        <w:t>. Th</w:t>
      </w:r>
      <w:r w:rsidR="008E4B69" w:rsidRPr="00EA38DE">
        <w:rPr>
          <w:rFonts w:ascii="Times New Roman" w:eastAsia="Times New Roman" w:hAnsi="Times New Roman" w:cs="Times New Roman"/>
          <w:sz w:val="24"/>
          <w:szCs w:val="24"/>
        </w:rPr>
        <w:t>ese</w:t>
      </w:r>
      <w:r w:rsidRPr="00EA38DE">
        <w:rPr>
          <w:rFonts w:ascii="Times New Roman" w:eastAsia="Times New Roman" w:hAnsi="Times New Roman" w:cs="Times New Roman"/>
          <w:sz w:val="24"/>
          <w:szCs w:val="24"/>
        </w:rPr>
        <w:t xml:space="preserve"> gap</w:t>
      </w:r>
      <w:r w:rsidR="008E4B69" w:rsidRPr="00EA38DE">
        <w:rPr>
          <w:rFonts w:ascii="Times New Roman" w:eastAsia="Times New Roman" w:hAnsi="Times New Roman" w:cs="Times New Roman"/>
          <w:sz w:val="24"/>
          <w:szCs w:val="24"/>
        </w:rPr>
        <w:t>s</w:t>
      </w:r>
      <w:r w:rsidRPr="00EA38DE">
        <w:rPr>
          <w:rFonts w:ascii="Times New Roman" w:eastAsia="Times New Roman" w:hAnsi="Times New Roman" w:cs="Times New Roman"/>
          <w:sz w:val="24"/>
          <w:szCs w:val="24"/>
        </w:rPr>
        <w:t xml:space="preserve"> </w:t>
      </w:r>
      <w:r w:rsidR="008E4B69" w:rsidRPr="00EA38DE">
        <w:rPr>
          <w:rFonts w:ascii="Times New Roman" w:eastAsia="Times New Roman" w:hAnsi="Times New Roman" w:cs="Times New Roman"/>
          <w:sz w:val="24"/>
          <w:szCs w:val="24"/>
        </w:rPr>
        <w:t>limit</w:t>
      </w:r>
      <w:r w:rsidRPr="00EA38DE">
        <w:rPr>
          <w:rFonts w:ascii="Times New Roman" w:eastAsia="Times New Roman" w:hAnsi="Times New Roman" w:cs="Times New Roman"/>
          <w:sz w:val="24"/>
          <w:szCs w:val="24"/>
        </w:rPr>
        <w:t xml:space="preserve"> the ability to formulate comprehensive policies aimed at promoting a sustainable blue economy.</w:t>
      </w:r>
    </w:p>
    <w:p w14:paraId="5932D0E3" w14:textId="77777777" w:rsidR="008E4B69" w:rsidRPr="00EA38DE" w:rsidRDefault="008E4B69" w:rsidP="001371F7">
      <w:pPr>
        <w:spacing w:line="480" w:lineRule="auto"/>
        <w:jc w:val="both"/>
        <w:rPr>
          <w:rFonts w:ascii="Times New Roman" w:eastAsia="Times New Roman" w:hAnsi="Times New Roman" w:cs="Times New Roman"/>
          <w:sz w:val="24"/>
          <w:szCs w:val="24"/>
        </w:rPr>
      </w:pPr>
    </w:p>
    <w:p w14:paraId="2E01CD8B" w14:textId="77777777" w:rsidR="000B43FD" w:rsidRPr="00EA38DE" w:rsidRDefault="000B43FD" w:rsidP="000B43FD">
      <w:pPr>
        <w:spacing w:line="480" w:lineRule="auto"/>
        <w:jc w:val="both"/>
        <w:rPr>
          <w:rFonts w:ascii="Times New Roman" w:hAnsi="Times New Roman" w:cs="Times New Roman"/>
          <w:b/>
          <w:sz w:val="24"/>
          <w:szCs w:val="24"/>
        </w:rPr>
      </w:pPr>
    </w:p>
    <w:p w14:paraId="601FB415" w14:textId="77777777" w:rsidR="00A56EF9" w:rsidRPr="00EA38DE" w:rsidRDefault="00A56EF9" w:rsidP="000B43FD">
      <w:pPr>
        <w:spacing w:line="480" w:lineRule="auto"/>
        <w:jc w:val="center"/>
        <w:rPr>
          <w:rFonts w:ascii="Times New Roman" w:hAnsi="Times New Roman" w:cs="Times New Roman"/>
          <w:b/>
          <w:sz w:val="24"/>
          <w:szCs w:val="24"/>
        </w:rPr>
      </w:pPr>
    </w:p>
    <w:p w14:paraId="0039DA1C" w14:textId="77777777" w:rsidR="00A56EF9" w:rsidRPr="00EA38DE" w:rsidRDefault="00A56EF9" w:rsidP="000B43FD">
      <w:pPr>
        <w:spacing w:line="480" w:lineRule="auto"/>
        <w:jc w:val="center"/>
        <w:rPr>
          <w:rFonts w:ascii="Times New Roman" w:hAnsi="Times New Roman" w:cs="Times New Roman"/>
          <w:b/>
          <w:sz w:val="24"/>
          <w:szCs w:val="24"/>
        </w:rPr>
      </w:pPr>
    </w:p>
    <w:p w14:paraId="7B770F0B" w14:textId="77777777" w:rsidR="00A56EF9" w:rsidRPr="00EA38DE" w:rsidRDefault="00A56EF9" w:rsidP="000B43FD">
      <w:pPr>
        <w:spacing w:line="480" w:lineRule="auto"/>
        <w:jc w:val="center"/>
        <w:rPr>
          <w:rFonts w:ascii="Times New Roman" w:hAnsi="Times New Roman" w:cs="Times New Roman"/>
          <w:b/>
          <w:sz w:val="24"/>
          <w:szCs w:val="24"/>
        </w:rPr>
      </w:pPr>
    </w:p>
    <w:p w14:paraId="431E6614" w14:textId="009612B3" w:rsidR="009E0E31" w:rsidRPr="00EA38DE" w:rsidRDefault="009E0E31" w:rsidP="000B43FD">
      <w:pPr>
        <w:spacing w:line="480" w:lineRule="auto"/>
        <w:jc w:val="center"/>
        <w:rPr>
          <w:rFonts w:ascii="Times New Roman" w:hAnsi="Times New Roman" w:cs="Times New Roman"/>
          <w:b/>
          <w:sz w:val="24"/>
          <w:szCs w:val="24"/>
        </w:rPr>
      </w:pPr>
      <w:r w:rsidRPr="00EA38DE">
        <w:rPr>
          <w:rFonts w:ascii="Times New Roman" w:hAnsi="Times New Roman" w:cs="Times New Roman"/>
          <w:b/>
          <w:sz w:val="24"/>
          <w:szCs w:val="24"/>
        </w:rPr>
        <w:lastRenderedPageBreak/>
        <w:t>CHAPTER THREE</w:t>
      </w:r>
    </w:p>
    <w:p w14:paraId="75DCB5D4" w14:textId="77777777" w:rsidR="00F010FD" w:rsidRPr="00EA38DE" w:rsidRDefault="009E0E31" w:rsidP="001371F7">
      <w:pPr>
        <w:spacing w:line="480" w:lineRule="auto"/>
        <w:contextualSpacing/>
        <w:jc w:val="center"/>
        <w:rPr>
          <w:rFonts w:ascii="Times New Roman" w:hAnsi="Times New Roman" w:cs="Times New Roman"/>
          <w:b/>
          <w:sz w:val="24"/>
          <w:szCs w:val="24"/>
        </w:rPr>
      </w:pPr>
      <w:r w:rsidRPr="00EA38DE">
        <w:rPr>
          <w:rFonts w:ascii="Times New Roman" w:hAnsi="Times New Roman" w:cs="Times New Roman"/>
          <w:b/>
          <w:sz w:val="24"/>
          <w:szCs w:val="24"/>
        </w:rPr>
        <w:t>METHODOLOGY</w:t>
      </w:r>
    </w:p>
    <w:p w14:paraId="0693FB3D" w14:textId="6B033A33" w:rsidR="009E0E31" w:rsidRPr="00EA38DE" w:rsidRDefault="00B616F5" w:rsidP="001371F7">
      <w:pPr>
        <w:spacing w:line="480" w:lineRule="auto"/>
        <w:contextualSpacing/>
        <w:rPr>
          <w:rFonts w:ascii="Times New Roman" w:hAnsi="Times New Roman" w:cs="Times New Roman"/>
          <w:b/>
          <w:sz w:val="24"/>
          <w:szCs w:val="24"/>
        </w:rPr>
      </w:pPr>
      <w:r w:rsidRPr="00EA38DE">
        <w:rPr>
          <w:rFonts w:ascii="Times New Roman" w:hAnsi="Times New Roman" w:cs="Times New Roman"/>
          <w:b/>
          <w:sz w:val="24"/>
          <w:szCs w:val="24"/>
        </w:rPr>
        <w:t>3.1</w:t>
      </w:r>
      <w:r w:rsidRPr="00EA38DE">
        <w:rPr>
          <w:rFonts w:ascii="Times New Roman" w:hAnsi="Times New Roman" w:cs="Times New Roman"/>
          <w:b/>
          <w:sz w:val="24"/>
          <w:szCs w:val="24"/>
        </w:rPr>
        <w:tab/>
      </w:r>
      <w:r w:rsidR="00C66232" w:rsidRPr="00EA38DE">
        <w:rPr>
          <w:rFonts w:ascii="Times New Roman" w:hAnsi="Times New Roman" w:cs="Times New Roman"/>
          <w:b/>
          <w:sz w:val="24"/>
          <w:szCs w:val="24"/>
        </w:rPr>
        <w:t>Intr</w:t>
      </w:r>
      <w:r w:rsidR="009E0E31" w:rsidRPr="00EA38DE">
        <w:rPr>
          <w:rFonts w:ascii="Times New Roman" w:hAnsi="Times New Roman" w:cs="Times New Roman"/>
          <w:b/>
          <w:sz w:val="24"/>
          <w:szCs w:val="24"/>
        </w:rPr>
        <w:t>oduction</w:t>
      </w:r>
    </w:p>
    <w:p w14:paraId="7619F5ED" w14:textId="7CD92533" w:rsidR="009E0E31" w:rsidRPr="00EA38DE" w:rsidRDefault="009E0E31" w:rsidP="001371F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This chapter presents the methods and procedures that w</w:t>
      </w:r>
      <w:r w:rsidR="00FB2413" w:rsidRPr="00EA38DE">
        <w:rPr>
          <w:rFonts w:ascii="Times New Roman" w:hAnsi="Times New Roman" w:cs="Times New Roman"/>
          <w:sz w:val="24"/>
          <w:szCs w:val="24"/>
        </w:rPr>
        <w:t xml:space="preserve">as </w:t>
      </w:r>
      <w:r w:rsidRPr="00EA38DE">
        <w:rPr>
          <w:rFonts w:ascii="Times New Roman" w:hAnsi="Times New Roman" w:cs="Times New Roman"/>
          <w:sz w:val="24"/>
          <w:szCs w:val="24"/>
        </w:rPr>
        <w:t>used in this study. The various areas that were discussed here include, research design, population and sample size, sampling techniques, method of data collection, model specification, and operationalization of study variables, and method of data analysis.</w:t>
      </w:r>
    </w:p>
    <w:p w14:paraId="5CFC7819" w14:textId="06740130" w:rsidR="009E0E31" w:rsidRPr="00EA38DE" w:rsidRDefault="009E0E31" w:rsidP="00CB10A8">
      <w:pPr>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3.2</w:t>
      </w:r>
      <w:r w:rsidR="00B616F5" w:rsidRPr="00EA38DE">
        <w:rPr>
          <w:rFonts w:ascii="Times New Roman" w:hAnsi="Times New Roman" w:cs="Times New Roman"/>
          <w:b/>
          <w:sz w:val="24"/>
          <w:szCs w:val="24"/>
        </w:rPr>
        <w:tab/>
      </w:r>
      <w:r w:rsidRPr="00EA38DE">
        <w:rPr>
          <w:rFonts w:ascii="Times New Roman" w:hAnsi="Times New Roman" w:cs="Times New Roman"/>
          <w:b/>
          <w:sz w:val="24"/>
          <w:szCs w:val="24"/>
        </w:rPr>
        <w:t>Research Design</w:t>
      </w:r>
    </w:p>
    <w:p w14:paraId="0908EC88" w14:textId="77777777" w:rsidR="00CC514E" w:rsidRPr="00EA38DE" w:rsidRDefault="00CC514E" w:rsidP="00CC514E">
      <w:pPr>
        <w:spacing w:after="120" w:line="480" w:lineRule="auto"/>
        <w:jc w:val="both"/>
        <w:rPr>
          <w:rFonts w:ascii="Times New Roman" w:hAnsi="Times New Roman" w:cs="Times New Roman"/>
          <w:b/>
          <w:sz w:val="24"/>
          <w:szCs w:val="24"/>
        </w:rPr>
      </w:pPr>
      <w:r w:rsidRPr="00EA38DE">
        <w:rPr>
          <w:rFonts w:ascii="Times New Roman" w:hAnsi="Times New Roman" w:cs="Times New Roman"/>
          <w:sz w:val="24"/>
          <w:szCs w:val="24"/>
        </w:rPr>
        <w:t>This study adopts the time series research design. The rationalization for using this research design is based on the fact that a single country (Nigeria) is the focus of the study with analysis over a period of time. The time series analysis can also offer grounds to examine relationships between an outcome and explanatory variables. This effectively allows a researcher to establish the real sequence of events and also allow a researcher to gain insight into the cause-and-effect relationships between two or more variables. More so, this research design allows a researcher to source for a number of variables extending over a long period of time without necessarily influencing the outcomes of those variables due to the fact that the data already occurred and hence, are not manipulated.</w:t>
      </w:r>
    </w:p>
    <w:p w14:paraId="56E150A9" w14:textId="4FE56C0D" w:rsidR="009E0E31" w:rsidRPr="00EA38DE" w:rsidRDefault="009E0E31" w:rsidP="00CB10A8">
      <w:pPr>
        <w:shd w:val="clear" w:color="auto" w:fill="FFFFFF"/>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3.3</w:t>
      </w:r>
      <w:r w:rsidR="00B616F5" w:rsidRPr="00EA38DE">
        <w:rPr>
          <w:rFonts w:ascii="Times New Roman" w:hAnsi="Times New Roman" w:cs="Times New Roman"/>
          <w:b/>
          <w:sz w:val="24"/>
          <w:szCs w:val="24"/>
        </w:rPr>
        <w:tab/>
      </w:r>
      <w:r w:rsidRPr="00EA38DE">
        <w:rPr>
          <w:rFonts w:ascii="Times New Roman" w:hAnsi="Times New Roman" w:cs="Times New Roman"/>
          <w:b/>
          <w:sz w:val="24"/>
          <w:szCs w:val="24"/>
        </w:rPr>
        <w:t>Population and Sample Size</w:t>
      </w:r>
      <w:r w:rsidR="00F91E3D" w:rsidRPr="00EA38DE">
        <w:rPr>
          <w:rFonts w:ascii="Times New Roman" w:hAnsi="Times New Roman" w:cs="Times New Roman"/>
          <w:b/>
          <w:sz w:val="24"/>
          <w:szCs w:val="24"/>
        </w:rPr>
        <w:t xml:space="preserve"> of the Study</w:t>
      </w:r>
    </w:p>
    <w:p w14:paraId="53D9FDF4" w14:textId="77777777" w:rsidR="0045770F" w:rsidRPr="00EA38DE" w:rsidRDefault="0045770F" w:rsidP="0045770F">
      <w:pPr>
        <w:shd w:val="clear" w:color="auto" w:fill="FFFFFF"/>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study centered on the effect of exchange rate volatilities, and, blue economy on financial performance of shipping industry in Nigeria for the period 1990 to 2024. In view of this, the study population is the Nigerian shipping industry. The rationale for focusing this study on Nigeria lies not only in the scarcity of research on the subject within the Nigerian context but also in the </w:t>
      </w:r>
      <w:r w:rsidRPr="00EA38DE">
        <w:rPr>
          <w:rFonts w:ascii="Times New Roman" w:hAnsi="Times New Roman" w:cs="Times New Roman"/>
          <w:sz w:val="24"/>
          <w:szCs w:val="24"/>
        </w:rPr>
        <w:lastRenderedPageBreak/>
        <w:t>country's heavy reliance on oil exports as the primary source of revenue which takes place through the shipping industry. Also, the country relies heavily on imported goods and services as well which also occur in the shipping industry. Given the volatile nature of crude oil prices in the international markets and the volatile nature of import prices (most especially now that there is trade war affecting cost of imports and exports through rising tariff amongst the super powers in the global market place), it becomes essential to examine this issue within the Nigeria setting. Additionally, the Nigeria economy itself serves as the sample size as the study utilizes macroeconomic system wide variables, particularly in relation to the impact of exchange rate volatility and the proxies for blue economy. The population of the study is considered to be manageable and therefore, it was decided that the entire population should be studied. The population of the study therefore, is used as the sample.</w:t>
      </w:r>
    </w:p>
    <w:p w14:paraId="284920E7" w14:textId="13FFEF55" w:rsidR="009E0E31" w:rsidRPr="00EA38DE" w:rsidRDefault="009E0E31" w:rsidP="00CB10A8">
      <w:pPr>
        <w:spacing w:after="12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3.</w:t>
      </w:r>
      <w:r w:rsidR="000F5D19" w:rsidRPr="00EA38DE">
        <w:rPr>
          <w:rFonts w:ascii="Times New Roman" w:hAnsi="Times New Roman" w:cs="Times New Roman"/>
          <w:b/>
          <w:sz w:val="24"/>
          <w:szCs w:val="24"/>
        </w:rPr>
        <w:t>4</w:t>
      </w:r>
      <w:r w:rsidR="00A15C92" w:rsidRPr="00EA38DE">
        <w:rPr>
          <w:rFonts w:ascii="Times New Roman" w:hAnsi="Times New Roman" w:cs="Times New Roman"/>
          <w:b/>
          <w:sz w:val="24"/>
          <w:szCs w:val="24"/>
        </w:rPr>
        <w:tab/>
      </w:r>
      <w:r w:rsidR="00C75A3D" w:rsidRPr="00EA38DE">
        <w:rPr>
          <w:rFonts w:ascii="Times New Roman" w:hAnsi="Times New Roman" w:cs="Times New Roman"/>
          <w:b/>
          <w:sz w:val="24"/>
          <w:szCs w:val="24"/>
        </w:rPr>
        <w:t>Sources of Data</w:t>
      </w:r>
    </w:p>
    <w:p w14:paraId="18800600" w14:textId="31D2E7E8" w:rsidR="009E0E31" w:rsidRPr="00EA38DE" w:rsidRDefault="009E0E31" w:rsidP="00A45497">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Data for the study </w:t>
      </w:r>
      <w:r w:rsidR="008B00EC" w:rsidRPr="00EA38DE">
        <w:rPr>
          <w:rFonts w:ascii="Times New Roman" w:hAnsi="Times New Roman" w:cs="Times New Roman"/>
          <w:sz w:val="24"/>
          <w:szCs w:val="24"/>
        </w:rPr>
        <w:t>was</w:t>
      </w:r>
      <w:r w:rsidRPr="00EA38DE">
        <w:rPr>
          <w:rFonts w:ascii="Times New Roman" w:hAnsi="Times New Roman" w:cs="Times New Roman"/>
          <w:sz w:val="24"/>
          <w:szCs w:val="24"/>
        </w:rPr>
        <w:t xml:space="preserve"> sourced </w:t>
      </w:r>
      <w:r w:rsidR="00AB24BC" w:rsidRPr="00EA38DE">
        <w:rPr>
          <w:rFonts w:ascii="Times New Roman" w:hAnsi="Times New Roman" w:cs="Times New Roman"/>
          <w:sz w:val="24"/>
          <w:szCs w:val="24"/>
        </w:rPr>
        <w:t>from</w:t>
      </w:r>
      <w:r w:rsidRPr="00EA38DE">
        <w:rPr>
          <w:rFonts w:ascii="Times New Roman" w:hAnsi="Times New Roman" w:cs="Times New Roman"/>
          <w:sz w:val="24"/>
          <w:szCs w:val="24"/>
        </w:rPr>
        <w:t xml:space="preserve"> secondary source</w:t>
      </w:r>
      <w:r w:rsidR="00AB24BC" w:rsidRPr="00EA38DE">
        <w:rPr>
          <w:rFonts w:ascii="Times New Roman" w:hAnsi="Times New Roman" w:cs="Times New Roman"/>
          <w:sz w:val="24"/>
          <w:szCs w:val="24"/>
        </w:rPr>
        <w:t>s</w:t>
      </w:r>
      <w:r w:rsidRPr="00EA38DE">
        <w:rPr>
          <w:rFonts w:ascii="Times New Roman" w:hAnsi="Times New Roman" w:cs="Times New Roman"/>
          <w:sz w:val="24"/>
          <w:szCs w:val="24"/>
        </w:rPr>
        <w:t xml:space="preserve">. Specifically, the shipping industry </w:t>
      </w:r>
      <w:r w:rsidR="00C66232" w:rsidRPr="00EA38DE">
        <w:rPr>
          <w:rFonts w:ascii="Times New Roman" w:hAnsi="Times New Roman" w:cs="Times New Roman"/>
          <w:sz w:val="24"/>
          <w:szCs w:val="24"/>
        </w:rPr>
        <w:t xml:space="preserve">financial </w:t>
      </w:r>
      <w:r w:rsidRPr="00EA38DE">
        <w:rPr>
          <w:rFonts w:ascii="Times New Roman" w:hAnsi="Times New Roman" w:cs="Times New Roman"/>
          <w:sz w:val="24"/>
          <w:szCs w:val="24"/>
        </w:rPr>
        <w:t>performance data,</w:t>
      </w:r>
      <w:r w:rsidR="00D7028A" w:rsidRPr="00EA38DE">
        <w:rPr>
          <w:rFonts w:ascii="Times New Roman" w:hAnsi="Times New Roman" w:cs="Times New Roman"/>
          <w:sz w:val="24"/>
          <w:szCs w:val="24"/>
        </w:rPr>
        <w:t xml:space="preserve"> blue economy</w:t>
      </w:r>
      <w:r w:rsidR="00825472" w:rsidRPr="00EA38DE">
        <w:rPr>
          <w:rFonts w:ascii="Times New Roman" w:hAnsi="Times New Roman" w:cs="Times New Roman"/>
          <w:sz w:val="24"/>
          <w:szCs w:val="24"/>
        </w:rPr>
        <w:t xml:space="preserve"> data,</w:t>
      </w:r>
      <w:r w:rsidRPr="00EA38DE">
        <w:rPr>
          <w:rFonts w:ascii="Times New Roman" w:hAnsi="Times New Roman" w:cs="Times New Roman"/>
          <w:sz w:val="24"/>
          <w:szCs w:val="24"/>
        </w:rPr>
        <w:t xml:space="preserve"> inflation</w:t>
      </w:r>
      <w:r w:rsidR="00090828" w:rsidRPr="00EA38DE">
        <w:rPr>
          <w:rFonts w:ascii="Times New Roman" w:hAnsi="Times New Roman" w:cs="Times New Roman"/>
          <w:sz w:val="24"/>
          <w:szCs w:val="24"/>
        </w:rPr>
        <w:t xml:space="preserve"> rate</w:t>
      </w:r>
      <w:r w:rsidR="00F8473A" w:rsidRPr="00EA38DE">
        <w:rPr>
          <w:rFonts w:ascii="Times New Roman" w:hAnsi="Times New Roman" w:cs="Times New Roman"/>
          <w:sz w:val="24"/>
          <w:szCs w:val="24"/>
        </w:rPr>
        <w:t>,</w:t>
      </w:r>
      <w:r w:rsidRPr="00EA38DE">
        <w:rPr>
          <w:rFonts w:ascii="Times New Roman" w:hAnsi="Times New Roman" w:cs="Times New Roman"/>
          <w:sz w:val="24"/>
          <w:szCs w:val="24"/>
        </w:rPr>
        <w:t xml:space="preserve"> </w:t>
      </w:r>
      <w:r w:rsidR="00090828" w:rsidRPr="00EA38DE">
        <w:rPr>
          <w:rFonts w:ascii="Times New Roman" w:hAnsi="Times New Roman" w:cs="Times New Roman"/>
          <w:sz w:val="24"/>
          <w:szCs w:val="24"/>
        </w:rPr>
        <w:t>trade freedom, and labour force</w:t>
      </w:r>
      <w:r w:rsidRPr="00EA38DE">
        <w:rPr>
          <w:rFonts w:ascii="Times New Roman" w:hAnsi="Times New Roman" w:cs="Times New Roman"/>
          <w:sz w:val="24"/>
          <w:szCs w:val="24"/>
        </w:rPr>
        <w:t xml:space="preserve"> </w:t>
      </w:r>
      <w:r w:rsidR="000456EE" w:rsidRPr="00EA38DE">
        <w:rPr>
          <w:rFonts w:ascii="Times New Roman" w:hAnsi="Times New Roman" w:cs="Times New Roman"/>
          <w:sz w:val="24"/>
          <w:szCs w:val="24"/>
        </w:rPr>
        <w:t>were</w:t>
      </w:r>
      <w:r w:rsidRPr="00EA38DE">
        <w:rPr>
          <w:rFonts w:ascii="Times New Roman" w:hAnsi="Times New Roman" w:cs="Times New Roman"/>
          <w:sz w:val="24"/>
          <w:szCs w:val="24"/>
        </w:rPr>
        <w:t xml:space="preserve"> sourced from both the</w:t>
      </w:r>
      <w:r w:rsidR="00AF0AD0" w:rsidRPr="00EA38DE">
        <w:rPr>
          <w:rFonts w:ascii="Times New Roman" w:hAnsi="Times New Roman" w:cs="Times New Roman"/>
          <w:sz w:val="24"/>
          <w:szCs w:val="24"/>
        </w:rPr>
        <w:t xml:space="preserve"> </w:t>
      </w:r>
      <w:r w:rsidR="00234357" w:rsidRPr="00EA38DE">
        <w:rPr>
          <w:rFonts w:ascii="Times New Roman" w:hAnsi="Times New Roman" w:cs="Times New Roman"/>
          <w:sz w:val="24"/>
          <w:szCs w:val="24"/>
        </w:rPr>
        <w:t>World Bank</w:t>
      </w:r>
      <w:r w:rsidRPr="00EA38DE">
        <w:rPr>
          <w:rFonts w:ascii="Times New Roman" w:hAnsi="Times New Roman" w:cs="Times New Roman"/>
          <w:sz w:val="24"/>
          <w:szCs w:val="24"/>
        </w:rPr>
        <w:t xml:space="preserve"> d</w:t>
      </w:r>
      <w:r w:rsidR="008E4B69" w:rsidRPr="00EA38DE">
        <w:rPr>
          <w:rFonts w:ascii="Times New Roman" w:hAnsi="Times New Roman" w:cs="Times New Roman"/>
          <w:sz w:val="24"/>
          <w:szCs w:val="24"/>
        </w:rPr>
        <w:t>evelopment Indicator</w:t>
      </w:r>
      <w:r w:rsidRPr="00EA38DE">
        <w:rPr>
          <w:rFonts w:ascii="Times New Roman" w:hAnsi="Times New Roman" w:cs="Times New Roman"/>
          <w:sz w:val="24"/>
          <w:szCs w:val="24"/>
        </w:rPr>
        <w:t xml:space="preserve"> and the Central Bank of Nigeria </w:t>
      </w:r>
      <w:r w:rsidR="00E215FA" w:rsidRPr="00EA38DE">
        <w:rPr>
          <w:rFonts w:ascii="Times New Roman" w:hAnsi="Times New Roman" w:cs="Times New Roman"/>
          <w:sz w:val="24"/>
          <w:szCs w:val="24"/>
        </w:rPr>
        <w:t>S</w:t>
      </w:r>
      <w:r w:rsidRPr="00EA38DE">
        <w:rPr>
          <w:rFonts w:ascii="Times New Roman" w:hAnsi="Times New Roman" w:cs="Times New Roman"/>
          <w:sz w:val="24"/>
          <w:szCs w:val="24"/>
        </w:rPr>
        <w:t xml:space="preserve">tatistical </w:t>
      </w:r>
      <w:r w:rsidR="00E215FA" w:rsidRPr="00EA38DE">
        <w:rPr>
          <w:rFonts w:ascii="Times New Roman" w:hAnsi="Times New Roman" w:cs="Times New Roman"/>
          <w:sz w:val="24"/>
          <w:szCs w:val="24"/>
        </w:rPr>
        <w:t>B</w:t>
      </w:r>
      <w:r w:rsidRPr="00EA38DE">
        <w:rPr>
          <w:rFonts w:ascii="Times New Roman" w:hAnsi="Times New Roman" w:cs="Times New Roman"/>
          <w:sz w:val="24"/>
          <w:szCs w:val="24"/>
        </w:rPr>
        <w:t xml:space="preserve">ulletin for the year </w:t>
      </w:r>
      <w:r w:rsidR="003429DA" w:rsidRPr="00EA38DE">
        <w:rPr>
          <w:rFonts w:ascii="Times New Roman" w:hAnsi="Times New Roman" w:cs="Times New Roman"/>
          <w:sz w:val="24"/>
          <w:szCs w:val="24"/>
        </w:rPr>
        <w:t>199</w:t>
      </w:r>
      <w:r w:rsidR="00DF4A13" w:rsidRPr="00EA38DE">
        <w:rPr>
          <w:rFonts w:ascii="Times New Roman" w:hAnsi="Times New Roman" w:cs="Times New Roman"/>
          <w:sz w:val="24"/>
          <w:szCs w:val="24"/>
        </w:rPr>
        <w:t>0</w:t>
      </w:r>
      <w:r w:rsidR="003429DA" w:rsidRPr="00EA38DE">
        <w:rPr>
          <w:rFonts w:ascii="Times New Roman" w:hAnsi="Times New Roman" w:cs="Times New Roman"/>
          <w:sz w:val="24"/>
          <w:szCs w:val="24"/>
        </w:rPr>
        <w:t xml:space="preserve"> to</w:t>
      </w:r>
      <w:r w:rsidRPr="00EA38DE">
        <w:rPr>
          <w:rFonts w:ascii="Times New Roman" w:hAnsi="Times New Roman" w:cs="Times New Roman"/>
          <w:sz w:val="24"/>
          <w:szCs w:val="24"/>
        </w:rPr>
        <w:t xml:space="preserve"> 202</w:t>
      </w:r>
      <w:r w:rsidR="001945DB" w:rsidRPr="00EA38DE">
        <w:rPr>
          <w:rFonts w:ascii="Times New Roman" w:hAnsi="Times New Roman" w:cs="Times New Roman"/>
          <w:sz w:val="24"/>
          <w:szCs w:val="24"/>
        </w:rPr>
        <w:t>4</w:t>
      </w:r>
      <w:r w:rsidRPr="00EA38DE">
        <w:rPr>
          <w:rFonts w:ascii="Times New Roman" w:hAnsi="Times New Roman" w:cs="Times New Roman"/>
          <w:sz w:val="24"/>
          <w:szCs w:val="24"/>
        </w:rPr>
        <w:t>.</w:t>
      </w:r>
      <w:r w:rsidR="007D6BA6" w:rsidRPr="00EA38DE">
        <w:rPr>
          <w:rFonts w:ascii="Times New Roman" w:hAnsi="Times New Roman" w:cs="Times New Roman"/>
          <w:sz w:val="24"/>
          <w:szCs w:val="24"/>
        </w:rPr>
        <w:t xml:space="preserve"> Meanwhile</w:t>
      </w:r>
      <w:r w:rsidR="00475D11" w:rsidRPr="00EA38DE">
        <w:rPr>
          <w:rFonts w:ascii="Times New Roman" w:hAnsi="Times New Roman" w:cs="Times New Roman"/>
          <w:sz w:val="24"/>
          <w:szCs w:val="24"/>
        </w:rPr>
        <w:t>,</w:t>
      </w:r>
      <w:r w:rsidR="000456EE" w:rsidRPr="00EA38DE">
        <w:rPr>
          <w:rFonts w:ascii="Times New Roman" w:hAnsi="Times New Roman" w:cs="Times New Roman"/>
          <w:sz w:val="24"/>
          <w:szCs w:val="24"/>
        </w:rPr>
        <w:t xml:space="preserve"> </w:t>
      </w:r>
      <w:r w:rsidR="007D6BA6" w:rsidRPr="00EA38DE">
        <w:rPr>
          <w:rFonts w:ascii="Times New Roman" w:hAnsi="Times New Roman" w:cs="Times New Roman"/>
          <w:sz w:val="24"/>
          <w:szCs w:val="24"/>
        </w:rPr>
        <w:t xml:space="preserve">exchange rate </w:t>
      </w:r>
      <w:r w:rsidR="00475D11" w:rsidRPr="00EA38DE">
        <w:rPr>
          <w:rFonts w:ascii="Times New Roman" w:hAnsi="Times New Roman" w:cs="Times New Roman"/>
          <w:sz w:val="24"/>
          <w:szCs w:val="24"/>
        </w:rPr>
        <w:t>volatility</w:t>
      </w:r>
      <w:r w:rsidR="007D6BA6" w:rsidRPr="00EA38DE">
        <w:rPr>
          <w:rFonts w:ascii="Times New Roman" w:hAnsi="Times New Roman" w:cs="Times New Roman"/>
          <w:sz w:val="24"/>
          <w:szCs w:val="24"/>
        </w:rPr>
        <w:t xml:space="preserve"> </w:t>
      </w:r>
      <w:r w:rsidR="000456EE" w:rsidRPr="00EA38DE">
        <w:rPr>
          <w:rFonts w:ascii="Times New Roman" w:hAnsi="Times New Roman" w:cs="Times New Roman"/>
          <w:sz w:val="24"/>
          <w:szCs w:val="24"/>
        </w:rPr>
        <w:t>was</w:t>
      </w:r>
      <w:r w:rsidR="007D6BA6" w:rsidRPr="00EA38DE">
        <w:rPr>
          <w:rFonts w:ascii="Times New Roman" w:hAnsi="Times New Roman" w:cs="Times New Roman"/>
          <w:sz w:val="24"/>
          <w:szCs w:val="24"/>
        </w:rPr>
        <w:t xml:space="preserve"> derived using the GARGH (1,1) model.</w:t>
      </w:r>
      <w:r w:rsidRPr="00EA38DE">
        <w:rPr>
          <w:rFonts w:ascii="Times New Roman" w:hAnsi="Times New Roman" w:cs="Times New Roman"/>
          <w:sz w:val="24"/>
          <w:szCs w:val="24"/>
        </w:rPr>
        <w:t xml:space="preserve"> The</w:t>
      </w:r>
      <w:r w:rsidR="00D7028A" w:rsidRPr="00EA38DE">
        <w:rPr>
          <w:rFonts w:ascii="Times New Roman" w:hAnsi="Times New Roman" w:cs="Times New Roman"/>
          <w:sz w:val="24"/>
          <w:szCs w:val="24"/>
        </w:rPr>
        <w:t xml:space="preserve"> </w:t>
      </w:r>
      <w:r w:rsidRPr="00EA38DE">
        <w:rPr>
          <w:rFonts w:ascii="Times New Roman" w:hAnsi="Times New Roman" w:cs="Times New Roman"/>
          <w:sz w:val="24"/>
          <w:szCs w:val="24"/>
        </w:rPr>
        <w:t xml:space="preserve">shipping industry </w:t>
      </w:r>
      <w:r w:rsidR="00C66232" w:rsidRPr="00EA38DE">
        <w:rPr>
          <w:rFonts w:ascii="Times New Roman" w:hAnsi="Times New Roman" w:cs="Times New Roman"/>
          <w:sz w:val="24"/>
          <w:szCs w:val="24"/>
        </w:rPr>
        <w:t xml:space="preserve">financial </w:t>
      </w:r>
      <w:r w:rsidRPr="00EA38DE">
        <w:rPr>
          <w:rFonts w:ascii="Times New Roman" w:hAnsi="Times New Roman" w:cs="Times New Roman"/>
          <w:sz w:val="24"/>
          <w:szCs w:val="24"/>
        </w:rPr>
        <w:t xml:space="preserve">performance proxies </w:t>
      </w:r>
      <w:r w:rsidR="008E4B69" w:rsidRPr="00EA38DE">
        <w:rPr>
          <w:rFonts w:ascii="Times New Roman" w:hAnsi="Times New Roman" w:cs="Times New Roman"/>
          <w:sz w:val="24"/>
          <w:szCs w:val="24"/>
        </w:rPr>
        <w:t>whose data</w:t>
      </w:r>
      <w:r w:rsidRPr="00EA38DE">
        <w:rPr>
          <w:rFonts w:ascii="Times New Roman" w:hAnsi="Times New Roman" w:cs="Times New Roman"/>
          <w:sz w:val="24"/>
          <w:szCs w:val="24"/>
        </w:rPr>
        <w:t xml:space="preserve"> </w:t>
      </w:r>
      <w:r w:rsidR="000456EE" w:rsidRPr="00EA38DE">
        <w:rPr>
          <w:rFonts w:ascii="Times New Roman" w:hAnsi="Times New Roman" w:cs="Times New Roman"/>
          <w:sz w:val="24"/>
          <w:szCs w:val="24"/>
        </w:rPr>
        <w:t>were</w:t>
      </w:r>
      <w:r w:rsidRPr="00EA38DE">
        <w:rPr>
          <w:rFonts w:ascii="Times New Roman" w:hAnsi="Times New Roman" w:cs="Times New Roman"/>
          <w:sz w:val="24"/>
          <w:szCs w:val="24"/>
        </w:rPr>
        <w:t xml:space="preserve"> sourced are </w:t>
      </w:r>
      <w:r w:rsidRPr="00EA38DE">
        <w:rPr>
          <w:rFonts w:ascii="Times New Roman" w:eastAsia="Times New Roman" w:hAnsi="Times New Roman" w:cs="Times New Roman"/>
          <w:sz w:val="24"/>
          <w:szCs w:val="24"/>
        </w:rPr>
        <w:t>container throughput</w:t>
      </w:r>
      <w:r w:rsidR="00C66232" w:rsidRPr="00EA38DE">
        <w:rPr>
          <w:rFonts w:ascii="Times New Roman" w:eastAsia="Times New Roman" w:hAnsi="Times New Roman" w:cs="Times New Roman"/>
          <w:sz w:val="24"/>
          <w:szCs w:val="24"/>
        </w:rPr>
        <w:t xml:space="preserve"> revenue, shipping cost</w:t>
      </w:r>
      <w:r w:rsidR="00CD1A26" w:rsidRPr="00EA38DE">
        <w:rPr>
          <w:rFonts w:ascii="Times New Roman" w:eastAsia="Times New Roman" w:hAnsi="Times New Roman" w:cs="Times New Roman"/>
          <w:sz w:val="24"/>
          <w:szCs w:val="24"/>
        </w:rPr>
        <w:t>s</w:t>
      </w:r>
      <w:r w:rsidR="00C66232" w:rsidRPr="00EA38DE">
        <w:rPr>
          <w:rFonts w:ascii="Times New Roman" w:eastAsia="Times New Roman" w:hAnsi="Times New Roman" w:cs="Times New Roman"/>
          <w:sz w:val="24"/>
          <w:szCs w:val="24"/>
        </w:rPr>
        <w:t xml:space="preserve">, </w:t>
      </w:r>
      <w:r w:rsidR="003F08A9" w:rsidRPr="00EA38DE">
        <w:rPr>
          <w:rFonts w:ascii="Times New Roman" w:eastAsia="Times New Roman" w:hAnsi="Times New Roman" w:cs="Times New Roman"/>
          <w:sz w:val="24"/>
          <w:szCs w:val="24"/>
        </w:rPr>
        <w:t xml:space="preserve">and </w:t>
      </w:r>
      <w:r w:rsidR="00C66232" w:rsidRPr="00EA38DE">
        <w:rPr>
          <w:rFonts w:ascii="Times New Roman" w:eastAsia="Times New Roman" w:hAnsi="Times New Roman" w:cs="Times New Roman"/>
          <w:sz w:val="24"/>
          <w:szCs w:val="24"/>
        </w:rPr>
        <w:t>port revenue</w:t>
      </w:r>
      <w:r w:rsidR="00475D11" w:rsidRPr="00EA38DE">
        <w:rPr>
          <w:rFonts w:ascii="Times New Roman" w:eastAsia="Times New Roman" w:hAnsi="Times New Roman" w:cs="Times New Roman"/>
          <w:sz w:val="24"/>
          <w:szCs w:val="24"/>
        </w:rPr>
        <w:t>,</w:t>
      </w:r>
      <w:r w:rsidR="00812035" w:rsidRPr="00EA38DE">
        <w:rPr>
          <w:rFonts w:ascii="Times New Roman" w:eastAsia="Times New Roman" w:hAnsi="Times New Roman" w:cs="Times New Roman"/>
          <w:sz w:val="24"/>
          <w:szCs w:val="24"/>
        </w:rPr>
        <w:t xml:space="preserve"> </w:t>
      </w:r>
      <w:r w:rsidR="008639F8" w:rsidRPr="00EA38DE">
        <w:rPr>
          <w:rFonts w:ascii="Times New Roman" w:eastAsia="Times New Roman" w:hAnsi="Times New Roman" w:cs="Times New Roman"/>
          <w:sz w:val="24"/>
          <w:szCs w:val="24"/>
        </w:rPr>
        <w:t>while,</w:t>
      </w:r>
      <w:r w:rsidR="00D7028A" w:rsidRPr="00EA38DE">
        <w:rPr>
          <w:rFonts w:ascii="Times New Roman" w:eastAsia="Times New Roman" w:hAnsi="Times New Roman" w:cs="Times New Roman"/>
          <w:sz w:val="24"/>
          <w:szCs w:val="24"/>
        </w:rPr>
        <w:t xml:space="preserve"> blue economy proxies</w:t>
      </w:r>
      <w:r w:rsidR="000456EE" w:rsidRPr="00EA38DE">
        <w:rPr>
          <w:rFonts w:ascii="Times New Roman" w:eastAsia="Times New Roman" w:hAnsi="Times New Roman" w:cs="Times New Roman"/>
          <w:sz w:val="24"/>
          <w:szCs w:val="24"/>
        </w:rPr>
        <w:t xml:space="preserve"> that was</w:t>
      </w:r>
      <w:r w:rsidR="00E2189B" w:rsidRPr="00EA38DE">
        <w:rPr>
          <w:rFonts w:ascii="Times New Roman" w:eastAsia="Times New Roman" w:hAnsi="Times New Roman" w:cs="Times New Roman"/>
          <w:sz w:val="24"/>
          <w:szCs w:val="24"/>
        </w:rPr>
        <w:t xml:space="preserve"> sourced are</w:t>
      </w:r>
      <w:r w:rsidR="00D7028A" w:rsidRPr="00EA38DE">
        <w:rPr>
          <w:rFonts w:ascii="Times New Roman" w:eastAsia="Times New Roman" w:hAnsi="Times New Roman" w:cs="Times New Roman"/>
          <w:sz w:val="24"/>
          <w:szCs w:val="24"/>
        </w:rPr>
        <w:t xml:space="preserve"> fisheries, aquaculture, and </w:t>
      </w:r>
      <w:r w:rsidR="00384466" w:rsidRPr="00EA38DE">
        <w:rPr>
          <w:rFonts w:ascii="Times New Roman" w:eastAsia="Times New Roman" w:hAnsi="Times New Roman" w:cs="Times New Roman"/>
          <w:sz w:val="24"/>
          <w:szCs w:val="24"/>
        </w:rPr>
        <w:t>desalination. These</w:t>
      </w:r>
      <w:r w:rsidR="00D12860" w:rsidRPr="00EA38DE">
        <w:rPr>
          <w:rFonts w:ascii="Times New Roman" w:eastAsia="Times New Roman" w:hAnsi="Times New Roman" w:cs="Times New Roman"/>
          <w:sz w:val="24"/>
          <w:szCs w:val="24"/>
        </w:rPr>
        <w:t xml:space="preserve"> were</w:t>
      </w:r>
      <w:r w:rsidR="00C66232" w:rsidRPr="00EA38DE">
        <w:rPr>
          <w:rFonts w:ascii="Times New Roman" w:eastAsia="Times New Roman" w:hAnsi="Times New Roman" w:cs="Times New Roman"/>
          <w:sz w:val="24"/>
          <w:szCs w:val="24"/>
        </w:rPr>
        <w:t xml:space="preserve"> </w:t>
      </w:r>
      <w:r w:rsidR="007D6BA6" w:rsidRPr="00EA38DE">
        <w:rPr>
          <w:rFonts w:ascii="Times New Roman" w:hAnsi="Times New Roman" w:cs="Times New Roman"/>
          <w:sz w:val="24"/>
          <w:szCs w:val="24"/>
        </w:rPr>
        <w:t>controlled by</w:t>
      </w:r>
      <w:r w:rsidR="00E215FA" w:rsidRPr="00EA38DE">
        <w:rPr>
          <w:rFonts w:ascii="Times New Roman" w:hAnsi="Times New Roman" w:cs="Times New Roman"/>
          <w:sz w:val="24"/>
          <w:szCs w:val="24"/>
        </w:rPr>
        <w:t xml:space="preserve"> </w:t>
      </w:r>
      <w:r w:rsidRPr="00EA38DE">
        <w:rPr>
          <w:rFonts w:ascii="Times New Roman" w:hAnsi="Times New Roman" w:cs="Times New Roman"/>
          <w:sz w:val="24"/>
          <w:szCs w:val="24"/>
        </w:rPr>
        <w:t xml:space="preserve">inflation </w:t>
      </w:r>
      <w:r w:rsidR="00CA73E1" w:rsidRPr="00EA38DE">
        <w:rPr>
          <w:rFonts w:ascii="Times New Roman" w:hAnsi="Times New Roman" w:cs="Times New Roman"/>
          <w:sz w:val="24"/>
          <w:szCs w:val="24"/>
        </w:rPr>
        <w:t>rate</w:t>
      </w:r>
      <w:r w:rsidR="008E012D" w:rsidRPr="00EA38DE">
        <w:rPr>
          <w:rFonts w:ascii="Times New Roman" w:hAnsi="Times New Roman" w:cs="Times New Roman"/>
          <w:sz w:val="24"/>
          <w:szCs w:val="24"/>
        </w:rPr>
        <w:t xml:space="preserve">, </w:t>
      </w:r>
      <w:r w:rsidR="00E215FA" w:rsidRPr="00EA38DE">
        <w:rPr>
          <w:rFonts w:ascii="Times New Roman" w:hAnsi="Times New Roman" w:cs="Times New Roman"/>
          <w:sz w:val="24"/>
          <w:szCs w:val="24"/>
        </w:rPr>
        <w:t>trade freedom, and labour force</w:t>
      </w:r>
      <w:r w:rsidR="00CA73E1" w:rsidRPr="00EA38DE">
        <w:rPr>
          <w:rFonts w:ascii="Times New Roman" w:hAnsi="Times New Roman" w:cs="Times New Roman"/>
          <w:sz w:val="24"/>
          <w:szCs w:val="24"/>
        </w:rPr>
        <w:t xml:space="preserve"> respectively.</w:t>
      </w:r>
    </w:p>
    <w:p w14:paraId="292C9083" w14:textId="77777777" w:rsidR="00B77648" w:rsidRDefault="00B77648">
      <w:pPr>
        <w:rPr>
          <w:rFonts w:ascii="Times New Roman" w:hAnsi="Times New Roman" w:cs="Times New Roman"/>
          <w:b/>
          <w:sz w:val="24"/>
          <w:szCs w:val="24"/>
        </w:rPr>
      </w:pPr>
      <w:r>
        <w:rPr>
          <w:rFonts w:ascii="Times New Roman" w:hAnsi="Times New Roman" w:cs="Times New Roman"/>
          <w:b/>
          <w:sz w:val="24"/>
          <w:szCs w:val="24"/>
        </w:rPr>
        <w:br w:type="page"/>
      </w:r>
    </w:p>
    <w:p w14:paraId="3EA895AC" w14:textId="61E1A966" w:rsidR="00005992" w:rsidRPr="00EA38DE" w:rsidRDefault="00D45C8E" w:rsidP="00A45497">
      <w:pPr>
        <w:spacing w:line="480" w:lineRule="auto"/>
        <w:jc w:val="both"/>
        <w:rPr>
          <w:rFonts w:ascii="Times New Roman" w:hAnsi="Times New Roman" w:cs="Times New Roman"/>
          <w:b/>
          <w:sz w:val="24"/>
          <w:szCs w:val="24"/>
        </w:rPr>
      </w:pPr>
      <w:r w:rsidRPr="00EA38DE">
        <w:rPr>
          <w:rFonts w:ascii="Times New Roman" w:hAnsi="Times New Roman" w:cs="Times New Roman"/>
          <w:b/>
          <w:sz w:val="24"/>
          <w:szCs w:val="24"/>
        </w:rPr>
        <w:lastRenderedPageBreak/>
        <w:t>3.</w:t>
      </w:r>
      <w:r w:rsidR="000F5D19" w:rsidRPr="00EA38DE">
        <w:rPr>
          <w:rFonts w:ascii="Times New Roman" w:hAnsi="Times New Roman" w:cs="Times New Roman"/>
          <w:b/>
          <w:sz w:val="24"/>
          <w:szCs w:val="24"/>
        </w:rPr>
        <w:t>5</w:t>
      </w:r>
      <w:r w:rsidR="00A15C92" w:rsidRPr="00EA38DE">
        <w:rPr>
          <w:rFonts w:ascii="Times New Roman" w:hAnsi="Times New Roman" w:cs="Times New Roman"/>
          <w:b/>
          <w:sz w:val="24"/>
          <w:szCs w:val="24"/>
        </w:rPr>
        <w:tab/>
      </w:r>
      <w:r w:rsidR="00A5226D" w:rsidRPr="00EA38DE">
        <w:rPr>
          <w:rFonts w:ascii="Times New Roman" w:hAnsi="Times New Roman" w:cs="Times New Roman"/>
          <w:b/>
          <w:sz w:val="24"/>
          <w:szCs w:val="24"/>
        </w:rPr>
        <w:t>Theoretical Framework</w:t>
      </w:r>
    </w:p>
    <w:p w14:paraId="5088CFAE" w14:textId="5017B962" w:rsidR="00492153" w:rsidRPr="00EA38DE" w:rsidRDefault="00492153"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model specification is grounded in the </w:t>
      </w:r>
      <w:r w:rsidR="00ED4C3A" w:rsidRPr="00EA38DE">
        <w:rPr>
          <w:rFonts w:ascii="Times New Roman" w:eastAsia="Times New Roman" w:hAnsi="Times New Roman" w:cs="Times New Roman"/>
          <w:bCs/>
          <w:sz w:val="24"/>
          <w:szCs w:val="24"/>
        </w:rPr>
        <w:t>T</w:t>
      </w:r>
      <w:r w:rsidRPr="00EA38DE">
        <w:rPr>
          <w:rFonts w:ascii="Times New Roman" w:eastAsia="Times New Roman" w:hAnsi="Times New Roman" w:cs="Times New Roman"/>
          <w:bCs/>
          <w:sz w:val="24"/>
          <w:szCs w:val="24"/>
        </w:rPr>
        <w:t xml:space="preserve">raditional </w:t>
      </w:r>
      <w:r w:rsidR="00ED4C3A" w:rsidRPr="00EA38DE">
        <w:rPr>
          <w:rFonts w:ascii="Times New Roman" w:eastAsia="Times New Roman" w:hAnsi="Times New Roman" w:cs="Times New Roman"/>
          <w:bCs/>
          <w:sz w:val="24"/>
          <w:szCs w:val="24"/>
        </w:rPr>
        <w:t>F</w:t>
      </w:r>
      <w:r w:rsidRPr="00EA38DE">
        <w:rPr>
          <w:rFonts w:ascii="Times New Roman" w:eastAsia="Times New Roman" w:hAnsi="Times New Roman" w:cs="Times New Roman"/>
          <w:bCs/>
          <w:sz w:val="24"/>
          <w:szCs w:val="24"/>
        </w:rPr>
        <w:t xml:space="preserve">low </w:t>
      </w:r>
      <w:r w:rsidR="00ED4C3A" w:rsidRPr="00EA38DE">
        <w:rPr>
          <w:rFonts w:ascii="Times New Roman" w:eastAsia="Times New Roman" w:hAnsi="Times New Roman" w:cs="Times New Roman"/>
          <w:bCs/>
          <w:sz w:val="24"/>
          <w:szCs w:val="24"/>
        </w:rPr>
        <w:t>T</w:t>
      </w:r>
      <w:r w:rsidRPr="00EA38DE">
        <w:rPr>
          <w:rFonts w:ascii="Times New Roman" w:eastAsia="Times New Roman" w:hAnsi="Times New Roman" w:cs="Times New Roman"/>
          <w:bCs/>
          <w:sz w:val="24"/>
          <w:szCs w:val="24"/>
        </w:rPr>
        <w:t>heory</w:t>
      </w:r>
      <w:r w:rsidRPr="00EA38DE">
        <w:rPr>
          <w:rFonts w:ascii="Times New Roman" w:eastAsia="Times New Roman" w:hAnsi="Times New Roman" w:cs="Times New Roman"/>
          <w:sz w:val="24"/>
          <w:szCs w:val="24"/>
        </w:rPr>
        <w:t xml:space="preserve">, supported by the </w:t>
      </w:r>
      <w:r w:rsidRPr="00EA38DE">
        <w:rPr>
          <w:rFonts w:ascii="Times New Roman" w:eastAsia="Times New Roman" w:hAnsi="Times New Roman" w:cs="Times New Roman"/>
          <w:bCs/>
          <w:sz w:val="24"/>
          <w:szCs w:val="24"/>
        </w:rPr>
        <w:t>Balance of Payments (BoP) Theory</w:t>
      </w:r>
      <w:r w:rsidRPr="00EA38DE">
        <w:rPr>
          <w:rFonts w:ascii="Times New Roman" w:eastAsia="Times New Roman" w:hAnsi="Times New Roman" w:cs="Times New Roman"/>
          <w:sz w:val="24"/>
          <w:szCs w:val="24"/>
        </w:rPr>
        <w:t>, to analyze how exchange rate movements affect the blue economy and the financial performance of Nigeria’s ship</w:t>
      </w:r>
      <w:r w:rsidR="00DA4CCE" w:rsidRPr="00EA38DE">
        <w:rPr>
          <w:rFonts w:ascii="Times New Roman" w:eastAsia="Times New Roman" w:hAnsi="Times New Roman" w:cs="Times New Roman"/>
          <w:sz w:val="24"/>
          <w:szCs w:val="24"/>
        </w:rPr>
        <w:t xml:space="preserve">ping industry. The blue economy </w:t>
      </w:r>
      <w:r w:rsidRPr="00EA38DE">
        <w:rPr>
          <w:rFonts w:ascii="Times New Roman" w:eastAsia="Times New Roman" w:hAnsi="Times New Roman" w:cs="Times New Roman"/>
          <w:sz w:val="24"/>
          <w:szCs w:val="24"/>
        </w:rPr>
        <w:t>which includes fisheries, aquaculture, mari</w:t>
      </w:r>
      <w:r w:rsidR="00DA4CCE" w:rsidRPr="00EA38DE">
        <w:rPr>
          <w:rFonts w:ascii="Times New Roman" w:eastAsia="Times New Roman" w:hAnsi="Times New Roman" w:cs="Times New Roman"/>
          <w:sz w:val="24"/>
          <w:szCs w:val="24"/>
        </w:rPr>
        <w:t xml:space="preserve">ne tourism, and offshore energy </w:t>
      </w:r>
      <w:r w:rsidRPr="00EA38DE">
        <w:rPr>
          <w:rFonts w:ascii="Times New Roman" w:eastAsia="Times New Roman" w:hAnsi="Times New Roman" w:cs="Times New Roman"/>
          <w:sz w:val="24"/>
          <w:szCs w:val="24"/>
        </w:rPr>
        <w:t xml:space="preserve">is fundamentally dependent on international trade and the movement of goods and services, making it highly sensitive to </w:t>
      </w:r>
      <w:r w:rsidR="000B43FD"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xml:space="preserve"> in exchange rates.</w:t>
      </w:r>
    </w:p>
    <w:p w14:paraId="2B94297E" w14:textId="04C879A2" w:rsidR="00492153" w:rsidRPr="00EA38DE" w:rsidRDefault="00492153"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According to the </w:t>
      </w:r>
      <w:r w:rsidRPr="00EA38DE">
        <w:rPr>
          <w:rFonts w:ascii="Times New Roman" w:eastAsia="Times New Roman" w:hAnsi="Times New Roman" w:cs="Times New Roman"/>
          <w:bCs/>
          <w:sz w:val="24"/>
          <w:szCs w:val="24"/>
        </w:rPr>
        <w:t>Traditional Flow Theory</w:t>
      </w:r>
      <w:r w:rsidRPr="00EA38DE">
        <w:rPr>
          <w:rFonts w:ascii="Times New Roman" w:eastAsia="Times New Roman" w:hAnsi="Times New Roman" w:cs="Times New Roman"/>
          <w:sz w:val="24"/>
          <w:szCs w:val="24"/>
        </w:rPr>
        <w:t>, exchange rates respond to trade flows, particularly the balance between exports and imports. When Nigeria experiences trade deficits, the demand for foreign currency rises relative to supply, leading to depreciation of the naira. This depreciation increases the cost of importing shipping-related goods and services, such as maritime equipment</w:t>
      </w:r>
      <w:r w:rsidR="00DA4CCE" w:rsidRPr="00EA38DE">
        <w:rPr>
          <w:rFonts w:ascii="Times New Roman" w:eastAsia="Times New Roman" w:hAnsi="Times New Roman" w:cs="Times New Roman"/>
          <w:sz w:val="24"/>
          <w:szCs w:val="24"/>
        </w:rPr>
        <w:t xml:space="preserve">, port logistics, and insurance </w:t>
      </w:r>
      <w:r w:rsidRPr="00EA38DE">
        <w:rPr>
          <w:rFonts w:ascii="Times New Roman" w:eastAsia="Times New Roman" w:hAnsi="Times New Roman" w:cs="Times New Roman"/>
          <w:sz w:val="24"/>
          <w:szCs w:val="24"/>
        </w:rPr>
        <w:t xml:space="preserve">most of which are priced in foreign currencies. As these import costs rise, </w:t>
      </w:r>
      <w:r w:rsidRPr="00EA38DE">
        <w:rPr>
          <w:rFonts w:ascii="Times New Roman" w:eastAsia="Times New Roman" w:hAnsi="Times New Roman" w:cs="Times New Roman"/>
          <w:bCs/>
          <w:sz w:val="24"/>
          <w:szCs w:val="24"/>
        </w:rPr>
        <w:t>shipping costs (SHPC)</w:t>
      </w:r>
      <w:r w:rsidRPr="00EA38DE">
        <w:rPr>
          <w:rFonts w:ascii="Times New Roman" w:eastAsia="Times New Roman" w:hAnsi="Times New Roman" w:cs="Times New Roman"/>
          <w:sz w:val="24"/>
          <w:szCs w:val="24"/>
        </w:rPr>
        <w:t xml:space="preserve"> increase, which compresses profit margins and weakens the financial sustainability of shipping firms. At the same time, adverse exchange rate conditions can reduce </w:t>
      </w:r>
      <w:r w:rsidRPr="00EA38DE">
        <w:rPr>
          <w:rFonts w:ascii="Times New Roman" w:eastAsia="Times New Roman" w:hAnsi="Times New Roman" w:cs="Times New Roman"/>
          <w:bCs/>
          <w:sz w:val="24"/>
          <w:szCs w:val="24"/>
        </w:rPr>
        <w:t>container throughput revenue (CTP)</w:t>
      </w:r>
      <w:r w:rsidRPr="00EA38DE">
        <w:rPr>
          <w:rFonts w:ascii="Times New Roman" w:eastAsia="Times New Roman" w:hAnsi="Times New Roman" w:cs="Times New Roman"/>
          <w:sz w:val="24"/>
          <w:szCs w:val="24"/>
        </w:rPr>
        <w:t xml:space="preserve"> and </w:t>
      </w:r>
      <w:r w:rsidRPr="00EA38DE">
        <w:rPr>
          <w:rFonts w:ascii="Times New Roman" w:eastAsia="Times New Roman" w:hAnsi="Times New Roman" w:cs="Times New Roman"/>
          <w:bCs/>
          <w:sz w:val="24"/>
          <w:szCs w:val="24"/>
        </w:rPr>
        <w:t>port revenue (POR)</w:t>
      </w:r>
      <w:r w:rsidRPr="00EA38DE">
        <w:rPr>
          <w:rFonts w:ascii="Times New Roman" w:eastAsia="Times New Roman" w:hAnsi="Times New Roman" w:cs="Times New Roman"/>
          <w:sz w:val="24"/>
          <w:szCs w:val="24"/>
        </w:rPr>
        <w:t xml:space="preserve"> by discouraging trade volumes and amplifying operational uncertainty.</w:t>
      </w:r>
    </w:p>
    <w:p w14:paraId="6E089419" w14:textId="50BE9202" w:rsidR="00492153" w:rsidRPr="00EA38DE" w:rsidRDefault="00492153"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model captures these macroeconomic dynamics by regressing key shipping financial performance indicators including container throughput revenue, shipping costs, and port revenue on variables such as </w:t>
      </w:r>
      <w:r w:rsidRPr="00EA38DE">
        <w:rPr>
          <w:rFonts w:ascii="Times New Roman" w:eastAsia="Times New Roman" w:hAnsi="Times New Roman" w:cs="Times New Roman"/>
          <w:bCs/>
          <w:sz w:val="24"/>
          <w:szCs w:val="24"/>
        </w:rPr>
        <w:t>exchange rate (EXR)</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bCs/>
          <w:sz w:val="24"/>
          <w:szCs w:val="24"/>
        </w:rPr>
        <w:t>exchange rate-related risk factors (EXRF)</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bCs/>
          <w:sz w:val="24"/>
          <w:szCs w:val="24"/>
        </w:rPr>
        <w:t>inflation rate (IFR)</w:t>
      </w:r>
      <w:r w:rsidRPr="00EA38DE">
        <w:rPr>
          <w:rFonts w:ascii="Times New Roman" w:eastAsia="Times New Roman" w:hAnsi="Times New Roman" w:cs="Times New Roman"/>
          <w:sz w:val="24"/>
          <w:szCs w:val="24"/>
        </w:rPr>
        <w:t xml:space="preserve">, and other operational indicators. This approach reflects how fluctuations in trade flows, mediated through exchange rate </w:t>
      </w:r>
      <w:r w:rsidR="00011520" w:rsidRPr="00EA38DE">
        <w:rPr>
          <w:rFonts w:ascii="Times New Roman" w:eastAsia="Times New Roman" w:hAnsi="Times New Roman" w:cs="Times New Roman"/>
          <w:sz w:val="24"/>
          <w:szCs w:val="24"/>
        </w:rPr>
        <w:t>volatilitie</w:t>
      </w:r>
      <w:r w:rsidRPr="00EA38DE">
        <w:rPr>
          <w:rFonts w:ascii="Times New Roman" w:eastAsia="Times New Roman" w:hAnsi="Times New Roman" w:cs="Times New Roman"/>
          <w:sz w:val="24"/>
          <w:szCs w:val="24"/>
        </w:rPr>
        <w:t>s, directly affect the maritime trade and logistics sectors tied to the blue economy.</w:t>
      </w:r>
    </w:p>
    <w:p w14:paraId="5A266E4E" w14:textId="3BF470B9" w:rsidR="00492153" w:rsidRPr="00EA38DE" w:rsidRDefault="00492153"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Complementing this trade-focused framework, the </w:t>
      </w:r>
      <w:r w:rsidRPr="00EA38DE">
        <w:rPr>
          <w:rFonts w:ascii="Times New Roman" w:eastAsia="Times New Roman" w:hAnsi="Times New Roman" w:cs="Times New Roman"/>
          <w:bCs/>
          <w:sz w:val="24"/>
          <w:szCs w:val="24"/>
        </w:rPr>
        <w:t>Balance of Payments Theory</w:t>
      </w:r>
      <w:r w:rsidRPr="00EA38DE">
        <w:rPr>
          <w:rFonts w:ascii="Times New Roman" w:eastAsia="Times New Roman" w:hAnsi="Times New Roman" w:cs="Times New Roman"/>
          <w:sz w:val="24"/>
          <w:szCs w:val="24"/>
        </w:rPr>
        <w:t xml:space="preserve"> provides a broader macroeconomic explanation for exchange rate volatility in Niger</w:t>
      </w:r>
      <w:r w:rsidR="00DA4CCE" w:rsidRPr="00EA38DE">
        <w:rPr>
          <w:rFonts w:ascii="Times New Roman" w:eastAsia="Times New Roman" w:hAnsi="Times New Roman" w:cs="Times New Roman"/>
          <w:sz w:val="24"/>
          <w:szCs w:val="24"/>
        </w:rPr>
        <w:t xml:space="preserve">ia. Persistent trade imbalances </w:t>
      </w:r>
      <w:r w:rsidRPr="00EA38DE">
        <w:rPr>
          <w:rFonts w:ascii="Times New Roman" w:eastAsia="Times New Roman" w:hAnsi="Times New Roman" w:cs="Times New Roman"/>
          <w:sz w:val="24"/>
          <w:szCs w:val="24"/>
        </w:rPr>
        <w:t>particularly heavy reliance on imports and declining export revenues</w:t>
      </w:r>
      <w:r w:rsidR="00D76F43" w:rsidRPr="00EA38DE">
        <w:rPr>
          <w:rFonts w:ascii="Times New Roman" w:eastAsia="Times New Roman" w:hAnsi="Times New Roman" w:cs="Times New Roman"/>
          <w:sz w:val="24"/>
          <w:szCs w:val="24"/>
        </w:rPr>
        <w:t xml:space="preserve"> </w:t>
      </w:r>
      <w:r w:rsidR="003B28C9" w:rsidRPr="00EA38DE">
        <w:rPr>
          <w:rFonts w:ascii="Times New Roman" w:eastAsia="Times New Roman" w:hAnsi="Times New Roman" w:cs="Times New Roman"/>
          <w:sz w:val="24"/>
          <w:szCs w:val="24"/>
        </w:rPr>
        <w:t>exerts</w:t>
      </w:r>
      <w:r w:rsidRPr="00EA38DE">
        <w:rPr>
          <w:rFonts w:ascii="Times New Roman" w:eastAsia="Times New Roman" w:hAnsi="Times New Roman" w:cs="Times New Roman"/>
          <w:sz w:val="24"/>
          <w:szCs w:val="24"/>
        </w:rPr>
        <w:t xml:space="preserve"> downward pressure on the naira. This not only raises the cost of imported maritime inputs but also undermines the competitiveness of Nigerian exports, affecting shipping demand and financial outcomes across the sector.</w:t>
      </w:r>
    </w:p>
    <w:p w14:paraId="0F627D7B" w14:textId="2BC1BD6F" w:rsidR="00492153" w:rsidRPr="00EA38DE" w:rsidRDefault="00492153"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conclusion, the model is well-anchored in the Traditional Flow Theory, which explains the transmission of exchange rate volatility into the financial performance of the shipping industry via trade flow disruptions, rising costs, and declining revenues. This framework highlights how macroeconomic instability, expressed through exchange rate </w:t>
      </w:r>
      <w:r w:rsidR="00E83F8B" w:rsidRPr="00EA38DE">
        <w:rPr>
          <w:rFonts w:ascii="Times New Roman" w:eastAsia="Times New Roman" w:hAnsi="Times New Roman" w:cs="Times New Roman"/>
          <w:sz w:val="24"/>
          <w:szCs w:val="24"/>
        </w:rPr>
        <w:t xml:space="preserve">volatility </w:t>
      </w:r>
      <w:r w:rsidRPr="00EA38DE">
        <w:rPr>
          <w:rFonts w:ascii="Times New Roman" w:eastAsia="Times New Roman" w:hAnsi="Times New Roman" w:cs="Times New Roman"/>
          <w:sz w:val="24"/>
          <w:szCs w:val="24"/>
        </w:rPr>
        <w:t>and inflation dynamics, hampers the development of Nigeria’s blue economy by constraining maritime trade, reducing port activity, and weakening investment in shipping infrastructure.</w:t>
      </w:r>
    </w:p>
    <w:p w14:paraId="0272FDCD" w14:textId="1E0F59D6" w:rsidR="009E0E31" w:rsidRPr="00EA38DE" w:rsidRDefault="00D45C8E" w:rsidP="00A45497">
      <w:pPr>
        <w:spacing w:line="480" w:lineRule="auto"/>
        <w:jc w:val="both"/>
        <w:rPr>
          <w:rFonts w:ascii="Times New Roman" w:eastAsia="Times New Roman" w:hAnsi="Times New Roman" w:cs="Times New Roman"/>
          <w:b/>
          <w:spacing w:val="-6"/>
          <w:sz w:val="24"/>
          <w:szCs w:val="24"/>
        </w:rPr>
      </w:pPr>
      <w:r w:rsidRPr="00EA38DE">
        <w:rPr>
          <w:rFonts w:ascii="Times New Roman" w:eastAsia="Times New Roman" w:hAnsi="Times New Roman" w:cs="Times New Roman"/>
          <w:b/>
          <w:spacing w:val="-6"/>
          <w:sz w:val="24"/>
          <w:szCs w:val="24"/>
        </w:rPr>
        <w:t>3.</w:t>
      </w:r>
      <w:r w:rsidR="000F5D19" w:rsidRPr="00EA38DE">
        <w:rPr>
          <w:rFonts w:ascii="Times New Roman" w:eastAsia="Times New Roman" w:hAnsi="Times New Roman" w:cs="Times New Roman"/>
          <w:b/>
          <w:spacing w:val="-6"/>
          <w:sz w:val="24"/>
          <w:szCs w:val="24"/>
        </w:rPr>
        <w:t>6</w:t>
      </w:r>
      <w:r w:rsidR="00A15C92" w:rsidRPr="00EA38DE">
        <w:rPr>
          <w:rFonts w:ascii="Times New Roman" w:eastAsia="Times New Roman" w:hAnsi="Times New Roman" w:cs="Times New Roman"/>
          <w:b/>
          <w:spacing w:val="-6"/>
          <w:sz w:val="24"/>
          <w:szCs w:val="24"/>
        </w:rPr>
        <w:tab/>
      </w:r>
      <w:r w:rsidR="009E0E31" w:rsidRPr="00EA38DE">
        <w:rPr>
          <w:rFonts w:ascii="Times New Roman" w:eastAsia="Times New Roman" w:hAnsi="Times New Roman" w:cs="Times New Roman"/>
          <w:b/>
          <w:spacing w:val="-6"/>
          <w:sz w:val="24"/>
          <w:szCs w:val="24"/>
        </w:rPr>
        <w:t xml:space="preserve">Model Specification </w:t>
      </w:r>
    </w:p>
    <w:p w14:paraId="5A942D4A" w14:textId="2D031B09" w:rsidR="00584A7B" w:rsidRPr="00EA38DE" w:rsidRDefault="00584A7B" w:rsidP="00A45497">
      <w:pPr>
        <w:pStyle w:val="NormalWeb"/>
        <w:spacing w:before="0" w:beforeAutospacing="0" w:after="160" w:afterAutospacing="0" w:line="480" w:lineRule="auto"/>
        <w:jc w:val="both"/>
      </w:pPr>
      <w:r w:rsidRPr="00EA38DE">
        <w:t>I</w:t>
      </w:r>
      <w:r w:rsidR="009F4216" w:rsidRPr="00EA38DE">
        <w:t>n alignment with the study</w:t>
      </w:r>
      <w:r w:rsidRPr="00EA38DE">
        <w:t xml:space="preserve"> of </w:t>
      </w:r>
      <w:r w:rsidRPr="00EA38DE">
        <w:rPr>
          <w:rStyle w:val="Strong"/>
          <w:rFonts w:eastAsiaTheme="majorEastAsia"/>
          <w:b w:val="0"/>
        </w:rPr>
        <w:t>Kanu and Nwadiubu (2020)</w:t>
      </w:r>
      <w:r w:rsidRPr="00EA38DE">
        <w:rPr>
          <w:b/>
        </w:rPr>
        <w:t>,</w:t>
      </w:r>
      <w:r w:rsidRPr="00EA38DE">
        <w:t xml:space="preserve"> who examined</w:t>
      </w:r>
      <w:r w:rsidRPr="00EA38DE">
        <w:rPr>
          <w:i/>
          <w:iCs/>
        </w:rPr>
        <w:t xml:space="preserve"> </w:t>
      </w:r>
      <w:r w:rsidRPr="00EA38DE">
        <w:rPr>
          <w:rStyle w:val="Emphasis"/>
          <w:i w:val="0"/>
          <w:iCs w:val="0"/>
        </w:rPr>
        <w:t>Exchange Rate Volatility and International Trade in Nigeria</w:t>
      </w:r>
      <w:r w:rsidRPr="00EA38DE">
        <w:rPr>
          <w:i/>
          <w:iCs/>
        </w:rPr>
        <w:t>,</w:t>
      </w:r>
      <w:r w:rsidRPr="00EA38DE">
        <w:t xml:space="preserve"> this study retains the core analytical framework involving the regression of international trade components against exchange rate volatility and other relevant macroeconomic variables. Specifically, their model specified trade volume (TRADE VOL) as a function of the real effective exchange rate (REER), later decomposed into export and import trade components, as follows:</w:t>
      </w:r>
    </w:p>
    <w:p w14:paraId="019A4827" w14:textId="4D0E6564" w:rsidR="00584A7B" w:rsidRPr="00EA38DE" w:rsidRDefault="00584A7B" w:rsidP="00A45497">
      <w:pPr>
        <w:pStyle w:val="NormalWeb"/>
        <w:spacing w:before="0" w:beforeAutospacing="0" w:after="160" w:afterAutospacing="0" w:line="480" w:lineRule="auto"/>
        <w:jc w:val="both"/>
        <w:rPr>
          <w:b/>
        </w:rPr>
      </w:pPr>
      <w:r w:rsidRPr="00EA38DE">
        <w:rPr>
          <w:rStyle w:val="Strong"/>
          <w:rFonts w:eastAsiaTheme="majorEastAsia"/>
          <w:b w:val="0"/>
          <w:i/>
        </w:rPr>
        <w:t>E</w:t>
      </w:r>
      <w:r w:rsidR="003F31A5" w:rsidRPr="00EA38DE">
        <w:rPr>
          <w:rStyle w:val="Strong"/>
          <w:rFonts w:eastAsiaTheme="majorEastAsia"/>
          <w:b w:val="0"/>
          <w:i/>
        </w:rPr>
        <w:t>XPT</w:t>
      </w:r>
      <w:r w:rsidR="003F31A5" w:rsidRPr="00EA38DE">
        <w:rPr>
          <w:rStyle w:val="Strong"/>
          <w:rFonts w:eastAsiaTheme="majorEastAsia"/>
          <w:b w:val="0"/>
        </w:rPr>
        <w:t xml:space="preserve"> = </w:t>
      </w:r>
      <m:oMath>
        <m:sSub>
          <m:sSubPr>
            <m:ctrlPr>
              <w:rPr>
                <w:rFonts w:ascii="Cambria Math" w:eastAsia="SimSun" w:hAnsi="Cambria Math"/>
                <w:bCs/>
                <w:i/>
                <w:lang w:eastAsia="zh-CN"/>
              </w:rPr>
            </m:ctrlPr>
          </m:sSubPr>
          <m:e>
            <m:r>
              <w:rPr>
                <w:rFonts w:ascii="Cambria Math" w:hAnsi="Cambria Math"/>
              </w:rPr>
              <m:t>α</m:t>
            </m:r>
          </m:e>
          <m:sub>
            <m:r>
              <w:rPr>
                <w:rFonts w:ascii="Cambria Math" w:hAnsi="Cambria Math"/>
              </w:rPr>
              <m:t>0</m:t>
            </m:r>
          </m:sub>
        </m:sSub>
      </m:oMath>
      <w:r w:rsidRPr="00EA38DE">
        <w:rPr>
          <w:rStyle w:val="Strong"/>
          <w:rFonts w:eastAsiaTheme="majorEastAsia"/>
          <w:b w:val="0"/>
        </w:rPr>
        <w:t xml:space="preserve"> + </w:t>
      </w:r>
      <m:oMath>
        <m:sSub>
          <m:sSubPr>
            <m:ctrlPr>
              <w:rPr>
                <w:rFonts w:ascii="Cambria Math" w:eastAsia="SimSun" w:hAnsi="Cambria Math"/>
                <w:bCs/>
                <w:i/>
                <w:lang w:eastAsia="zh-CN"/>
              </w:rPr>
            </m:ctrlPr>
          </m:sSubPr>
          <m:e>
            <m:r>
              <w:rPr>
                <w:rFonts w:ascii="Cambria Math" w:hAnsi="Cambria Math"/>
              </w:rPr>
              <m:t>α</m:t>
            </m:r>
          </m:e>
          <m:sub>
            <m:r>
              <w:rPr>
                <w:rFonts w:ascii="Cambria Math" w:hAnsi="Cambria Math"/>
              </w:rPr>
              <m:t>1</m:t>
            </m:r>
          </m:sub>
        </m:sSub>
      </m:oMath>
      <w:r w:rsidRPr="00EA38DE">
        <w:rPr>
          <w:rStyle w:val="Strong"/>
          <w:rFonts w:eastAsiaTheme="majorEastAsia"/>
          <w:b w:val="0"/>
          <w:i/>
        </w:rPr>
        <w:t>REER</w:t>
      </w:r>
      <w:r w:rsidRPr="00EA38DE">
        <w:rPr>
          <w:rStyle w:val="Strong"/>
          <w:rFonts w:eastAsiaTheme="majorEastAsia"/>
          <w:b w:val="0"/>
        </w:rPr>
        <w:t xml:space="preserve"> + </w:t>
      </w:r>
      <m:oMath>
        <m:sSub>
          <m:sSubPr>
            <m:ctrlPr>
              <w:rPr>
                <w:rFonts w:ascii="Cambria Math" w:eastAsia="SimSun" w:hAnsi="Cambria Math"/>
                <w:bCs/>
                <w:i/>
                <w:lang w:eastAsia="zh-CN"/>
              </w:rPr>
            </m:ctrlPr>
          </m:sSubPr>
          <m:e>
            <m:r>
              <m:rPr>
                <m:sty m:val="p"/>
              </m:rPr>
              <w:rPr>
                <w:rStyle w:val="Strong"/>
                <w:rFonts w:ascii="Cambria Math" w:eastAsiaTheme="majorEastAsia" w:hAnsi="Cambria Math"/>
              </w:rPr>
              <m:t>e</m:t>
            </m:r>
          </m:e>
          <m:sub>
            <m:r>
              <w:rPr>
                <w:rFonts w:ascii="Cambria Math" w:hAnsi="Cambria Math"/>
              </w:rPr>
              <m:t>t</m:t>
            </m:r>
          </m:sub>
        </m:sSub>
      </m:oMath>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t xml:space="preserve">    </w:t>
      </w:r>
      <w:r w:rsidR="00BA740E" w:rsidRPr="00EA38DE">
        <w:rPr>
          <w:rStyle w:val="Strong"/>
          <w:rFonts w:eastAsiaTheme="majorEastAsia"/>
          <w:b w:val="0"/>
        </w:rPr>
        <w:t>(</w:t>
      </w:r>
      <w:r w:rsidR="00801708" w:rsidRPr="00EA38DE">
        <w:rPr>
          <w:rStyle w:val="Strong"/>
          <w:rFonts w:eastAsiaTheme="majorEastAsia"/>
          <w:b w:val="0"/>
        </w:rPr>
        <w:t>3.</w:t>
      </w:r>
      <w:r w:rsidR="00BA740E" w:rsidRPr="00EA38DE">
        <w:rPr>
          <w:rStyle w:val="Strong"/>
          <w:rFonts w:eastAsiaTheme="majorEastAsia"/>
          <w:b w:val="0"/>
        </w:rPr>
        <w:t>1)</w:t>
      </w:r>
    </w:p>
    <w:p w14:paraId="16CEB299" w14:textId="3CF09770" w:rsidR="00584A7B" w:rsidRPr="00EA38DE" w:rsidRDefault="00584A7B" w:rsidP="00A45497">
      <w:pPr>
        <w:pStyle w:val="NormalWeb"/>
        <w:spacing w:before="0" w:beforeAutospacing="0" w:after="160" w:afterAutospacing="0" w:line="480" w:lineRule="auto"/>
        <w:jc w:val="both"/>
        <w:rPr>
          <w:b/>
        </w:rPr>
      </w:pPr>
      <w:r w:rsidRPr="00EA38DE">
        <w:rPr>
          <w:rStyle w:val="Strong"/>
          <w:rFonts w:eastAsiaTheme="majorEastAsia"/>
          <w:b w:val="0"/>
          <w:i/>
        </w:rPr>
        <w:t xml:space="preserve">IMPT </w:t>
      </w:r>
      <w:r w:rsidRPr="00EA38DE">
        <w:rPr>
          <w:rStyle w:val="Strong"/>
          <w:rFonts w:eastAsiaTheme="majorEastAsia"/>
          <w:b w:val="0"/>
        </w:rPr>
        <w:t xml:space="preserve">= </w:t>
      </w:r>
      <m:oMath>
        <m:sSub>
          <m:sSubPr>
            <m:ctrlPr>
              <w:rPr>
                <w:rFonts w:ascii="Cambria Math" w:eastAsia="SimSun" w:hAnsi="Cambria Math"/>
                <w:bCs/>
                <w:i/>
                <w:lang w:eastAsia="zh-CN"/>
              </w:rPr>
            </m:ctrlPr>
          </m:sSubPr>
          <m:e>
            <m:r>
              <w:rPr>
                <w:rFonts w:ascii="Cambria Math" w:hAnsi="Cambria Math"/>
              </w:rPr>
              <m:t>α</m:t>
            </m:r>
          </m:e>
          <m:sub>
            <m:r>
              <w:rPr>
                <w:rFonts w:ascii="Cambria Math" w:hAnsi="Cambria Math"/>
              </w:rPr>
              <m:t>0</m:t>
            </m:r>
          </m:sub>
        </m:sSub>
      </m:oMath>
      <w:r w:rsidR="003F31A5" w:rsidRPr="00EA38DE">
        <w:rPr>
          <w:rStyle w:val="Strong"/>
          <w:rFonts w:eastAsiaTheme="majorEastAsia"/>
          <w:b w:val="0"/>
        </w:rPr>
        <w:t xml:space="preserve"> + </w:t>
      </w:r>
      <m:oMath>
        <m:sSub>
          <m:sSubPr>
            <m:ctrlPr>
              <w:rPr>
                <w:rFonts w:ascii="Cambria Math" w:eastAsia="SimSun" w:hAnsi="Cambria Math"/>
                <w:bCs/>
                <w:i/>
                <w:lang w:eastAsia="zh-CN"/>
              </w:rPr>
            </m:ctrlPr>
          </m:sSubPr>
          <m:e>
            <m:r>
              <w:rPr>
                <w:rFonts w:ascii="Cambria Math" w:hAnsi="Cambria Math"/>
              </w:rPr>
              <m:t>α</m:t>
            </m:r>
          </m:e>
          <m:sub>
            <m:r>
              <w:rPr>
                <w:rFonts w:ascii="Cambria Math" w:hAnsi="Cambria Math"/>
              </w:rPr>
              <m:t>1</m:t>
            </m:r>
          </m:sub>
        </m:sSub>
      </m:oMath>
      <w:r w:rsidR="003F31A5" w:rsidRPr="00EA38DE">
        <w:rPr>
          <w:rStyle w:val="Strong"/>
          <w:rFonts w:eastAsiaTheme="majorEastAsia"/>
          <w:b w:val="0"/>
          <w:i/>
        </w:rPr>
        <w:t>REER</w:t>
      </w:r>
      <w:r w:rsidR="003F31A5" w:rsidRPr="00EA38DE">
        <w:rPr>
          <w:rStyle w:val="Strong"/>
          <w:rFonts w:eastAsiaTheme="majorEastAsia"/>
          <w:b w:val="0"/>
        </w:rPr>
        <w:t xml:space="preserve"> + </w:t>
      </w:r>
      <m:oMath>
        <m:sSub>
          <m:sSubPr>
            <m:ctrlPr>
              <w:rPr>
                <w:rFonts w:ascii="Cambria Math" w:eastAsia="SimSun" w:hAnsi="Cambria Math"/>
                <w:bCs/>
                <w:i/>
                <w:lang w:eastAsia="zh-CN"/>
              </w:rPr>
            </m:ctrlPr>
          </m:sSubPr>
          <m:e>
            <m:r>
              <m:rPr>
                <m:sty m:val="p"/>
              </m:rPr>
              <w:rPr>
                <w:rStyle w:val="Strong"/>
                <w:rFonts w:ascii="Cambria Math" w:eastAsiaTheme="majorEastAsia" w:hAnsi="Cambria Math"/>
              </w:rPr>
              <m:t>e</m:t>
            </m:r>
          </m:e>
          <m:sub>
            <m:r>
              <w:rPr>
                <w:rFonts w:ascii="Cambria Math" w:hAnsi="Cambria Math"/>
              </w:rPr>
              <m:t>t</m:t>
            </m:r>
          </m:sub>
        </m:sSub>
      </m:oMath>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r>
      <w:r w:rsidR="00801708" w:rsidRPr="00EA38DE">
        <w:rPr>
          <w:rStyle w:val="Strong"/>
          <w:rFonts w:eastAsiaTheme="majorEastAsia"/>
          <w:b w:val="0"/>
        </w:rPr>
        <w:tab/>
        <w:t xml:space="preserve">  </w:t>
      </w:r>
      <w:r w:rsidR="004C7E13" w:rsidRPr="00EA38DE">
        <w:rPr>
          <w:rStyle w:val="Strong"/>
          <w:rFonts w:eastAsiaTheme="majorEastAsia"/>
          <w:b w:val="0"/>
        </w:rPr>
        <w:t xml:space="preserve"> (</w:t>
      </w:r>
      <w:r w:rsidR="00801708" w:rsidRPr="00EA38DE">
        <w:rPr>
          <w:rStyle w:val="Strong"/>
          <w:rFonts w:eastAsiaTheme="majorEastAsia"/>
          <w:b w:val="0"/>
        </w:rPr>
        <w:t>3.</w:t>
      </w:r>
      <w:r w:rsidR="00BA740E" w:rsidRPr="00EA38DE">
        <w:rPr>
          <w:rStyle w:val="Strong"/>
          <w:rFonts w:eastAsiaTheme="majorEastAsia"/>
          <w:b w:val="0"/>
        </w:rPr>
        <w:t>2)</w:t>
      </w:r>
    </w:p>
    <w:p w14:paraId="64B6A87D" w14:textId="77777777" w:rsidR="00B77648" w:rsidRDefault="00B77648" w:rsidP="00A45497">
      <w:pPr>
        <w:pStyle w:val="NormalWeb"/>
        <w:spacing w:before="0" w:beforeAutospacing="0" w:after="160" w:afterAutospacing="0" w:line="480" w:lineRule="auto"/>
        <w:jc w:val="both"/>
      </w:pPr>
    </w:p>
    <w:p w14:paraId="12A6546E" w14:textId="121C5A08" w:rsidR="00584A7B" w:rsidRPr="00EA38DE" w:rsidRDefault="00584A7B" w:rsidP="00A45497">
      <w:pPr>
        <w:pStyle w:val="NormalWeb"/>
        <w:spacing w:before="0" w:beforeAutospacing="0" w:after="160" w:afterAutospacing="0" w:line="480" w:lineRule="auto"/>
        <w:jc w:val="both"/>
      </w:pPr>
      <w:r w:rsidRPr="00EA38DE">
        <w:lastRenderedPageBreak/>
        <w:t>Where:</w:t>
      </w:r>
    </w:p>
    <w:p w14:paraId="1201AB76" w14:textId="77777777" w:rsidR="00584A7B" w:rsidRPr="00EA38DE" w:rsidRDefault="00584A7B" w:rsidP="00A45497">
      <w:pPr>
        <w:pStyle w:val="NormalWeb"/>
        <w:spacing w:before="0" w:beforeAutospacing="0" w:after="160" w:afterAutospacing="0" w:line="480" w:lineRule="auto"/>
        <w:ind w:firstLine="360"/>
        <w:jc w:val="both"/>
      </w:pPr>
      <w:r w:rsidRPr="00EA38DE">
        <w:rPr>
          <w:rStyle w:val="Strong"/>
          <w:rFonts w:eastAsiaTheme="majorEastAsia"/>
          <w:b w:val="0"/>
        </w:rPr>
        <w:t>EXPT</w:t>
      </w:r>
      <w:r w:rsidRPr="00EA38DE">
        <w:t xml:space="preserve"> = Growth rate of Export trade</w:t>
      </w:r>
    </w:p>
    <w:p w14:paraId="651B7F21" w14:textId="77777777" w:rsidR="00584A7B" w:rsidRPr="00EA38DE" w:rsidRDefault="00584A7B" w:rsidP="00A45497">
      <w:pPr>
        <w:pStyle w:val="NormalWeb"/>
        <w:spacing w:before="0" w:beforeAutospacing="0" w:after="160" w:afterAutospacing="0" w:line="480" w:lineRule="auto"/>
        <w:ind w:left="360"/>
        <w:jc w:val="both"/>
      </w:pPr>
      <w:r w:rsidRPr="00EA38DE">
        <w:rPr>
          <w:rStyle w:val="Strong"/>
          <w:rFonts w:eastAsiaTheme="majorEastAsia"/>
          <w:b w:val="0"/>
        </w:rPr>
        <w:t>IMPT</w:t>
      </w:r>
      <w:r w:rsidRPr="00EA38DE">
        <w:t xml:space="preserve"> = Growth rate of Import trade</w:t>
      </w:r>
    </w:p>
    <w:p w14:paraId="6AE91274" w14:textId="77777777" w:rsidR="00584A7B" w:rsidRPr="00EA38DE" w:rsidRDefault="00584A7B" w:rsidP="00A45497">
      <w:pPr>
        <w:pStyle w:val="NormalWeb"/>
        <w:spacing w:before="0" w:beforeAutospacing="0" w:after="160" w:afterAutospacing="0" w:line="480" w:lineRule="auto"/>
        <w:ind w:left="360"/>
        <w:jc w:val="both"/>
      </w:pPr>
      <w:r w:rsidRPr="00EA38DE">
        <w:rPr>
          <w:rStyle w:val="Strong"/>
          <w:rFonts w:eastAsiaTheme="majorEastAsia"/>
          <w:b w:val="0"/>
        </w:rPr>
        <w:t>REER</w:t>
      </w:r>
      <w:r w:rsidRPr="00EA38DE">
        <w:t xml:space="preserve"> = Real Effective Exchange Rate</w:t>
      </w:r>
    </w:p>
    <w:p w14:paraId="0A75DF3C" w14:textId="78339C11" w:rsidR="00584A7B" w:rsidRPr="00EA38DE" w:rsidRDefault="00584A7B" w:rsidP="00A45497">
      <w:pPr>
        <w:pStyle w:val="NormalWeb"/>
        <w:spacing w:before="0" w:beforeAutospacing="0" w:after="160" w:afterAutospacing="0" w:line="480" w:lineRule="auto"/>
        <w:ind w:left="360"/>
        <w:jc w:val="both"/>
      </w:pPr>
      <w:r w:rsidRPr="00EA38DE">
        <w:rPr>
          <w:rStyle w:val="Strong"/>
          <w:rFonts w:eastAsiaTheme="majorEastAsia"/>
        </w:rPr>
        <w:t>e</w:t>
      </w:r>
      <w:r w:rsidR="00A15C92" w:rsidRPr="00EA38DE">
        <w:rPr>
          <w:rStyle w:val="Strong"/>
          <w:rFonts w:eastAsiaTheme="majorEastAsia"/>
          <w:b w:val="0"/>
          <w:vertAlign w:val="subscript"/>
        </w:rPr>
        <w:t>t</w:t>
      </w:r>
      <w:r w:rsidRPr="00EA38DE">
        <w:t xml:space="preserve"> = Error term</w:t>
      </w:r>
    </w:p>
    <w:p w14:paraId="6701B445" w14:textId="77777777" w:rsidR="00584A7B" w:rsidRPr="00EA38DE" w:rsidRDefault="00584A7B" w:rsidP="00A45497">
      <w:pPr>
        <w:pStyle w:val="NormalWeb"/>
        <w:spacing w:before="0" w:beforeAutospacing="0" w:after="160" w:afterAutospacing="0" w:line="480" w:lineRule="auto"/>
        <w:jc w:val="both"/>
      </w:pPr>
      <w:r w:rsidRPr="00EA38DE">
        <w:t xml:space="preserve">However, the </w:t>
      </w:r>
      <w:r w:rsidRPr="00EA38DE">
        <w:rPr>
          <w:rStyle w:val="Strong"/>
          <w:rFonts w:eastAsiaTheme="majorEastAsia"/>
          <w:b w:val="0"/>
        </w:rPr>
        <w:t>present study diverges</w:t>
      </w:r>
      <w:r w:rsidRPr="00EA38DE">
        <w:t xml:space="preserve"> from this framework in a critical way: rather than analyzing aggregate international trade data (exports and imports), it focuses specifically on the </w:t>
      </w:r>
      <w:r w:rsidRPr="00EA38DE">
        <w:rPr>
          <w:rStyle w:val="Strong"/>
          <w:rFonts w:eastAsiaTheme="majorEastAsia"/>
          <w:b w:val="0"/>
        </w:rPr>
        <w:t>financial performance of the Nigerian shipping industry</w:t>
      </w:r>
      <w:r w:rsidRPr="00EA38DE">
        <w:rPr>
          <w:b/>
        </w:rPr>
        <w:t>.</w:t>
      </w:r>
      <w:r w:rsidRPr="00EA38DE">
        <w:t xml:space="preserve"> This performance is operationalized through three key dimensions:</w:t>
      </w:r>
    </w:p>
    <w:p w14:paraId="476DB31A" w14:textId="77777777" w:rsidR="00584A7B" w:rsidRPr="00EA38DE" w:rsidRDefault="00584A7B" w:rsidP="007B30AA">
      <w:pPr>
        <w:pStyle w:val="NormalWeb"/>
        <w:numPr>
          <w:ilvl w:val="0"/>
          <w:numId w:val="2"/>
        </w:numPr>
        <w:spacing w:before="0" w:beforeAutospacing="0" w:after="160" w:afterAutospacing="0" w:line="480" w:lineRule="auto"/>
        <w:jc w:val="both"/>
        <w:rPr>
          <w:b/>
        </w:rPr>
      </w:pPr>
      <w:r w:rsidRPr="00EA38DE">
        <w:rPr>
          <w:rStyle w:val="Strong"/>
          <w:rFonts w:eastAsiaTheme="majorEastAsia"/>
          <w:b w:val="0"/>
        </w:rPr>
        <w:t>Container Throughput Revenue (CTP)</w:t>
      </w:r>
    </w:p>
    <w:p w14:paraId="567CC5D5" w14:textId="77777777" w:rsidR="00584A7B" w:rsidRPr="00EA38DE" w:rsidRDefault="00584A7B" w:rsidP="007B30AA">
      <w:pPr>
        <w:pStyle w:val="NormalWeb"/>
        <w:numPr>
          <w:ilvl w:val="0"/>
          <w:numId w:val="2"/>
        </w:numPr>
        <w:spacing w:before="0" w:beforeAutospacing="0" w:after="160" w:afterAutospacing="0" w:line="480" w:lineRule="auto"/>
        <w:jc w:val="both"/>
        <w:rPr>
          <w:b/>
        </w:rPr>
      </w:pPr>
      <w:r w:rsidRPr="00EA38DE">
        <w:rPr>
          <w:rStyle w:val="Strong"/>
          <w:rFonts w:eastAsiaTheme="majorEastAsia"/>
          <w:b w:val="0"/>
        </w:rPr>
        <w:t>Shipping Costs (SHPC)</w:t>
      </w:r>
    </w:p>
    <w:p w14:paraId="0BBE70F9" w14:textId="77777777" w:rsidR="00584A7B" w:rsidRPr="00EA38DE" w:rsidRDefault="00584A7B" w:rsidP="007B30AA">
      <w:pPr>
        <w:pStyle w:val="NormalWeb"/>
        <w:numPr>
          <w:ilvl w:val="0"/>
          <w:numId w:val="2"/>
        </w:numPr>
        <w:spacing w:before="0" w:beforeAutospacing="0" w:after="160" w:afterAutospacing="0" w:line="480" w:lineRule="auto"/>
        <w:jc w:val="both"/>
      </w:pPr>
      <w:r w:rsidRPr="00EA38DE">
        <w:rPr>
          <w:rStyle w:val="Strong"/>
          <w:rFonts w:eastAsiaTheme="majorEastAsia"/>
          <w:b w:val="0"/>
        </w:rPr>
        <w:t>Port Revenue (POR)</w:t>
      </w:r>
    </w:p>
    <w:p w14:paraId="2400A5D9" w14:textId="5E3AE05D" w:rsidR="00584A7B" w:rsidRPr="00EA38DE" w:rsidRDefault="00584A7B" w:rsidP="00A45497">
      <w:pPr>
        <w:pStyle w:val="NormalWeb"/>
        <w:spacing w:before="0" w:beforeAutospacing="0" w:after="160" w:afterAutospacing="0" w:line="480" w:lineRule="auto"/>
        <w:jc w:val="both"/>
      </w:pPr>
      <w:r w:rsidRPr="00EA38DE">
        <w:t xml:space="preserve">To better capture the dynamic interactions between exchange rate variables and the shipping sector, these financial indicators are each regressed on a set of exchange rate-related explanatory variables. This approach results in </w:t>
      </w:r>
      <w:r w:rsidRPr="00EA38DE">
        <w:rPr>
          <w:rStyle w:val="Strong"/>
          <w:rFonts w:eastAsiaTheme="majorEastAsia"/>
          <w:b w:val="0"/>
        </w:rPr>
        <w:t>twelve distinct models</w:t>
      </w:r>
      <w:r w:rsidRPr="00EA38DE">
        <w:rPr>
          <w:b/>
        </w:rPr>
        <w:t>,</w:t>
      </w:r>
      <w:r w:rsidRPr="00EA38DE">
        <w:t xml:space="preserve"> grouped into four categories based on the nature of exchange rate volatility or </w:t>
      </w:r>
      <w:r w:rsidR="00801708" w:rsidRPr="00EA38DE">
        <w:t xml:space="preserve">blue economy </w:t>
      </w:r>
      <w:r w:rsidRPr="00EA38DE">
        <w:t xml:space="preserve">operational </w:t>
      </w:r>
      <w:r w:rsidR="00801708" w:rsidRPr="00EA38DE">
        <w:t>variable</w:t>
      </w:r>
      <w:r w:rsidRPr="00EA38DE">
        <w:t xml:space="preserve"> being considered</w:t>
      </w:r>
      <w:r w:rsidR="00801708" w:rsidRPr="00EA38DE">
        <w:t>.</w:t>
      </w:r>
    </w:p>
    <w:p w14:paraId="249D2DFD" w14:textId="77AE8D1D" w:rsidR="00743DC1" w:rsidRPr="00EA38DE" w:rsidRDefault="00743DC1" w:rsidP="00A45497">
      <w:pPr>
        <w:pStyle w:val="Heading3"/>
        <w:spacing w:before="0" w:beforeAutospacing="0" w:after="160" w:afterAutospacing="0" w:line="480" w:lineRule="auto"/>
        <w:jc w:val="both"/>
        <w:rPr>
          <w:sz w:val="24"/>
          <w:szCs w:val="24"/>
        </w:rPr>
      </w:pPr>
      <w:r w:rsidRPr="00EA38DE">
        <w:rPr>
          <w:rStyle w:val="Strong"/>
          <w:rFonts w:eastAsiaTheme="majorEastAsia"/>
          <w:b/>
          <w:bCs/>
          <w:sz w:val="24"/>
          <w:szCs w:val="24"/>
        </w:rPr>
        <w:t>3.</w:t>
      </w:r>
      <w:r w:rsidR="000F5D19" w:rsidRPr="00EA38DE">
        <w:rPr>
          <w:rStyle w:val="Strong"/>
          <w:rFonts w:eastAsiaTheme="majorEastAsia"/>
          <w:b/>
          <w:bCs/>
          <w:sz w:val="24"/>
          <w:szCs w:val="24"/>
        </w:rPr>
        <w:t>6</w:t>
      </w:r>
      <w:r w:rsidRPr="00EA38DE">
        <w:rPr>
          <w:rStyle w:val="Strong"/>
          <w:rFonts w:eastAsiaTheme="majorEastAsia"/>
          <w:b/>
          <w:bCs/>
          <w:sz w:val="24"/>
          <w:szCs w:val="24"/>
        </w:rPr>
        <w:t>.1</w:t>
      </w:r>
      <w:r w:rsidRPr="00EA38DE">
        <w:rPr>
          <w:rStyle w:val="Strong"/>
          <w:rFonts w:eastAsiaTheme="majorEastAsia"/>
          <w:b/>
          <w:bCs/>
          <w:sz w:val="24"/>
          <w:szCs w:val="24"/>
        </w:rPr>
        <w:tab/>
        <w:t>Justification for the Modification</w:t>
      </w:r>
    </w:p>
    <w:p w14:paraId="3CF9FACF" w14:textId="74EE8145" w:rsidR="00743DC1" w:rsidRPr="00EA38DE" w:rsidRDefault="00743DC1" w:rsidP="00A45497">
      <w:pPr>
        <w:pStyle w:val="NormalWeb"/>
        <w:spacing w:before="0" w:beforeAutospacing="0" w:after="160" w:afterAutospacing="0" w:line="480" w:lineRule="auto"/>
        <w:jc w:val="both"/>
      </w:pPr>
      <w:r w:rsidRPr="00EA38DE">
        <w:t>The modifications introduced in this study are primarily driven by the need to tailor the analytical framework to the specific dynamics of the shipping industry. While</w:t>
      </w:r>
      <w:r w:rsidR="00472DAF" w:rsidRPr="00EA38DE">
        <w:t>,</w:t>
      </w:r>
      <w:r w:rsidRPr="00EA38DE">
        <w:t xml:space="preserve"> Kanu and Nwadiubu</w:t>
      </w:r>
      <w:r w:rsidR="004C7E13" w:rsidRPr="00EA38DE">
        <w:t>,</w:t>
      </w:r>
      <w:r w:rsidRPr="00EA38DE">
        <w:t xml:space="preserve"> (2020) focused on general trade flows such as exports and imports, the present study concentrates on the </w:t>
      </w:r>
      <w:r w:rsidRPr="00EA38DE">
        <w:lastRenderedPageBreak/>
        <w:t xml:space="preserve">shipping industry a vital component of international trade logistics that is particularly sensitive to exchange rate </w:t>
      </w:r>
      <w:r w:rsidR="00062351" w:rsidRPr="00EA38DE">
        <w:t>volatilities</w:t>
      </w:r>
      <w:r w:rsidRPr="00EA38DE">
        <w:t>. This sector-specific approach necessitates a decomposition of financial performance into distinct operational indicators.</w:t>
      </w:r>
    </w:p>
    <w:p w14:paraId="36440045" w14:textId="449EDFAE" w:rsidR="00743DC1" w:rsidRPr="00EA38DE" w:rsidRDefault="00743DC1" w:rsidP="00A45497">
      <w:pPr>
        <w:pStyle w:val="NormalWeb"/>
        <w:spacing w:before="0" w:beforeAutospacing="0" w:after="160" w:afterAutospacing="0" w:line="480" w:lineRule="auto"/>
        <w:jc w:val="both"/>
      </w:pPr>
      <w:r w:rsidRPr="00EA38DE">
        <w:t>Furthermore, the study expands the set of explanatory variables beyond those used in the earlier model. The inclusion of Exchange Rate</w:t>
      </w:r>
      <w:r w:rsidR="00062351" w:rsidRPr="00EA38DE">
        <w:t xml:space="preserve"> Volatility</w:t>
      </w:r>
      <w:r w:rsidRPr="00EA38DE">
        <w:t xml:space="preserve"> (EXR</w:t>
      </w:r>
      <w:r w:rsidR="00062351" w:rsidRPr="00EA38DE">
        <w:t>V</w:t>
      </w:r>
      <w:r w:rsidRPr="00EA38DE">
        <w:t>), Fisheries (FSH), Aquaculture (AQT), and Desalination (DLNT) captures the diverse impacts of exchange rate volatility on the broader water-related sectors. Specifically, EXR</w:t>
      </w:r>
      <w:r w:rsidR="00062351" w:rsidRPr="00EA38DE">
        <w:t>V</w:t>
      </w:r>
      <w:r w:rsidRPr="00EA38DE">
        <w:t xml:space="preserve"> represents the direct effects of exchange rate </w:t>
      </w:r>
      <w:r w:rsidR="00062351" w:rsidRPr="00EA38DE">
        <w:t>volatility</w:t>
      </w:r>
      <w:r w:rsidRPr="00EA38DE">
        <w:t>; FSH reflects the sensitivity of fisheries to international market dynamics; AQT serves as an indicator of trade and production activity within aquaculture; and DLNT captures the influence of macroeconomic factors on the operational efficiency of desalination processes. In addition, the decomposition of financial performance</w:t>
      </w:r>
      <w:r w:rsidR="00801708" w:rsidRPr="00EA38DE">
        <w:t xml:space="preserve"> (the dependent variable)</w:t>
      </w:r>
      <w:r w:rsidRPr="00EA38DE">
        <w:t xml:space="preserve"> into</w:t>
      </w:r>
      <w:r w:rsidR="00801708" w:rsidRPr="00EA38DE">
        <w:t xml:space="preserve"> three distinct and unique dependent variables like</w:t>
      </w:r>
      <w:r w:rsidRPr="00EA38DE">
        <w:t xml:space="preserve"> Container Throughput Revenue (CTP), Shipping Costs (SHPC), and Port Revenue (POR) enhances the policy relevance of the study. This granularity provides practical insights for policymakers and stakeholders by identifying which specific components of the shipping sector are most affected by currency volatility and inflationary pressures.</w:t>
      </w:r>
    </w:p>
    <w:p w14:paraId="3274C34D" w14:textId="0AA0A8F3" w:rsidR="00743DC1" w:rsidRPr="00EA38DE" w:rsidRDefault="00743DC1" w:rsidP="00A45497">
      <w:pPr>
        <w:pStyle w:val="NormalWeb"/>
        <w:spacing w:before="0" w:beforeAutospacing="0" w:after="160" w:afterAutospacing="0" w:line="480" w:lineRule="auto"/>
        <w:jc w:val="both"/>
        <w:rPr>
          <w:b/>
        </w:rPr>
      </w:pPr>
      <w:r w:rsidRPr="00EA38DE">
        <w:rPr>
          <w:b/>
        </w:rPr>
        <w:t>3.</w:t>
      </w:r>
      <w:r w:rsidR="000F5D19" w:rsidRPr="00EA38DE">
        <w:rPr>
          <w:b/>
        </w:rPr>
        <w:t>7</w:t>
      </w:r>
      <w:r w:rsidRPr="00EA38DE">
        <w:rPr>
          <w:b/>
        </w:rPr>
        <w:tab/>
        <w:t>Estimation Technique</w:t>
      </w:r>
      <w:r w:rsidR="00911516" w:rsidRPr="00EA38DE">
        <w:rPr>
          <w:b/>
        </w:rPr>
        <w:t xml:space="preserve"> for Exchange </w:t>
      </w:r>
      <w:r w:rsidR="00A45497" w:rsidRPr="00EA38DE">
        <w:rPr>
          <w:b/>
        </w:rPr>
        <w:t xml:space="preserve">Rate </w:t>
      </w:r>
      <w:r w:rsidR="00D25B95" w:rsidRPr="00EA38DE">
        <w:rPr>
          <w:b/>
        </w:rPr>
        <w:t>Volatility</w:t>
      </w:r>
    </w:p>
    <w:p w14:paraId="5435AF94" w14:textId="27E3F69B" w:rsidR="0076110B" w:rsidRPr="00EA38DE" w:rsidRDefault="0076110B"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To determine the volatility of the naira exchange rate during the study period, this research </w:t>
      </w:r>
      <w:r w:rsidR="0025544C" w:rsidRPr="00EA38DE">
        <w:rPr>
          <w:rFonts w:ascii="Times New Roman" w:eastAsia="Times New Roman" w:hAnsi="Times New Roman" w:cs="Times New Roman"/>
          <w:sz w:val="24"/>
          <w:szCs w:val="24"/>
        </w:rPr>
        <w:t xml:space="preserve">will </w:t>
      </w:r>
      <w:r w:rsidR="007D6BA6" w:rsidRPr="00EA38DE">
        <w:rPr>
          <w:rFonts w:ascii="Times New Roman" w:eastAsia="Times New Roman" w:hAnsi="Times New Roman" w:cs="Times New Roman"/>
          <w:sz w:val="24"/>
          <w:szCs w:val="24"/>
        </w:rPr>
        <w:t>employ</w:t>
      </w:r>
      <w:r w:rsidRPr="00EA38DE">
        <w:rPr>
          <w:rFonts w:ascii="Times New Roman" w:eastAsia="Times New Roman" w:hAnsi="Times New Roman" w:cs="Times New Roman"/>
          <w:sz w:val="24"/>
          <w:szCs w:val="24"/>
        </w:rPr>
        <w:t xml:space="preserve"> the </w:t>
      </w:r>
      <w:r w:rsidRPr="00EA38DE">
        <w:rPr>
          <w:rFonts w:ascii="Times New Roman" w:eastAsia="Times New Roman" w:hAnsi="Times New Roman" w:cs="Times New Roman"/>
          <w:bCs/>
          <w:sz w:val="24"/>
          <w:szCs w:val="24"/>
        </w:rPr>
        <w:t>Generalized Autoregressive Conditional Heteroscedasticity (GARCH)</w:t>
      </w:r>
      <w:r w:rsidRPr="00EA38DE">
        <w:rPr>
          <w:rFonts w:ascii="Times New Roman" w:eastAsia="Times New Roman" w:hAnsi="Times New Roman" w:cs="Times New Roman"/>
          <w:sz w:val="24"/>
          <w:szCs w:val="24"/>
        </w:rPr>
        <w:t xml:space="preserve"> modeling framework. GARCH models are well-suited for capturing time-varying volatility in financial and macroeconomic time series, making them particularly appropriate for modeling exchange rate </w:t>
      </w:r>
      <w:r w:rsidR="007132BA" w:rsidRPr="00EA38DE">
        <w:rPr>
          <w:rFonts w:ascii="Times New Roman" w:eastAsia="Times New Roman" w:hAnsi="Times New Roman" w:cs="Times New Roman"/>
          <w:sz w:val="24"/>
          <w:szCs w:val="24"/>
        </w:rPr>
        <w:t>volatility</w:t>
      </w:r>
      <w:r w:rsidRPr="00EA38DE">
        <w:rPr>
          <w:rFonts w:ascii="Times New Roman" w:eastAsia="Times New Roman" w:hAnsi="Times New Roman" w:cs="Times New Roman"/>
          <w:sz w:val="24"/>
          <w:szCs w:val="24"/>
        </w:rPr>
        <w:t>, which are known to exhibit volatility clustering and leptokurtic distributional properties.</w:t>
      </w:r>
    </w:p>
    <w:p w14:paraId="68410C50" w14:textId="1B1882B7" w:rsidR="002A572A" w:rsidRPr="00EA38DE" w:rsidRDefault="0076110B" w:rsidP="002A572A">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Specifically, the study utilizes the </w:t>
      </w:r>
      <w:r w:rsidRPr="00EA38DE">
        <w:rPr>
          <w:rFonts w:ascii="Times New Roman" w:eastAsia="Times New Roman" w:hAnsi="Times New Roman" w:cs="Times New Roman"/>
          <w:bCs/>
          <w:sz w:val="24"/>
          <w:szCs w:val="24"/>
        </w:rPr>
        <w:t>GARCH</w:t>
      </w:r>
      <w:r w:rsidR="00814D50" w:rsidRPr="00EA38DE">
        <w:rPr>
          <w:rFonts w:ascii="Times New Roman" w:eastAsia="Times New Roman" w:hAnsi="Times New Roman" w:cs="Times New Roman"/>
          <w:bCs/>
          <w:sz w:val="24"/>
          <w:szCs w:val="24"/>
        </w:rPr>
        <w:t xml:space="preserve"> </w:t>
      </w:r>
      <w:r w:rsidRPr="00EA38DE">
        <w:rPr>
          <w:rFonts w:ascii="Times New Roman" w:eastAsia="Times New Roman" w:hAnsi="Times New Roman" w:cs="Times New Roman"/>
          <w:bCs/>
          <w:sz w:val="24"/>
          <w:szCs w:val="24"/>
        </w:rPr>
        <w:t>(1,1)</w:t>
      </w:r>
      <w:r w:rsidRPr="00EA38DE">
        <w:rPr>
          <w:rFonts w:ascii="Times New Roman" w:eastAsia="Times New Roman" w:hAnsi="Times New Roman" w:cs="Times New Roman"/>
          <w:sz w:val="24"/>
          <w:szCs w:val="24"/>
        </w:rPr>
        <w:t xml:space="preserve"> model, which is among the most commonly used specifications in volatility analysis due to its parsimonious structure and empirical robustness. The GARCH</w:t>
      </w:r>
      <w:r w:rsidR="00814D50"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(1,1) model is represented</w:t>
      </w:r>
      <w:r w:rsidR="00801708" w:rsidRPr="00EA38DE">
        <w:rPr>
          <w:rFonts w:ascii="Times New Roman" w:eastAsia="Times New Roman" w:hAnsi="Times New Roman" w:cs="Times New Roman"/>
          <w:sz w:val="24"/>
          <w:szCs w:val="24"/>
        </w:rPr>
        <w:t xml:space="preserve"> in equation (3.3, 3.4 &amp; 3.5)</w:t>
      </w:r>
    </w:p>
    <w:p w14:paraId="667DA6FC" w14:textId="6E315C8D" w:rsidR="002A572A" w:rsidRPr="00EA38DE" w:rsidRDefault="00BD75E9" w:rsidP="002A572A">
      <w:pPr>
        <w:spacing w:before="100" w:beforeAutospacing="1" w:line="480" w:lineRule="auto"/>
        <w:jc w:val="both"/>
        <w:rPr>
          <w:rFonts w:ascii="Times New Roman" w:eastAsiaTheme="minorEastAsia" w:hAnsi="Times New Roman" w:cs="Times New Roman"/>
          <w:bCs/>
          <w:sz w:val="24"/>
          <w:szCs w:val="24"/>
          <w:lang w:eastAsia="zh-CN"/>
        </w:rPr>
      </w:pPr>
      <m:oMath>
        <m:sSub>
          <m:sSubPr>
            <m:ctrlPr>
              <w:rPr>
                <w:rFonts w:ascii="Cambria Math" w:eastAsia="SimSun" w:hAnsi="Cambria Math" w:cs="Times New Roman"/>
                <w:bCs/>
                <w:i/>
                <w:sz w:val="24"/>
                <w:szCs w:val="24"/>
                <w:lang w:eastAsia="zh-CN"/>
              </w:rPr>
            </m:ctrlPr>
          </m:sSubPr>
          <m:e>
            <m:r>
              <w:rPr>
                <w:rFonts w:ascii="Cambria Math" w:hAnsi="Cambria Math" w:cs="Times New Roman"/>
                <w:sz w:val="24"/>
                <w:szCs w:val="24"/>
              </w:rPr>
              <m:t>r</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r>
          <w:rPr>
            <w:rStyle w:val="mord"/>
            <w:rFonts w:ascii="Cambria Math" w:hAnsi="Cambria Math" w:cs="Times New Roman"/>
            <w:sz w:val="24"/>
            <w:szCs w:val="24"/>
          </w:rPr>
          <m:t xml:space="preserve">μ+ </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t</m:t>
            </m:r>
          </m:sub>
        </m:sSub>
      </m:oMath>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t xml:space="preserve"> </w:t>
      </w:r>
      <w:r w:rsidR="004F404C" w:rsidRPr="00EA38DE">
        <w:rPr>
          <w:rFonts w:ascii="Times New Roman" w:eastAsiaTheme="minorEastAsia" w:hAnsi="Times New Roman" w:cs="Times New Roman"/>
          <w:bCs/>
          <w:sz w:val="24"/>
          <w:szCs w:val="24"/>
          <w:lang w:eastAsia="zh-CN"/>
        </w:rPr>
        <w:t>(</w:t>
      </w:r>
      <w:r w:rsidR="002A572A" w:rsidRPr="00EA38DE">
        <w:rPr>
          <w:rFonts w:ascii="Times New Roman" w:eastAsiaTheme="minorEastAsia" w:hAnsi="Times New Roman" w:cs="Times New Roman"/>
          <w:bCs/>
          <w:sz w:val="24"/>
          <w:szCs w:val="24"/>
          <w:lang w:eastAsia="zh-CN"/>
        </w:rPr>
        <w:t>3</w:t>
      </w:r>
      <w:r w:rsidR="00801708" w:rsidRPr="00EA38DE">
        <w:rPr>
          <w:rFonts w:ascii="Times New Roman" w:eastAsiaTheme="minorEastAsia" w:hAnsi="Times New Roman" w:cs="Times New Roman"/>
          <w:bCs/>
          <w:sz w:val="24"/>
          <w:szCs w:val="24"/>
          <w:lang w:eastAsia="zh-CN"/>
        </w:rPr>
        <w:t>.3</w:t>
      </w:r>
      <w:r w:rsidR="004F404C" w:rsidRPr="00EA38DE">
        <w:rPr>
          <w:rFonts w:ascii="Times New Roman" w:eastAsiaTheme="minorEastAsia" w:hAnsi="Times New Roman" w:cs="Times New Roman"/>
          <w:bCs/>
          <w:sz w:val="24"/>
          <w:szCs w:val="24"/>
          <w:lang w:eastAsia="zh-CN"/>
        </w:rPr>
        <w:t>)</w:t>
      </w:r>
    </w:p>
    <w:p w14:paraId="7D7C01DC" w14:textId="77777777" w:rsidR="002A572A" w:rsidRPr="00EA38DE" w:rsidRDefault="002A572A" w:rsidP="002A572A">
      <w:pPr>
        <w:spacing w:before="100" w:beforeAutospacing="1" w:line="480" w:lineRule="auto"/>
        <w:jc w:val="both"/>
        <w:rPr>
          <w:rFonts w:ascii="Times New Roman" w:eastAsiaTheme="minorEastAsia" w:hAnsi="Times New Roman" w:cs="Times New Roman"/>
          <w:bCs/>
          <w:sz w:val="24"/>
          <w:szCs w:val="24"/>
          <w:lang w:eastAsia="zh-CN"/>
        </w:rPr>
      </w:pPr>
      <w:r w:rsidRPr="00EA38DE">
        <w:rPr>
          <w:rFonts w:ascii="Times New Roman" w:eastAsiaTheme="minorEastAsia" w:hAnsi="Times New Roman" w:cs="Times New Roman"/>
          <w:bCs/>
          <w:sz w:val="24"/>
          <w:szCs w:val="24"/>
          <w:lang w:eastAsia="zh-CN"/>
        </w:rPr>
        <w:t>The equation implies that, t</w:t>
      </w:r>
      <w:r w:rsidRPr="00EA38DE">
        <w:rPr>
          <w:rFonts w:ascii="Times New Roman" w:eastAsia="Times New Roman" w:hAnsi="Times New Roman" w:cs="Times New Roman"/>
          <w:sz w:val="24"/>
          <w:szCs w:val="24"/>
        </w:rPr>
        <w:t xml:space="preserve">he return on the exchange rate at time </w:t>
      </w:r>
      <w:r w:rsidRPr="00EA38DE">
        <w:rPr>
          <w:rFonts w:ascii="Times New Roman" w:eastAsia="Times New Roman" w:hAnsi="Times New Roman" w:cs="Times New Roman"/>
          <w:b/>
          <w:bCs/>
          <w:sz w:val="24"/>
          <w:szCs w:val="24"/>
        </w:rPr>
        <w:t>t</w:t>
      </w:r>
      <w:r w:rsidRPr="00EA38DE">
        <w:rPr>
          <w:rFonts w:ascii="Times New Roman" w:eastAsia="Times New Roman" w:hAnsi="Times New Roman" w:cs="Times New Roman"/>
          <w:sz w:val="24"/>
          <w:szCs w:val="24"/>
        </w:rPr>
        <w:t xml:space="preserve"> (denoted as </w:t>
      </w:r>
      <m:oMath>
        <m:sSub>
          <m:sSubPr>
            <m:ctrlPr>
              <w:rPr>
                <w:rFonts w:ascii="Cambria Math" w:eastAsia="SimSun" w:hAnsi="Cambria Math" w:cs="Times New Roman"/>
                <w:bCs/>
                <w:i/>
                <w:sz w:val="24"/>
                <w:szCs w:val="24"/>
                <w:lang w:eastAsia="zh-CN"/>
              </w:rPr>
            </m:ctrlPr>
          </m:sSubPr>
          <m:e>
            <m:r>
              <w:rPr>
                <w:rFonts w:ascii="Cambria Math" w:hAnsi="Cambria Math" w:cs="Times New Roman"/>
                <w:sz w:val="24"/>
                <w:szCs w:val="24"/>
              </w:rPr>
              <m:t>r</m:t>
            </m:r>
          </m:e>
          <m:sub>
            <m:r>
              <w:rPr>
                <w:rFonts w:ascii="Cambria Math" w:hAnsi="Cambria Math" w:cs="Times New Roman"/>
                <w:sz w:val="24"/>
                <w:szCs w:val="24"/>
              </w:rPr>
              <m:t>t</m:t>
            </m:r>
          </m:sub>
        </m:sSub>
      </m:oMath>
      <w:r w:rsidRPr="00EA38DE">
        <w:rPr>
          <w:rFonts w:ascii="Times New Roman" w:eastAsia="Times New Roman" w:hAnsi="Times New Roman" w:cs="Times New Roman"/>
          <w:sz w:val="24"/>
          <w:szCs w:val="24"/>
        </w:rPr>
        <w:t>) is equal to a constant average return (μ) plus a random error term (ε_t), which represents the unpredictable fluctuations or shocks in the exchange rate at that time.</w:t>
      </w:r>
    </w:p>
    <w:p w14:paraId="19605FD7" w14:textId="77777777" w:rsidR="002A572A" w:rsidRPr="00EA38DE" w:rsidRDefault="002A572A" w:rsidP="002A572A">
      <w:pPr>
        <w:spacing w:before="100" w:beforeAutospacing="1" w:line="480" w:lineRule="auto"/>
        <w:jc w:val="both"/>
        <w:rPr>
          <w:rFonts w:ascii="Times New Roman" w:eastAsiaTheme="minorEastAsia" w:hAnsi="Times New Roman" w:cs="Times New Roman"/>
          <w:bCs/>
          <w:sz w:val="24"/>
          <w:szCs w:val="24"/>
          <w:lang w:eastAsia="zh-CN"/>
        </w:rPr>
      </w:pPr>
      <w:r w:rsidRPr="00EA38DE">
        <w:rPr>
          <w:rFonts w:ascii="Times New Roman" w:eastAsia="Times New Roman" w:hAnsi="Times New Roman" w:cs="Times New Roman"/>
          <w:sz w:val="24"/>
          <w:szCs w:val="24"/>
        </w:rPr>
        <w:t>In other words, the equation states that each period's return consists of a predictable part (the average return) and an unpredictable part (the random shock).</w:t>
      </w:r>
    </w:p>
    <w:p w14:paraId="1D8AE91C" w14:textId="5898488F" w:rsidR="002A572A" w:rsidRPr="00EA38DE" w:rsidRDefault="00BD75E9" w:rsidP="002A572A">
      <w:pPr>
        <w:spacing w:before="100" w:beforeAutospacing="1" w:line="480" w:lineRule="auto"/>
        <w:jc w:val="both"/>
        <w:rPr>
          <w:rFonts w:ascii="Times New Roman" w:eastAsia="Times New Roman" w:hAnsi="Times New Roman" w:cs="Times New Roman"/>
          <w:sz w:val="24"/>
          <w:szCs w:val="24"/>
          <w:lang w:eastAsia="zh-CN"/>
        </w:rPr>
      </w:pPr>
      <m:oMath>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t</m:t>
            </m:r>
          </m:sub>
        </m:sSub>
      </m:oMath>
      <w:r w:rsidR="002A572A" w:rsidRPr="00EA38DE">
        <w:rPr>
          <w:rFonts w:ascii="Cambria Math" w:eastAsia="Times New Roman" w:hAnsi="Cambria Math" w:cs="Cambria Math"/>
          <w:sz w:val="24"/>
          <w:szCs w:val="24"/>
        </w:rPr>
        <w:t>∼</w:t>
      </w:r>
      <w:r w:rsidR="002A572A" w:rsidRPr="00EA38DE">
        <w:rPr>
          <w:rFonts w:ascii="Times New Roman" w:eastAsia="Times New Roman" w:hAnsi="Times New Roman" w:cs="Times New Roman"/>
          <w:i/>
          <w:sz w:val="24"/>
          <w:szCs w:val="24"/>
        </w:rPr>
        <w:t>N</w:t>
      </w:r>
      <w:r w:rsidR="002A572A" w:rsidRPr="00EA38DE">
        <w:rPr>
          <w:rFonts w:ascii="Times New Roman" w:eastAsia="Times New Roman" w:hAnsi="Times New Roman" w:cs="Times New Roman"/>
          <w:sz w:val="24"/>
          <w:szCs w:val="24"/>
        </w:rPr>
        <w:t>(0,</w:t>
      </w:r>
      <m:oMath>
        <m:r>
          <w:rPr>
            <w:rFonts w:ascii="Cambria Math" w:eastAsia="SimSun" w:hAnsi="Cambria Math" w:cs="Times New Roman"/>
            <w:sz w:val="24"/>
            <w:szCs w:val="24"/>
            <w:lang w:eastAsia="zh-CN"/>
          </w:rPr>
          <m:t xml:space="preserve"> </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h</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oMath>
      <w:r w:rsidR="002A572A" w:rsidRPr="00EA38DE">
        <w:rPr>
          <w:rFonts w:ascii="Times New Roman" w:eastAsia="Times New Roman" w:hAnsi="Times New Roman" w:cs="Times New Roman"/>
          <w:sz w:val="24"/>
          <w:szCs w:val="24"/>
          <w:lang w:eastAsia="zh-CN"/>
        </w:rPr>
        <w:t>-</w:t>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2A572A" w:rsidRPr="00EA38DE">
        <w:rPr>
          <w:rFonts w:ascii="Times New Roman" w:eastAsia="Times New Roman" w:hAnsi="Times New Roman" w:cs="Times New Roman"/>
          <w:sz w:val="24"/>
          <w:szCs w:val="24"/>
          <w:lang w:eastAsia="zh-CN"/>
        </w:rPr>
        <w:tab/>
      </w:r>
      <w:r w:rsidR="004F404C" w:rsidRPr="00EA38DE">
        <w:rPr>
          <w:rFonts w:ascii="Times New Roman" w:eastAsia="Times New Roman" w:hAnsi="Times New Roman" w:cs="Times New Roman"/>
          <w:sz w:val="24"/>
          <w:szCs w:val="24"/>
          <w:lang w:eastAsia="zh-CN"/>
        </w:rPr>
        <w:t>(</w:t>
      </w:r>
      <w:r w:rsidR="002A572A" w:rsidRPr="00EA38DE">
        <w:rPr>
          <w:rFonts w:ascii="Times New Roman" w:eastAsia="Times New Roman" w:hAnsi="Times New Roman" w:cs="Times New Roman"/>
          <w:sz w:val="24"/>
          <w:szCs w:val="24"/>
          <w:lang w:eastAsia="zh-CN"/>
        </w:rPr>
        <w:t>3.</w:t>
      </w:r>
      <w:r w:rsidR="00801708" w:rsidRPr="00EA38DE">
        <w:rPr>
          <w:rFonts w:ascii="Times New Roman" w:eastAsia="Times New Roman" w:hAnsi="Times New Roman" w:cs="Times New Roman"/>
          <w:sz w:val="24"/>
          <w:szCs w:val="24"/>
          <w:lang w:eastAsia="zh-CN"/>
        </w:rPr>
        <w:t>4</w:t>
      </w:r>
      <w:r w:rsidR="004F404C" w:rsidRPr="00EA38DE">
        <w:rPr>
          <w:rFonts w:ascii="Times New Roman" w:eastAsia="Times New Roman" w:hAnsi="Times New Roman" w:cs="Times New Roman"/>
          <w:sz w:val="24"/>
          <w:szCs w:val="24"/>
          <w:lang w:eastAsia="zh-CN"/>
        </w:rPr>
        <w:t>)</w:t>
      </w:r>
    </w:p>
    <w:p w14:paraId="751D8600" w14:textId="47E27A8B" w:rsidR="002A572A" w:rsidRPr="00EA38DE" w:rsidRDefault="002A572A" w:rsidP="002A572A">
      <w:pPr>
        <w:spacing w:after="0" w:line="480" w:lineRule="auto"/>
        <w:jc w:val="both"/>
        <w:rPr>
          <w:rFonts w:ascii="Times New Roman" w:eastAsiaTheme="minorEastAsia" w:hAnsi="Times New Roman" w:cs="Times New Roman"/>
          <w:bCs/>
          <w:sz w:val="24"/>
          <w:szCs w:val="24"/>
          <w:lang w:eastAsia="zh-CN"/>
        </w:rPr>
      </w:pPr>
      <w:r w:rsidRPr="00EA38DE">
        <w:rPr>
          <w:rFonts w:ascii="Times New Roman" w:hAnsi="Times New Roman" w:cs="Times New Roman"/>
          <w:sz w:val="24"/>
          <w:szCs w:val="24"/>
        </w:rPr>
        <w:t xml:space="preserve">The error term </w:t>
      </w:r>
      <m:oMath>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t</m:t>
            </m:r>
          </m:sub>
        </m:sSub>
      </m:oMath>
      <w:r w:rsidRPr="00EA38DE">
        <w:rPr>
          <w:rFonts w:ascii="Times New Roman" w:hAnsi="Times New Roman" w:cs="Times New Roman"/>
          <w:sz w:val="24"/>
          <w:szCs w:val="24"/>
        </w:rPr>
        <w:t xml:space="preserve"> is normally distributed with a mean of zero and a time-varying variance</w:t>
      </w:r>
      <m:oMath>
        <m:r>
          <w:rPr>
            <w:rFonts w:ascii="Cambria Math" w:hAnsi="Cambria Math" w:cs="Times New Roman"/>
            <w:sz w:val="24"/>
            <w:szCs w:val="24"/>
          </w:rPr>
          <m:t xml:space="preserve"> </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h</m:t>
            </m:r>
          </m:e>
          <m:sub>
            <m:r>
              <w:rPr>
                <w:rFonts w:ascii="Cambria Math" w:hAnsi="Cambria Math" w:cs="Times New Roman"/>
                <w:sz w:val="24"/>
                <w:szCs w:val="24"/>
              </w:rPr>
              <m:t>t</m:t>
            </m:r>
          </m:sub>
        </m:sSub>
      </m:oMath>
      <w:r w:rsidRPr="00EA38DE">
        <w:rPr>
          <w:rFonts w:ascii="Times New Roman" w:eastAsiaTheme="minorEastAsia" w:hAnsi="Times New Roman" w:cs="Times New Roman"/>
          <w:bCs/>
          <w:sz w:val="24"/>
          <w:szCs w:val="24"/>
          <w:lang w:eastAsia="zh-CN"/>
        </w:rPr>
        <w:t xml:space="preserve">. </w:t>
      </w:r>
    </w:p>
    <w:p w14:paraId="08AA9C00" w14:textId="1EE2F3EF" w:rsidR="002A572A" w:rsidRPr="00EA38DE" w:rsidRDefault="002A572A" w:rsidP="002A572A">
      <w:pPr>
        <w:spacing w:after="0" w:line="480" w:lineRule="auto"/>
        <w:jc w:val="both"/>
        <w:rPr>
          <w:rFonts w:ascii="Times New Roman" w:eastAsia="Times New Roman" w:hAnsi="Times New Roman" w:cs="Times New Roman"/>
          <w:bCs/>
          <w:sz w:val="24"/>
          <w:szCs w:val="24"/>
          <w:lang w:eastAsia="zh-CN"/>
        </w:rPr>
      </w:pPr>
      <w:r w:rsidRPr="00EA38DE">
        <w:rPr>
          <w:rFonts w:ascii="Times New Roman" w:hAnsi="Times New Roman" w:cs="Times New Roman"/>
          <w:sz w:val="24"/>
          <w:szCs w:val="24"/>
        </w:rPr>
        <w:t>This means that the random shocks in the exchange rate returns are normally distributed around zero, but their variance (or volatility) is not constant, it changes over time and is represented by</w:t>
      </w:r>
      <m:oMath>
        <m:r>
          <w:rPr>
            <w:rFonts w:ascii="Cambria Math" w:hAnsi="Cambria Math" w:cs="Times New Roman"/>
            <w:sz w:val="24"/>
            <w:szCs w:val="24"/>
          </w:rPr>
          <m:t xml:space="preserve"> </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h</m:t>
            </m:r>
          </m:e>
          <m:sub>
            <m:r>
              <w:rPr>
                <w:rFonts w:ascii="Cambria Math" w:hAnsi="Cambria Math" w:cs="Times New Roman"/>
                <w:sz w:val="24"/>
                <w:szCs w:val="24"/>
              </w:rPr>
              <m:t>t</m:t>
            </m:r>
          </m:sub>
        </m:sSub>
      </m:oMath>
      <w:r w:rsidRPr="00EA38DE">
        <w:rPr>
          <w:rFonts w:ascii="Times New Roman" w:hAnsi="Times New Roman" w:cs="Times New Roman"/>
          <w:sz w:val="24"/>
          <w:szCs w:val="24"/>
        </w:rPr>
        <w:t>.</w:t>
      </w:r>
    </w:p>
    <w:p w14:paraId="142F51FE" w14:textId="65D7FB90" w:rsidR="002A572A" w:rsidRPr="00EA38DE" w:rsidRDefault="00BD75E9" w:rsidP="002A572A">
      <w:pPr>
        <w:spacing w:before="100" w:beforeAutospacing="1" w:line="480" w:lineRule="auto"/>
        <w:jc w:val="both"/>
        <w:rPr>
          <w:rFonts w:ascii="Times New Roman" w:eastAsiaTheme="minorEastAsia" w:hAnsi="Times New Roman" w:cs="Times New Roman"/>
          <w:bCs/>
          <w:sz w:val="24"/>
          <w:szCs w:val="24"/>
          <w:lang w:eastAsia="zh-CN"/>
        </w:rPr>
      </w:pPr>
      <m:oMath>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h</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Fonts w:ascii="Cambria Math" w:eastAsia="Times New Roman" w:hAnsi="Cambria Math" w:cs="Times New Roman"/>
                <w:sz w:val="24"/>
                <w:szCs w:val="24"/>
              </w:rPr>
              <m:t>α</m:t>
            </m:r>
          </m:e>
          <m:sub>
            <m:r>
              <w:rPr>
                <w:rFonts w:ascii="Cambria Math" w:hAnsi="Cambria Math" w:cs="Times New Roman"/>
                <w:sz w:val="24"/>
                <w:szCs w:val="24"/>
              </w:rPr>
              <m:t>0</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Fonts w:ascii="Cambria Math" w:eastAsia="Times New Roman" w:hAnsi="Cambria Math" w:cs="Times New Roman"/>
                <w:sz w:val="24"/>
                <w:szCs w:val="24"/>
              </w:rPr>
              <m:t>α</m:t>
            </m:r>
          </m:e>
          <m:sub>
            <m:r>
              <w:rPr>
                <w:rFonts w:ascii="Cambria Math" w:hAnsi="Cambria Math" w:cs="Times New Roman"/>
                <w:sz w:val="24"/>
                <w:szCs w:val="24"/>
              </w:rPr>
              <m:t>1</m:t>
            </m:r>
          </m:sub>
        </m:sSub>
      </m:oMath>
      <w:r w:rsidR="002A572A" w:rsidRPr="00EA38DE">
        <w:rPr>
          <w:rFonts w:ascii="Times New Roman" w:eastAsiaTheme="minorEastAsia" w:hAnsi="Times New Roman" w:cs="Times New Roman"/>
          <w:iCs/>
          <w:sz w:val="24"/>
          <w:szCs w:val="24"/>
        </w:rPr>
        <w:t>+</w:t>
      </w:r>
      <m:oMath>
        <m:sSub>
          <m:sSubPr>
            <m:ctrlPr>
              <w:rPr>
                <w:rFonts w:ascii="Cambria Math" w:eastAsia="SimSun" w:hAnsi="Cambria Math" w:cs="Times New Roman"/>
                <w:bCs/>
                <w:i/>
                <w:sz w:val="24"/>
                <w:szCs w:val="24"/>
                <w:lang w:eastAsia="zh-CN"/>
              </w:rPr>
            </m:ctrlPr>
          </m:sSubPr>
          <m:e>
            <m:r>
              <w:rPr>
                <w:rFonts w:ascii="Cambria Math" w:eastAsia="Times New Roman" w:hAnsi="Cambria Math" w:cs="Times New Roman"/>
                <w:sz w:val="24"/>
                <w:szCs w:val="24"/>
              </w:rPr>
              <m:t>β</m:t>
            </m:r>
          </m:e>
          <m:sub>
            <m:r>
              <w:rPr>
                <w:rFonts w:ascii="Cambria Math" w:hAnsi="Cambria Math" w:cs="Times New Roman"/>
                <w:sz w:val="24"/>
                <w:szCs w:val="24"/>
              </w:rPr>
              <m:t>1</m:t>
            </m:r>
          </m:sub>
        </m:sSub>
        <m:sSub>
          <m:sSubPr>
            <m:ctrlPr>
              <w:rPr>
                <w:rFonts w:ascii="Cambria Math" w:eastAsia="SimSun" w:hAnsi="Cambria Math" w:cs="Times New Roman"/>
                <w:bCs/>
                <w:i/>
                <w:sz w:val="24"/>
                <w:szCs w:val="24"/>
                <w:lang w:eastAsia="zh-CN"/>
              </w:rPr>
            </m:ctrlPr>
          </m:sSubPr>
          <m:e>
            <m:r>
              <w:rPr>
                <w:rFonts w:ascii="Cambria Math" w:eastAsia="Times New Roman" w:hAnsi="Cambria Math" w:cs="Times New Roman"/>
                <w:sz w:val="24"/>
                <w:szCs w:val="24"/>
              </w:rPr>
              <m:t>h</m:t>
            </m:r>
          </m:e>
          <m:sub>
            <m:r>
              <w:rPr>
                <w:rFonts w:ascii="Cambria Math" w:hAnsi="Cambria Math" w:cs="Times New Roman"/>
                <w:sz w:val="24"/>
                <w:szCs w:val="24"/>
              </w:rPr>
              <m:t>t-1</m:t>
            </m:r>
          </m:sub>
        </m:sSub>
      </m:oMath>
      <w:r w:rsidR="002A572A" w:rsidRPr="00EA38DE">
        <w:rPr>
          <w:rFonts w:ascii="Times New Roman" w:eastAsiaTheme="minorEastAsia" w:hAnsi="Times New Roman" w:cs="Times New Roman"/>
          <w:bCs/>
          <w:sz w:val="24"/>
          <w:szCs w:val="24"/>
          <w:lang w:eastAsia="zh-CN"/>
        </w:rPr>
        <w:t>-</w:t>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2A572A" w:rsidRPr="00EA38DE">
        <w:rPr>
          <w:rFonts w:ascii="Times New Roman" w:eastAsiaTheme="minorEastAsia" w:hAnsi="Times New Roman" w:cs="Times New Roman"/>
          <w:bCs/>
          <w:sz w:val="24"/>
          <w:szCs w:val="24"/>
          <w:lang w:eastAsia="zh-CN"/>
        </w:rPr>
        <w:tab/>
      </w:r>
      <w:r w:rsidR="004F404C" w:rsidRPr="00EA38DE">
        <w:rPr>
          <w:rFonts w:ascii="Times New Roman" w:eastAsiaTheme="minorEastAsia" w:hAnsi="Times New Roman" w:cs="Times New Roman"/>
          <w:bCs/>
          <w:sz w:val="24"/>
          <w:szCs w:val="24"/>
          <w:lang w:eastAsia="zh-CN"/>
        </w:rPr>
        <w:t>(</w:t>
      </w:r>
      <w:r w:rsidR="002A572A" w:rsidRPr="00EA38DE">
        <w:rPr>
          <w:rFonts w:ascii="Times New Roman" w:eastAsiaTheme="minorEastAsia" w:hAnsi="Times New Roman" w:cs="Times New Roman"/>
          <w:bCs/>
          <w:sz w:val="24"/>
          <w:szCs w:val="24"/>
          <w:lang w:eastAsia="zh-CN"/>
        </w:rPr>
        <w:t>3.</w:t>
      </w:r>
      <w:r w:rsidR="00801708" w:rsidRPr="00EA38DE">
        <w:rPr>
          <w:rFonts w:ascii="Times New Roman" w:eastAsiaTheme="minorEastAsia" w:hAnsi="Times New Roman" w:cs="Times New Roman"/>
          <w:bCs/>
          <w:sz w:val="24"/>
          <w:szCs w:val="24"/>
          <w:lang w:eastAsia="zh-CN"/>
        </w:rPr>
        <w:t>5</w:t>
      </w:r>
      <w:r w:rsidR="004F404C" w:rsidRPr="00EA38DE">
        <w:rPr>
          <w:rFonts w:ascii="Times New Roman" w:eastAsiaTheme="minorEastAsia" w:hAnsi="Times New Roman" w:cs="Times New Roman"/>
          <w:bCs/>
          <w:sz w:val="24"/>
          <w:szCs w:val="24"/>
          <w:lang w:eastAsia="zh-CN"/>
        </w:rPr>
        <w:t>)</w:t>
      </w:r>
    </w:p>
    <w:p w14:paraId="76693445" w14:textId="2287C5CB" w:rsidR="002A572A" w:rsidRPr="00EA38DE" w:rsidRDefault="002A572A" w:rsidP="002A572A">
      <w:pPr>
        <w:spacing w:before="100" w:beforeAutospacing="1"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conditional variance </w:t>
      </w:r>
      <m:oMath>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h</m:t>
            </m:r>
          </m:e>
          <m:sub>
            <m:r>
              <w:rPr>
                <w:rFonts w:ascii="Cambria Math" w:hAnsi="Cambria Math" w:cs="Times New Roman"/>
                <w:sz w:val="24"/>
                <w:szCs w:val="24"/>
              </w:rPr>
              <m:t>t</m:t>
            </m:r>
          </m:sub>
        </m:sSub>
      </m:oMath>
      <w:r w:rsidRPr="00EA38DE">
        <w:rPr>
          <w:rFonts w:ascii="Times New Roman" w:hAnsi="Times New Roman" w:cs="Times New Roman"/>
          <w:sz w:val="24"/>
          <w:szCs w:val="24"/>
        </w:rPr>
        <w:t xml:space="preserve"> depends on a constant </w:t>
      </w:r>
      <m:oMath>
        <m:sSub>
          <m:sSubPr>
            <m:ctrlPr>
              <w:rPr>
                <w:rFonts w:ascii="Cambria Math" w:eastAsia="SimSun" w:hAnsi="Cambria Math" w:cs="Times New Roman"/>
                <w:bCs/>
                <w:i/>
                <w:sz w:val="24"/>
                <w:szCs w:val="24"/>
                <w:lang w:eastAsia="zh-CN"/>
              </w:rPr>
            </m:ctrlPr>
          </m:sSubPr>
          <m:e>
            <m:r>
              <w:rPr>
                <w:rFonts w:ascii="Cambria Math" w:eastAsia="Times New Roman" w:hAnsi="Cambria Math" w:cs="Times New Roman"/>
                <w:sz w:val="24"/>
                <w:szCs w:val="24"/>
              </w:rPr>
              <m:t>α</m:t>
            </m:r>
          </m:e>
          <m:sub>
            <m:r>
              <w:rPr>
                <w:rFonts w:ascii="Cambria Math" w:hAnsi="Cambria Math" w:cs="Times New Roman"/>
                <w:sz w:val="24"/>
                <w:szCs w:val="24"/>
              </w:rPr>
              <m:t>0,</m:t>
            </m:r>
          </m:sub>
        </m:sSub>
        <m:r>
          <w:rPr>
            <w:rFonts w:ascii="Cambria Math" w:eastAsia="SimSun" w:hAnsi="Cambria Math" w:cs="Times New Roman"/>
            <w:sz w:val="24"/>
            <w:szCs w:val="24"/>
            <w:lang w:eastAsia="zh-CN"/>
          </w:rPr>
          <m:t xml:space="preserve"> </m:t>
        </m:r>
      </m:oMath>
      <w:r w:rsidRPr="00EA38DE">
        <w:rPr>
          <w:rFonts w:ascii="Times New Roman" w:hAnsi="Times New Roman" w:cs="Times New Roman"/>
          <w:sz w:val="24"/>
          <w:szCs w:val="24"/>
        </w:rPr>
        <w:t xml:space="preserve">the previous period’s squared error </w:t>
      </w:r>
      <m:oMath>
        <m:sSubSup>
          <m:sSubSupPr>
            <m:ctrlPr>
              <w:rPr>
                <w:rFonts w:ascii="Cambria Math" w:eastAsiaTheme="minorEastAsia" w:hAnsi="Cambria Math" w:cs="Times New Roman"/>
                <w:i/>
                <w:iCs/>
                <w:sz w:val="24"/>
                <w:szCs w:val="24"/>
              </w:rPr>
            </m:ctrlPr>
          </m:sSubSupPr>
          <m:e>
            <m:r>
              <w:rPr>
                <w:rFonts w:ascii="Cambria Math" w:eastAsia="Times New Roman" w:hAnsi="Cambria Math" w:cs="Times New Roman"/>
                <w:sz w:val="24"/>
                <w:szCs w:val="24"/>
              </w:rPr>
              <m:t>ε</m:t>
            </m:r>
          </m:e>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2</m:t>
            </m:r>
          </m:sup>
        </m:sSubSup>
      </m:oMath>
      <w:r w:rsidRPr="00EA38DE">
        <w:rPr>
          <w:rFonts w:ascii="Times New Roman" w:hAnsi="Times New Roman" w:cs="Times New Roman"/>
          <w:sz w:val="24"/>
          <w:szCs w:val="24"/>
        </w:rPr>
        <w:t xml:space="preserve">and the previous period’s variance </w:t>
      </w:r>
      <m:oMath>
        <m:sSub>
          <m:sSubPr>
            <m:ctrlPr>
              <w:rPr>
                <w:rFonts w:ascii="Cambria Math" w:eastAsia="SimSun" w:hAnsi="Cambria Math" w:cs="Times New Roman"/>
                <w:bCs/>
                <w:i/>
                <w:sz w:val="24"/>
                <w:szCs w:val="24"/>
                <w:lang w:eastAsia="zh-CN"/>
              </w:rPr>
            </m:ctrlPr>
          </m:sSubPr>
          <m:e>
            <m:r>
              <w:rPr>
                <w:rFonts w:ascii="Cambria Math" w:eastAsia="Times New Roman" w:hAnsi="Cambria Math" w:cs="Times New Roman"/>
                <w:sz w:val="24"/>
                <w:szCs w:val="24"/>
              </w:rPr>
              <m:t>h</m:t>
            </m:r>
          </m:e>
          <m:sub>
            <m:r>
              <w:rPr>
                <w:rFonts w:ascii="Cambria Math" w:hAnsi="Cambria Math" w:cs="Times New Roman"/>
                <w:sz w:val="24"/>
                <w:szCs w:val="24"/>
              </w:rPr>
              <m:t>t-1</m:t>
            </m:r>
          </m:sub>
        </m:sSub>
      </m:oMath>
      <w:r w:rsidRPr="00EA38DE">
        <w:rPr>
          <w:rFonts w:ascii="Times New Roman" w:eastAsiaTheme="minorEastAsia" w:hAnsi="Times New Roman" w:cs="Times New Roman"/>
          <w:bCs/>
          <w:sz w:val="24"/>
          <w:szCs w:val="24"/>
          <w:lang w:eastAsia="zh-CN"/>
        </w:rPr>
        <w:t>.</w:t>
      </w:r>
      <w:r w:rsidRPr="00EA38DE">
        <w:rPr>
          <w:rStyle w:val="vlist-s"/>
          <w:rFonts w:ascii="Times New Roman" w:hAnsi="Times New Roman" w:cs="Times New Roman"/>
          <w:sz w:val="24"/>
          <w:szCs w:val="24"/>
        </w:rPr>
        <w:t xml:space="preserve"> </w:t>
      </w:r>
      <w:r w:rsidRPr="00EA38DE">
        <w:rPr>
          <w:rFonts w:ascii="Times New Roman" w:hAnsi="Times New Roman" w:cs="Times New Roman"/>
          <w:sz w:val="24"/>
          <w:szCs w:val="24"/>
        </w:rPr>
        <w:t xml:space="preserve">This means that the volatility of exchange rate returns at time </w:t>
      </w:r>
      <w:r w:rsidRPr="00EA38DE">
        <w:rPr>
          <w:rStyle w:val="katex-mathml"/>
          <w:rFonts w:ascii="Times New Roman" w:hAnsi="Times New Roman" w:cs="Times New Roman"/>
          <w:sz w:val="24"/>
          <w:szCs w:val="24"/>
        </w:rPr>
        <w:t>t</w:t>
      </w:r>
      <w:r w:rsidRPr="00EA38DE">
        <w:rPr>
          <w:rFonts w:ascii="Times New Roman" w:hAnsi="Times New Roman" w:cs="Times New Roman"/>
          <w:sz w:val="24"/>
          <w:szCs w:val="24"/>
        </w:rPr>
        <w:t xml:space="preserve"> is not fixed it depends on a constant value, the size of the shock in the previous period, and the volatility from the previous period. In other words, </w:t>
      </w:r>
      <w:r w:rsidRPr="00EA38DE">
        <w:rPr>
          <w:rStyle w:val="Strong"/>
          <w:rFonts w:ascii="Times New Roman" w:hAnsi="Times New Roman" w:cs="Times New Roman"/>
          <w:b w:val="0"/>
          <w:sz w:val="24"/>
          <w:szCs w:val="24"/>
        </w:rPr>
        <w:t>volatility changes over time based on past shocks and past volatility.</w:t>
      </w:r>
    </w:p>
    <w:p w14:paraId="72B33519" w14:textId="77777777" w:rsidR="003A6D28" w:rsidRPr="00EA38DE" w:rsidRDefault="003A6D28" w:rsidP="00A45497">
      <w:pPr>
        <w:pStyle w:val="NormalWeb"/>
        <w:spacing w:after="160" w:afterAutospacing="0" w:line="480" w:lineRule="auto"/>
        <w:jc w:val="both"/>
      </w:pPr>
      <w:r w:rsidRPr="00EA38DE">
        <w:lastRenderedPageBreak/>
        <w:t>Where:</w:t>
      </w:r>
    </w:p>
    <w:p w14:paraId="6008FE2F" w14:textId="5DBFD5E4" w:rsidR="003A6D28" w:rsidRPr="00EA38DE" w:rsidRDefault="00BD75E9" w:rsidP="00A45497">
      <w:pPr>
        <w:pStyle w:val="NormalWeb"/>
        <w:spacing w:after="160" w:afterAutospacing="0" w:line="480" w:lineRule="auto"/>
        <w:jc w:val="both"/>
      </w:pPr>
      <m:oMath>
        <m:sSub>
          <m:sSubPr>
            <m:ctrlPr>
              <w:rPr>
                <w:rFonts w:ascii="Cambria Math" w:eastAsia="SimSun" w:hAnsi="Cambria Math"/>
                <w:bCs/>
                <w:i/>
                <w:lang w:eastAsia="zh-CN"/>
              </w:rPr>
            </m:ctrlPr>
          </m:sSubPr>
          <m:e>
            <m:r>
              <w:rPr>
                <w:rFonts w:ascii="Cambria Math" w:hAnsi="Cambria Math"/>
              </w:rPr>
              <m:t>r</m:t>
            </m:r>
          </m:e>
          <m:sub>
            <m:r>
              <w:rPr>
                <w:rFonts w:ascii="Cambria Math" w:hAnsi="Cambria Math"/>
              </w:rPr>
              <m:t>t</m:t>
            </m:r>
          </m:sub>
        </m:sSub>
      </m:oMath>
      <w:r w:rsidR="003A6D28" w:rsidRPr="00EA38DE">
        <w:t xml:space="preserve"> </w:t>
      </w:r>
      <w:r w:rsidR="003A6D28" w:rsidRPr="00EA38DE">
        <w:tab/>
        <w:t>=</w:t>
      </w:r>
      <w:r w:rsidR="003A6D28" w:rsidRPr="00EA38DE">
        <w:tab/>
        <w:t xml:space="preserve"> the return (or log difference) of the exchange rate at time </w:t>
      </w:r>
      <w:r w:rsidR="003A6D28" w:rsidRPr="00EA38DE">
        <w:rPr>
          <w:rStyle w:val="Emphasis"/>
        </w:rPr>
        <w:t>t</w:t>
      </w:r>
      <w:r w:rsidR="003A6D28" w:rsidRPr="00EA38DE">
        <w:t>,</w:t>
      </w:r>
    </w:p>
    <w:p w14:paraId="540C45E3" w14:textId="442814E6" w:rsidR="003A6D28" w:rsidRPr="00EA38DE" w:rsidRDefault="003A6D28" w:rsidP="00A45497">
      <w:pPr>
        <w:pStyle w:val="NormalWeb"/>
        <w:spacing w:after="160" w:afterAutospacing="0" w:line="480" w:lineRule="auto"/>
        <w:jc w:val="both"/>
      </w:pPr>
      <m:oMath>
        <m:r>
          <w:rPr>
            <w:rStyle w:val="mord"/>
            <w:rFonts w:ascii="Cambria Math" w:hAnsi="Cambria Math"/>
          </w:rPr>
          <m:t>μ</m:t>
        </m:r>
      </m:oMath>
      <w:r w:rsidRPr="00EA38DE">
        <w:rPr>
          <w:rStyle w:val="mord"/>
          <w:iCs/>
        </w:rPr>
        <w:tab/>
        <w:t>=</w:t>
      </w:r>
      <w:r w:rsidRPr="00EA38DE">
        <w:rPr>
          <w:rStyle w:val="mord"/>
          <w:iCs/>
        </w:rPr>
        <w:tab/>
      </w:r>
      <w:r w:rsidRPr="00EA38DE">
        <w:t xml:space="preserve"> is the constant mean,</w:t>
      </w:r>
    </w:p>
    <w:p w14:paraId="75E1F61F" w14:textId="557EBC4C" w:rsidR="003A6D28" w:rsidRPr="00EA38DE" w:rsidRDefault="00BD75E9" w:rsidP="00A45497">
      <w:pPr>
        <w:pStyle w:val="NormalWeb"/>
        <w:spacing w:after="160" w:afterAutospacing="0" w:line="480" w:lineRule="auto"/>
        <w:jc w:val="both"/>
      </w:pPr>
      <m:oMath>
        <m:sSub>
          <m:sSubPr>
            <m:ctrlPr>
              <w:rPr>
                <w:rFonts w:ascii="Cambria Math" w:eastAsia="SimSun" w:hAnsi="Cambria Math"/>
                <w:bCs/>
                <w:i/>
                <w:lang w:eastAsia="zh-CN"/>
              </w:rPr>
            </m:ctrlPr>
          </m:sSubPr>
          <m:e>
            <m:r>
              <w:rPr>
                <w:rStyle w:val="mord"/>
                <w:rFonts w:ascii="Cambria Math" w:hAnsi="Cambria Math"/>
              </w:rPr>
              <m:t>ε</m:t>
            </m:r>
          </m:e>
          <m:sub>
            <m:r>
              <w:rPr>
                <w:rFonts w:ascii="Cambria Math" w:hAnsi="Cambria Math"/>
              </w:rPr>
              <m:t>t</m:t>
            </m:r>
          </m:sub>
        </m:sSub>
      </m:oMath>
      <w:r w:rsidR="00EF415B" w:rsidRPr="00EA38DE">
        <w:rPr>
          <w:rStyle w:val="mord"/>
        </w:rPr>
        <w:tab/>
        <w:t>=</w:t>
      </w:r>
      <w:r w:rsidR="00EF415B" w:rsidRPr="00EA38DE">
        <w:rPr>
          <w:rStyle w:val="mord"/>
        </w:rPr>
        <w:tab/>
      </w:r>
      <w:r w:rsidR="003A6D28" w:rsidRPr="00EA38DE">
        <w:rPr>
          <w:rStyle w:val="vlist-s"/>
        </w:rPr>
        <w:t>​</w:t>
      </w:r>
      <w:r w:rsidR="003A6D28" w:rsidRPr="00EA38DE">
        <w:t xml:space="preserve"> is the error term,</w:t>
      </w:r>
    </w:p>
    <w:p w14:paraId="78ABE93C" w14:textId="5E78F1AA" w:rsidR="003A6D28" w:rsidRPr="00EA38DE" w:rsidRDefault="00BD75E9" w:rsidP="00A45497">
      <w:pPr>
        <w:pStyle w:val="NormalWeb"/>
        <w:spacing w:after="160" w:afterAutospacing="0" w:line="480" w:lineRule="auto"/>
        <w:jc w:val="both"/>
      </w:pPr>
      <m:oMath>
        <m:sSub>
          <m:sSubPr>
            <m:ctrlPr>
              <w:rPr>
                <w:rFonts w:ascii="Cambria Math" w:eastAsia="SimSun" w:hAnsi="Cambria Math"/>
                <w:bCs/>
                <w:i/>
                <w:lang w:eastAsia="zh-CN"/>
              </w:rPr>
            </m:ctrlPr>
          </m:sSubPr>
          <m:e>
            <m:r>
              <w:rPr>
                <w:rStyle w:val="mord"/>
                <w:rFonts w:ascii="Cambria Math" w:hAnsi="Cambria Math"/>
              </w:rPr>
              <m:t>h</m:t>
            </m:r>
          </m:e>
          <m:sub>
            <m:r>
              <w:rPr>
                <w:rFonts w:ascii="Cambria Math" w:hAnsi="Cambria Math"/>
              </w:rPr>
              <m:t>t</m:t>
            </m:r>
          </m:sub>
        </m:sSub>
      </m:oMath>
      <w:r w:rsidR="00EF415B" w:rsidRPr="00EA38DE">
        <w:rPr>
          <w:bCs/>
          <w:lang w:eastAsia="zh-CN"/>
        </w:rPr>
        <w:tab/>
        <w:t>=</w:t>
      </w:r>
      <w:r w:rsidR="00EF415B" w:rsidRPr="00EA38DE">
        <w:rPr>
          <w:bCs/>
          <w:lang w:eastAsia="zh-CN"/>
        </w:rPr>
        <w:tab/>
      </w:r>
      <w:r w:rsidR="003A6D28" w:rsidRPr="00EA38DE">
        <w:rPr>
          <w:rStyle w:val="vlist-s"/>
        </w:rPr>
        <w:t>​</w:t>
      </w:r>
      <w:r w:rsidR="003A6D28" w:rsidRPr="00EA38DE">
        <w:t xml:space="preserve"> represents the conditional variance,</w:t>
      </w:r>
    </w:p>
    <w:p w14:paraId="761FAB3D" w14:textId="74209B61" w:rsidR="003A6D28" w:rsidRPr="00EA38DE" w:rsidRDefault="00BD75E9" w:rsidP="00A45497">
      <w:pPr>
        <w:pStyle w:val="NormalWeb"/>
        <w:spacing w:after="160" w:afterAutospacing="0" w:line="480" w:lineRule="auto"/>
        <w:jc w:val="both"/>
      </w:pPr>
      <m:oMath>
        <m:sSub>
          <m:sSubPr>
            <m:ctrlPr>
              <w:rPr>
                <w:rFonts w:ascii="Cambria Math" w:eastAsia="SimSun" w:hAnsi="Cambria Math"/>
                <w:bCs/>
                <w:i/>
                <w:lang w:eastAsia="zh-CN"/>
              </w:rPr>
            </m:ctrlPr>
          </m:sSubPr>
          <m:e>
            <m:r>
              <w:rPr>
                <w:rFonts w:ascii="Cambria Math" w:hAnsi="Cambria Math"/>
              </w:rPr>
              <m:t>α</m:t>
            </m:r>
          </m:e>
          <m:sub>
            <m:r>
              <w:rPr>
                <w:rFonts w:ascii="Cambria Math" w:hAnsi="Cambria Math"/>
              </w:rPr>
              <m:t>0</m:t>
            </m:r>
          </m:sub>
        </m:sSub>
      </m:oMath>
      <w:r w:rsidR="003A6D28" w:rsidRPr="00EA38DE">
        <w:rPr>
          <w:rStyle w:val="katex-mathml"/>
        </w:rPr>
        <w:t>&gt;0</w:t>
      </w:r>
      <w:r w:rsidR="00EF415B" w:rsidRPr="00EA38DE">
        <w:rPr>
          <w:rStyle w:val="katex-mathml"/>
        </w:rPr>
        <w:t xml:space="preserve">, </w:t>
      </w:r>
      <m:oMath>
        <m:sSub>
          <m:sSubPr>
            <m:ctrlPr>
              <w:rPr>
                <w:rFonts w:ascii="Cambria Math" w:eastAsia="SimSun" w:hAnsi="Cambria Math"/>
                <w:bCs/>
                <w:i/>
                <w:lang w:eastAsia="zh-CN"/>
              </w:rPr>
            </m:ctrlPr>
          </m:sSubPr>
          <m:e>
            <m:r>
              <w:rPr>
                <w:rFonts w:ascii="Cambria Math" w:hAnsi="Cambria Math"/>
              </w:rPr>
              <m:t>α</m:t>
            </m:r>
          </m:e>
          <m:sub>
            <m:r>
              <w:rPr>
                <w:rFonts w:ascii="Cambria Math" w:hAnsi="Cambria Math"/>
              </w:rPr>
              <m:t>1</m:t>
            </m:r>
          </m:sub>
        </m:sSub>
      </m:oMath>
      <w:r w:rsidR="003A6D28" w:rsidRPr="00EA38DE">
        <w:rPr>
          <w:rStyle w:val="katex-mathml"/>
        </w:rPr>
        <w:t>≥</w:t>
      </w:r>
      <w:r w:rsidR="003A6D28" w:rsidRPr="00EA38DE">
        <w:rPr>
          <w:rStyle w:val="mord"/>
        </w:rPr>
        <w:t>0</w:t>
      </w:r>
      <w:r w:rsidR="003A6D28" w:rsidRPr="00EA38DE">
        <w:t xml:space="preserve">, and </w:t>
      </w:r>
      <m:oMath>
        <m:sSub>
          <m:sSubPr>
            <m:ctrlPr>
              <w:rPr>
                <w:rFonts w:ascii="Cambria Math" w:eastAsia="SimSun" w:hAnsi="Cambria Math"/>
                <w:bCs/>
                <w:i/>
                <w:lang w:eastAsia="zh-CN"/>
              </w:rPr>
            </m:ctrlPr>
          </m:sSubPr>
          <m:e>
            <m:r>
              <w:rPr>
                <w:rFonts w:ascii="Cambria Math" w:hAnsi="Cambria Math"/>
              </w:rPr>
              <m:t>β</m:t>
            </m:r>
          </m:e>
          <m:sub>
            <m:r>
              <w:rPr>
                <w:rFonts w:ascii="Cambria Math" w:hAnsi="Cambria Math"/>
              </w:rPr>
              <m:t>1</m:t>
            </m:r>
          </m:sub>
        </m:sSub>
      </m:oMath>
      <w:r w:rsidR="003A6D28" w:rsidRPr="00EA38DE">
        <w:rPr>
          <w:rStyle w:val="vlist-s"/>
        </w:rPr>
        <w:t>​</w:t>
      </w:r>
      <w:r w:rsidR="003A6D28" w:rsidRPr="00EA38DE">
        <w:rPr>
          <w:rStyle w:val="mrel"/>
        </w:rPr>
        <w:t>≥</w:t>
      </w:r>
      <w:r w:rsidR="003A6D28" w:rsidRPr="00EA38DE">
        <w:rPr>
          <w:rStyle w:val="mord"/>
        </w:rPr>
        <w:t>0</w:t>
      </w:r>
      <w:r w:rsidR="003A6D28" w:rsidRPr="00EA38DE">
        <w:t xml:space="preserve"> are parameters to be estimated.</w:t>
      </w:r>
    </w:p>
    <w:p w14:paraId="618CBA76" w14:textId="77777777" w:rsidR="00EF415B" w:rsidRPr="00EA38DE" w:rsidRDefault="00EF415B"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This model effectively captures both the autoregressive nature of volatility and the effect of past shocks, allowing for accurate estimation of exchange rate volatility over time.</w:t>
      </w:r>
    </w:p>
    <w:p w14:paraId="60D847F1" w14:textId="326E90DF" w:rsidR="003A6D28" w:rsidRPr="00EA38DE" w:rsidRDefault="00EF415B" w:rsidP="00A45497">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After estimating the volatility series, the study investigates the impact of exchange rate volatility</w:t>
      </w:r>
      <w:r w:rsidR="00FB0F60" w:rsidRPr="00EA38DE">
        <w:rPr>
          <w:rFonts w:ascii="Times New Roman" w:eastAsia="Times New Roman" w:hAnsi="Times New Roman" w:cs="Times New Roman"/>
          <w:sz w:val="24"/>
          <w:szCs w:val="24"/>
        </w:rPr>
        <w:t>,</w:t>
      </w:r>
      <w:r w:rsidRPr="00EA38DE">
        <w:rPr>
          <w:rFonts w:ascii="Times New Roman" w:eastAsia="Times New Roman" w:hAnsi="Times New Roman" w:cs="Times New Roman"/>
          <w:sz w:val="24"/>
          <w:szCs w:val="24"/>
        </w:rPr>
        <w:t xml:space="preserve"> and the blue economy on the financial performance of the shipping industry in Nigeria using the </w:t>
      </w:r>
      <w:r w:rsidRPr="00EA38DE">
        <w:rPr>
          <w:rFonts w:ascii="Times New Roman" w:eastAsia="Times New Roman" w:hAnsi="Times New Roman" w:cs="Times New Roman"/>
          <w:bCs/>
          <w:sz w:val="24"/>
          <w:szCs w:val="24"/>
        </w:rPr>
        <w:t>Autoregressive Distributed Lag (ARDL)</w:t>
      </w:r>
      <w:r w:rsidRPr="00EA38DE">
        <w:rPr>
          <w:rFonts w:ascii="Times New Roman" w:eastAsia="Times New Roman" w:hAnsi="Times New Roman" w:cs="Times New Roman"/>
          <w:sz w:val="24"/>
          <w:szCs w:val="24"/>
        </w:rPr>
        <w:t xml:space="preserve"> model. The ARDL modeling approach, developed by Pesaran and Shin (1999), is well-suited for analyzing relationships among variables that are a mix of I(0) and I(1), provided none are integrated of order two [I(2)].</w:t>
      </w:r>
    </w:p>
    <w:p w14:paraId="78F64ECB" w14:textId="238F5A71" w:rsidR="00EF415B" w:rsidRPr="00EA38DE" w:rsidRDefault="009E0E31" w:rsidP="00CB10A8">
      <w:pPr>
        <w:shd w:val="clear" w:color="auto" w:fill="FFFFFF"/>
        <w:spacing w:after="120" w:line="480" w:lineRule="auto"/>
        <w:jc w:val="both"/>
        <w:rPr>
          <w:rFonts w:ascii="Times New Roman" w:hAnsi="Times New Roman" w:cs="Times New Roman"/>
          <w:sz w:val="24"/>
          <w:szCs w:val="24"/>
        </w:rPr>
      </w:pPr>
      <w:bookmarkStart w:id="7" w:name="_Hlk209054515"/>
      <w:r w:rsidRPr="00EA38DE">
        <w:rPr>
          <w:rFonts w:ascii="Times New Roman" w:hAnsi="Times New Roman" w:cs="Times New Roman"/>
          <w:sz w:val="24"/>
          <w:szCs w:val="24"/>
        </w:rPr>
        <w:t xml:space="preserve">Hence, the modified model is decomposed into </w:t>
      </w:r>
      <w:r w:rsidR="0023317D" w:rsidRPr="00EA38DE">
        <w:rPr>
          <w:rFonts w:ascii="Times New Roman" w:hAnsi="Times New Roman" w:cs="Times New Roman"/>
          <w:sz w:val="24"/>
          <w:szCs w:val="24"/>
        </w:rPr>
        <w:t>t</w:t>
      </w:r>
      <w:r w:rsidR="00760DD4" w:rsidRPr="00EA38DE">
        <w:rPr>
          <w:rFonts w:ascii="Times New Roman" w:hAnsi="Times New Roman" w:cs="Times New Roman"/>
          <w:sz w:val="24"/>
          <w:szCs w:val="24"/>
        </w:rPr>
        <w:t>welve</w:t>
      </w:r>
      <w:r w:rsidRPr="00EA38DE">
        <w:rPr>
          <w:rFonts w:ascii="Times New Roman" w:hAnsi="Times New Roman" w:cs="Times New Roman"/>
          <w:sz w:val="24"/>
          <w:szCs w:val="24"/>
        </w:rPr>
        <w:t xml:space="preserve"> (</w:t>
      </w:r>
      <w:r w:rsidR="00760DD4" w:rsidRPr="00EA38DE">
        <w:rPr>
          <w:rFonts w:ascii="Times New Roman" w:hAnsi="Times New Roman" w:cs="Times New Roman"/>
          <w:sz w:val="24"/>
          <w:szCs w:val="24"/>
        </w:rPr>
        <w:t>12</w:t>
      </w:r>
      <w:r w:rsidRPr="00EA38DE">
        <w:rPr>
          <w:rFonts w:ascii="Times New Roman" w:hAnsi="Times New Roman" w:cs="Times New Roman"/>
          <w:sz w:val="24"/>
          <w:szCs w:val="24"/>
        </w:rPr>
        <w:t>) models. They are expressed</w:t>
      </w:r>
      <w:r w:rsidR="000C5D62" w:rsidRPr="00EA38DE">
        <w:rPr>
          <w:rFonts w:ascii="Times New Roman" w:hAnsi="Times New Roman" w:cs="Times New Roman"/>
          <w:sz w:val="24"/>
          <w:szCs w:val="24"/>
        </w:rPr>
        <w:t xml:space="preserve"> as follows</w:t>
      </w:r>
      <w:r w:rsidRPr="00EA38DE">
        <w:rPr>
          <w:rFonts w:ascii="Times New Roman" w:hAnsi="Times New Roman" w:cs="Times New Roman"/>
          <w:sz w:val="24"/>
          <w:szCs w:val="24"/>
        </w:rPr>
        <w:t>:</w:t>
      </w:r>
    </w:p>
    <w:p w14:paraId="50125F40" w14:textId="1931930F" w:rsidR="0019649F" w:rsidRPr="00EA38DE" w:rsidRDefault="002C4248" w:rsidP="00CB10A8">
      <w:pPr>
        <w:pStyle w:val="ListParagraph"/>
        <w:spacing w:after="0" w:line="480" w:lineRule="auto"/>
        <w:ind w:left="360" w:hanging="360"/>
        <w:jc w:val="both"/>
        <w:rPr>
          <w:rFonts w:ascii="Times New Roman" w:hAnsi="Times New Roman" w:cs="Times New Roman"/>
          <w:sz w:val="24"/>
          <w:szCs w:val="24"/>
        </w:rPr>
      </w:pPr>
      <w:r w:rsidRPr="00EA38DE">
        <w:rPr>
          <w:rFonts w:ascii="Times New Roman" w:hAnsi="Times New Roman" w:cs="Times New Roman"/>
          <w:i/>
          <w:sz w:val="24"/>
          <w:szCs w:val="24"/>
        </w:rPr>
        <w:t>CTP= F (EXR</w:t>
      </w:r>
      <w:r w:rsidR="007A2267" w:rsidRPr="00EA38DE">
        <w:rPr>
          <w:rFonts w:ascii="Times New Roman" w:hAnsi="Times New Roman" w:cs="Times New Roman"/>
          <w:i/>
          <w:sz w:val="24"/>
          <w:szCs w:val="24"/>
        </w:rPr>
        <w:t>V</w:t>
      </w:r>
      <w:r w:rsidR="008E0ABE" w:rsidRPr="00EA38DE">
        <w:rPr>
          <w:rFonts w:ascii="Times New Roman" w:hAnsi="Times New Roman" w:cs="Times New Roman"/>
          <w:i/>
          <w:sz w:val="24"/>
          <w:szCs w:val="24"/>
        </w:rPr>
        <w:t xml:space="preserve">, IFR, </w:t>
      </w:r>
      <w:r w:rsidR="000638BC" w:rsidRPr="00EA38DE">
        <w:rPr>
          <w:rFonts w:ascii="Times New Roman" w:hAnsi="Times New Roman" w:cs="Times New Roman"/>
          <w:i/>
          <w:sz w:val="24"/>
          <w:szCs w:val="24"/>
        </w:rPr>
        <w:t>TR</w:t>
      </w:r>
      <w:r w:rsidR="00C04F52" w:rsidRPr="00EA38DE">
        <w:rPr>
          <w:rFonts w:ascii="Times New Roman" w:hAnsi="Times New Roman" w:cs="Times New Roman"/>
          <w:i/>
          <w:sz w:val="24"/>
          <w:szCs w:val="24"/>
        </w:rPr>
        <w:t>F,</w:t>
      </w:r>
      <w:r w:rsidR="005B6E3E">
        <w:rPr>
          <w:rFonts w:ascii="Times New Roman" w:hAnsi="Times New Roman" w:cs="Times New Roman"/>
          <w:i/>
          <w:sz w:val="24"/>
          <w:szCs w:val="24"/>
        </w:rPr>
        <w:t xml:space="preserve"> LAB) </w:t>
      </w:r>
      <w:r w:rsidR="005B6E3E">
        <w:rPr>
          <w:rFonts w:ascii="Times New Roman" w:hAnsi="Times New Roman" w:cs="Times New Roman"/>
          <w:i/>
          <w:sz w:val="24"/>
          <w:szCs w:val="24"/>
        </w:rPr>
        <w:tab/>
      </w:r>
      <w:r w:rsidR="00B36FCC" w:rsidRPr="00EA38DE">
        <w:rPr>
          <w:rFonts w:ascii="Times New Roman" w:hAnsi="Times New Roman" w:cs="Times New Roman"/>
          <w:i/>
          <w:sz w:val="24"/>
          <w:szCs w:val="24"/>
        </w:rPr>
        <w:t xml:space="preserve">                                                                 </w:t>
      </w:r>
      <w:r w:rsidR="00D320B0" w:rsidRPr="00EA38DE">
        <w:rPr>
          <w:rFonts w:ascii="Times New Roman" w:hAnsi="Times New Roman" w:cs="Times New Roman"/>
          <w:i/>
          <w:sz w:val="24"/>
          <w:szCs w:val="24"/>
        </w:rPr>
        <w:tab/>
      </w:r>
      <w:r w:rsidR="00B36FCC" w:rsidRPr="00EA38DE">
        <w:rPr>
          <w:rFonts w:ascii="Times New Roman" w:hAnsi="Times New Roman" w:cs="Times New Roman"/>
          <w:i/>
          <w:sz w:val="24"/>
          <w:szCs w:val="24"/>
        </w:rPr>
        <w:t xml:space="preserve"> </w:t>
      </w:r>
      <w:r w:rsidR="004F404C" w:rsidRPr="005B6E3E">
        <w:rPr>
          <w:rFonts w:ascii="Times New Roman" w:hAnsi="Times New Roman" w:cs="Times New Roman"/>
          <w:sz w:val="24"/>
          <w:szCs w:val="24"/>
        </w:rPr>
        <w:t>(</w:t>
      </w:r>
      <w:r w:rsidR="00B36FCC" w:rsidRPr="00EA38DE">
        <w:rPr>
          <w:rFonts w:ascii="Times New Roman" w:hAnsi="Times New Roman" w:cs="Times New Roman"/>
          <w:sz w:val="24"/>
          <w:szCs w:val="24"/>
        </w:rPr>
        <w:t>3.</w:t>
      </w:r>
      <w:r w:rsidR="000C5D62" w:rsidRPr="00EA38DE">
        <w:rPr>
          <w:rFonts w:ascii="Times New Roman" w:hAnsi="Times New Roman" w:cs="Times New Roman"/>
          <w:sz w:val="24"/>
          <w:szCs w:val="24"/>
        </w:rPr>
        <w:t>6</w:t>
      </w:r>
      <w:r w:rsidR="004F404C" w:rsidRPr="00EA38DE">
        <w:rPr>
          <w:rFonts w:ascii="Times New Roman" w:hAnsi="Times New Roman" w:cs="Times New Roman"/>
          <w:sz w:val="24"/>
          <w:szCs w:val="24"/>
        </w:rPr>
        <w:t>)</w:t>
      </w:r>
      <w:r w:rsidR="00B36FCC" w:rsidRPr="00EA38DE">
        <w:rPr>
          <w:rFonts w:ascii="Times New Roman" w:hAnsi="Times New Roman" w:cs="Times New Roman"/>
          <w:sz w:val="24"/>
          <w:szCs w:val="24"/>
        </w:rPr>
        <w:t xml:space="preserve"> </w:t>
      </w:r>
    </w:p>
    <w:p w14:paraId="6BDD0578" w14:textId="013C515F" w:rsidR="0019649F" w:rsidRPr="00EA38DE" w:rsidRDefault="0019649F" w:rsidP="00CB10A8">
      <w:pPr>
        <w:pStyle w:val="ListParagraph"/>
        <w:spacing w:after="0" w:line="480" w:lineRule="auto"/>
        <w:ind w:left="360" w:hanging="360"/>
        <w:jc w:val="both"/>
        <w:rPr>
          <w:rFonts w:ascii="Times New Roman" w:hAnsi="Times New Roman" w:cs="Times New Roman"/>
          <w:sz w:val="24"/>
          <w:szCs w:val="24"/>
        </w:rPr>
      </w:pPr>
      <w:r w:rsidRPr="00EA38DE">
        <w:rPr>
          <w:rFonts w:ascii="Times New Roman" w:hAnsi="Times New Roman" w:cs="Times New Roman"/>
          <w:i/>
          <w:sz w:val="24"/>
          <w:szCs w:val="24"/>
        </w:rPr>
        <w:t>SHPC= F (</w:t>
      </w:r>
      <w:r w:rsidR="002C4248" w:rsidRPr="00EA38DE">
        <w:rPr>
          <w:rFonts w:ascii="Times New Roman" w:hAnsi="Times New Roman" w:cs="Times New Roman"/>
          <w:i/>
          <w:sz w:val="24"/>
          <w:szCs w:val="24"/>
        </w:rPr>
        <w:t>EXR</w:t>
      </w:r>
      <w:r w:rsidR="007A2267" w:rsidRPr="00EA38DE">
        <w:rPr>
          <w:rFonts w:ascii="Times New Roman" w:hAnsi="Times New Roman" w:cs="Times New Roman"/>
          <w:i/>
          <w:sz w:val="24"/>
          <w:szCs w:val="24"/>
        </w:rPr>
        <w:t>V</w:t>
      </w:r>
      <w:r w:rsidR="002C4248" w:rsidRPr="00EA38DE">
        <w:rPr>
          <w:rFonts w:ascii="Times New Roman" w:hAnsi="Times New Roman" w:cs="Times New Roman"/>
          <w:i/>
          <w:sz w:val="24"/>
          <w:szCs w:val="24"/>
        </w:rPr>
        <w:t>,</w:t>
      </w:r>
      <w:r w:rsidR="008E0ABE" w:rsidRPr="00EA38DE">
        <w:rPr>
          <w:rFonts w:ascii="Times New Roman" w:hAnsi="Times New Roman" w:cs="Times New Roman"/>
          <w:i/>
          <w:sz w:val="24"/>
          <w:szCs w:val="24"/>
        </w:rPr>
        <w:t xml:space="preserve"> IFR, </w:t>
      </w:r>
      <w:r w:rsidR="00B36FCC" w:rsidRPr="00EA38DE">
        <w:rPr>
          <w:rFonts w:ascii="Times New Roman" w:hAnsi="Times New Roman" w:cs="Times New Roman"/>
          <w:i/>
          <w:sz w:val="24"/>
          <w:szCs w:val="24"/>
        </w:rPr>
        <w:t>TRF</w:t>
      </w:r>
      <w:r w:rsidR="000638BC" w:rsidRPr="00EA38DE">
        <w:rPr>
          <w:rFonts w:ascii="Times New Roman" w:hAnsi="Times New Roman" w:cs="Times New Roman"/>
          <w:i/>
          <w:sz w:val="24"/>
          <w:szCs w:val="24"/>
        </w:rPr>
        <w:t>, LAB</w:t>
      </w:r>
      <w:r w:rsidRPr="00EA38DE">
        <w:rPr>
          <w:rFonts w:ascii="Times New Roman" w:hAnsi="Times New Roman" w:cs="Times New Roman"/>
          <w:i/>
          <w:sz w:val="24"/>
          <w:szCs w:val="24"/>
        </w:rPr>
        <w:t>)</w:t>
      </w:r>
      <w:r w:rsidR="008E0ABE" w:rsidRPr="00EA38DE">
        <w:rPr>
          <w:rFonts w:ascii="Times New Roman" w:hAnsi="Times New Roman" w:cs="Times New Roman"/>
          <w:i/>
          <w:sz w:val="24"/>
          <w:szCs w:val="24"/>
        </w:rPr>
        <w:t xml:space="preserve"> </w:t>
      </w:r>
      <w:r w:rsidR="00B36FCC" w:rsidRPr="00EA38DE">
        <w:rPr>
          <w:rFonts w:ascii="Times New Roman" w:hAnsi="Times New Roman" w:cs="Times New Roman"/>
          <w:sz w:val="24"/>
          <w:szCs w:val="24"/>
        </w:rPr>
        <w:tab/>
      </w:r>
      <w:r w:rsidR="00B36FCC" w:rsidRPr="00EA38DE">
        <w:rPr>
          <w:rFonts w:ascii="Times New Roman" w:hAnsi="Times New Roman" w:cs="Times New Roman"/>
          <w:sz w:val="24"/>
          <w:szCs w:val="24"/>
        </w:rPr>
        <w:tab/>
      </w:r>
      <w:r w:rsidR="00B36FCC" w:rsidRPr="00EA38DE">
        <w:rPr>
          <w:rFonts w:ascii="Times New Roman" w:hAnsi="Times New Roman" w:cs="Times New Roman"/>
          <w:sz w:val="24"/>
          <w:szCs w:val="24"/>
        </w:rPr>
        <w:tab/>
      </w:r>
      <w:r w:rsidR="00B36FCC" w:rsidRPr="00EA38DE">
        <w:rPr>
          <w:rFonts w:ascii="Times New Roman" w:hAnsi="Times New Roman" w:cs="Times New Roman"/>
          <w:sz w:val="24"/>
          <w:szCs w:val="24"/>
        </w:rPr>
        <w:tab/>
      </w:r>
      <w:r w:rsidR="00B36FCC" w:rsidRPr="00EA38DE">
        <w:rPr>
          <w:rFonts w:ascii="Times New Roman" w:hAnsi="Times New Roman" w:cs="Times New Roman"/>
          <w:sz w:val="24"/>
          <w:szCs w:val="24"/>
        </w:rPr>
        <w:tab/>
      </w:r>
      <w:r w:rsidR="00B36FCC" w:rsidRPr="00EA38DE">
        <w:rPr>
          <w:rFonts w:ascii="Times New Roman" w:hAnsi="Times New Roman" w:cs="Times New Roman"/>
          <w:sz w:val="24"/>
          <w:szCs w:val="24"/>
        </w:rPr>
        <w:tab/>
        <w:t xml:space="preserve">       </w:t>
      </w:r>
      <w:r w:rsidR="00D320B0" w:rsidRPr="00EA38DE">
        <w:rPr>
          <w:rFonts w:ascii="Times New Roman" w:hAnsi="Times New Roman" w:cs="Times New Roman"/>
          <w:sz w:val="24"/>
          <w:szCs w:val="24"/>
        </w:rPr>
        <w:tab/>
        <w:t xml:space="preserve"> </w:t>
      </w:r>
      <w:r w:rsidR="004F404C" w:rsidRPr="00EA38DE">
        <w:rPr>
          <w:rFonts w:ascii="Times New Roman" w:hAnsi="Times New Roman" w:cs="Times New Roman"/>
          <w:sz w:val="24"/>
          <w:szCs w:val="24"/>
        </w:rPr>
        <w:t>(</w:t>
      </w:r>
      <w:r w:rsidR="00D320B0" w:rsidRPr="00EA38DE">
        <w:rPr>
          <w:rFonts w:ascii="Times New Roman" w:hAnsi="Times New Roman" w:cs="Times New Roman"/>
          <w:sz w:val="24"/>
          <w:szCs w:val="24"/>
        </w:rPr>
        <w:t>3.</w:t>
      </w:r>
      <w:r w:rsidR="000C5D62" w:rsidRPr="00EA38DE">
        <w:rPr>
          <w:rFonts w:ascii="Times New Roman" w:hAnsi="Times New Roman" w:cs="Times New Roman"/>
          <w:sz w:val="24"/>
          <w:szCs w:val="24"/>
        </w:rPr>
        <w:t>7</w:t>
      </w:r>
      <w:r w:rsidR="004F404C" w:rsidRPr="00EA38DE">
        <w:rPr>
          <w:rFonts w:ascii="Times New Roman" w:hAnsi="Times New Roman" w:cs="Times New Roman"/>
          <w:sz w:val="24"/>
          <w:szCs w:val="24"/>
        </w:rPr>
        <w:t>)</w:t>
      </w:r>
    </w:p>
    <w:p w14:paraId="1927CA07" w14:textId="615F15F0" w:rsidR="0019649F" w:rsidRPr="00EA38DE" w:rsidRDefault="00A85401" w:rsidP="00CB10A8">
      <w:pPr>
        <w:pStyle w:val="ListParagraph"/>
        <w:spacing w:after="0" w:line="480" w:lineRule="auto"/>
        <w:ind w:left="360" w:hanging="360"/>
        <w:jc w:val="both"/>
        <w:rPr>
          <w:rFonts w:ascii="Times New Roman" w:hAnsi="Times New Roman" w:cs="Times New Roman"/>
          <w:sz w:val="24"/>
          <w:szCs w:val="24"/>
        </w:rPr>
      </w:pPr>
      <w:r w:rsidRPr="00EA38DE">
        <w:rPr>
          <w:rFonts w:ascii="Times New Roman" w:hAnsi="Times New Roman" w:cs="Times New Roman"/>
          <w:i/>
          <w:sz w:val="24"/>
          <w:szCs w:val="24"/>
        </w:rPr>
        <w:t xml:space="preserve">POR= F </w:t>
      </w:r>
      <w:r w:rsidR="0019649F" w:rsidRPr="00EA38DE">
        <w:rPr>
          <w:rFonts w:ascii="Times New Roman" w:hAnsi="Times New Roman" w:cs="Times New Roman"/>
          <w:i/>
          <w:sz w:val="24"/>
          <w:szCs w:val="24"/>
        </w:rPr>
        <w:t>(</w:t>
      </w:r>
      <w:r w:rsidR="002C4248" w:rsidRPr="00EA38DE">
        <w:rPr>
          <w:rFonts w:ascii="Times New Roman" w:hAnsi="Times New Roman" w:cs="Times New Roman"/>
          <w:i/>
          <w:sz w:val="24"/>
          <w:szCs w:val="24"/>
        </w:rPr>
        <w:t>EXR</w:t>
      </w:r>
      <w:r w:rsidR="00DB19D0" w:rsidRPr="00EA38DE">
        <w:rPr>
          <w:rFonts w:ascii="Times New Roman" w:hAnsi="Times New Roman" w:cs="Times New Roman"/>
          <w:i/>
          <w:sz w:val="24"/>
          <w:szCs w:val="24"/>
        </w:rPr>
        <w:t>V</w:t>
      </w:r>
      <w:r w:rsidR="002C4248" w:rsidRPr="00EA38DE">
        <w:rPr>
          <w:rFonts w:ascii="Times New Roman" w:hAnsi="Times New Roman" w:cs="Times New Roman"/>
          <w:i/>
          <w:sz w:val="24"/>
          <w:szCs w:val="24"/>
        </w:rPr>
        <w:t>,</w:t>
      </w:r>
      <w:r w:rsidR="008E0ABE" w:rsidRPr="00EA38DE">
        <w:rPr>
          <w:rFonts w:ascii="Times New Roman" w:hAnsi="Times New Roman" w:cs="Times New Roman"/>
          <w:i/>
          <w:sz w:val="24"/>
          <w:szCs w:val="24"/>
        </w:rPr>
        <w:t xml:space="preserve"> IFR, </w:t>
      </w:r>
      <w:r w:rsidR="00B36FCC" w:rsidRPr="00EA38DE">
        <w:rPr>
          <w:rFonts w:ascii="Times New Roman" w:hAnsi="Times New Roman" w:cs="Times New Roman"/>
          <w:i/>
          <w:sz w:val="24"/>
          <w:szCs w:val="24"/>
        </w:rPr>
        <w:t>TRF</w:t>
      </w:r>
      <w:r w:rsidR="000638BC" w:rsidRPr="00EA38DE">
        <w:rPr>
          <w:rFonts w:ascii="Times New Roman" w:hAnsi="Times New Roman" w:cs="Times New Roman"/>
          <w:i/>
          <w:sz w:val="24"/>
          <w:szCs w:val="24"/>
        </w:rPr>
        <w:t>, LAB</w:t>
      </w:r>
      <w:r w:rsidRPr="00EA38DE">
        <w:rPr>
          <w:rFonts w:ascii="Times New Roman" w:hAnsi="Times New Roman" w:cs="Times New Roman"/>
          <w:i/>
          <w:sz w:val="24"/>
          <w:szCs w:val="24"/>
        </w:rPr>
        <w:t xml:space="preserve">) </w:t>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t xml:space="preserve">       </w:t>
      </w:r>
      <w:r w:rsidR="00384466" w:rsidRPr="00EA38DE">
        <w:rPr>
          <w:rFonts w:ascii="Times New Roman" w:hAnsi="Times New Roman" w:cs="Times New Roman"/>
          <w:i/>
          <w:sz w:val="24"/>
          <w:szCs w:val="24"/>
        </w:rPr>
        <w:t xml:space="preserve"> </w:t>
      </w:r>
      <w:r w:rsidR="00D320B0" w:rsidRPr="00EA38DE">
        <w:rPr>
          <w:rFonts w:ascii="Times New Roman" w:hAnsi="Times New Roman" w:cs="Times New Roman"/>
          <w:i/>
          <w:sz w:val="24"/>
          <w:szCs w:val="24"/>
        </w:rPr>
        <w:tab/>
      </w:r>
      <w:r w:rsidR="00384466" w:rsidRPr="00EA38DE">
        <w:rPr>
          <w:rFonts w:ascii="Times New Roman" w:hAnsi="Times New Roman" w:cs="Times New Roman"/>
          <w:i/>
          <w:sz w:val="24"/>
          <w:szCs w:val="24"/>
        </w:rPr>
        <w:t xml:space="preserve"> </w:t>
      </w:r>
      <w:r w:rsidR="004F404C" w:rsidRPr="005B6E3E">
        <w:rPr>
          <w:rFonts w:ascii="Times New Roman" w:hAnsi="Times New Roman" w:cs="Times New Roman"/>
          <w:sz w:val="24"/>
          <w:szCs w:val="24"/>
        </w:rPr>
        <w:t>(</w:t>
      </w:r>
      <w:r w:rsidR="0019649F" w:rsidRPr="00EA38DE">
        <w:rPr>
          <w:rFonts w:ascii="Times New Roman" w:hAnsi="Times New Roman" w:cs="Times New Roman"/>
          <w:sz w:val="24"/>
          <w:szCs w:val="24"/>
        </w:rPr>
        <w:t>3</w:t>
      </w:r>
      <w:r w:rsidR="00CF4272" w:rsidRPr="00EA38DE">
        <w:rPr>
          <w:rFonts w:ascii="Times New Roman" w:hAnsi="Times New Roman" w:cs="Times New Roman"/>
          <w:sz w:val="24"/>
          <w:szCs w:val="24"/>
        </w:rPr>
        <w:t>.</w:t>
      </w:r>
      <w:r w:rsidR="000C5D62" w:rsidRPr="00EA38DE">
        <w:rPr>
          <w:rFonts w:ascii="Times New Roman" w:hAnsi="Times New Roman" w:cs="Times New Roman"/>
          <w:sz w:val="24"/>
          <w:szCs w:val="24"/>
        </w:rPr>
        <w:t>8</w:t>
      </w:r>
      <w:r w:rsidR="004F404C" w:rsidRPr="00EA38DE">
        <w:rPr>
          <w:rFonts w:ascii="Times New Roman" w:hAnsi="Times New Roman" w:cs="Times New Roman"/>
          <w:sz w:val="24"/>
          <w:szCs w:val="24"/>
        </w:rPr>
        <w:t>)</w:t>
      </w:r>
    </w:p>
    <w:p w14:paraId="266327E1" w14:textId="6919A0D0" w:rsidR="00A85401" w:rsidRPr="00EA38DE" w:rsidRDefault="002C4248" w:rsidP="00CB10A8">
      <w:pPr>
        <w:pStyle w:val="ListParagraph"/>
        <w:spacing w:after="0" w:line="480" w:lineRule="auto"/>
        <w:ind w:left="360" w:hanging="360"/>
        <w:jc w:val="both"/>
        <w:rPr>
          <w:rFonts w:ascii="Times New Roman" w:hAnsi="Times New Roman" w:cs="Times New Roman"/>
          <w:sz w:val="24"/>
          <w:szCs w:val="24"/>
        </w:rPr>
      </w:pPr>
      <w:r w:rsidRPr="00EA38DE">
        <w:rPr>
          <w:rFonts w:ascii="Times New Roman" w:hAnsi="Times New Roman" w:cs="Times New Roman"/>
          <w:i/>
          <w:sz w:val="24"/>
          <w:szCs w:val="24"/>
        </w:rPr>
        <w:t>CTP= F (FSH</w:t>
      </w:r>
      <w:r w:rsidR="008E0ABE" w:rsidRPr="00EA38DE">
        <w:rPr>
          <w:rFonts w:ascii="Times New Roman" w:hAnsi="Times New Roman" w:cs="Times New Roman"/>
          <w:i/>
          <w:sz w:val="24"/>
          <w:szCs w:val="24"/>
        </w:rPr>
        <w:t xml:space="preserve">, IFR, </w:t>
      </w:r>
      <w:r w:rsidR="00CF4272" w:rsidRPr="00EA38DE">
        <w:rPr>
          <w:rFonts w:ascii="Times New Roman" w:hAnsi="Times New Roman" w:cs="Times New Roman"/>
          <w:i/>
          <w:sz w:val="24"/>
          <w:szCs w:val="24"/>
        </w:rPr>
        <w:t>TRF</w:t>
      </w:r>
      <w:r w:rsidR="000638BC" w:rsidRPr="00EA38DE">
        <w:rPr>
          <w:rFonts w:ascii="Times New Roman" w:hAnsi="Times New Roman" w:cs="Times New Roman"/>
          <w:i/>
          <w:sz w:val="24"/>
          <w:szCs w:val="24"/>
        </w:rPr>
        <w:t>, LAB</w:t>
      </w:r>
      <w:r w:rsidR="00A85401" w:rsidRPr="00EA38DE">
        <w:rPr>
          <w:rFonts w:ascii="Times New Roman" w:hAnsi="Times New Roman" w:cs="Times New Roman"/>
          <w:i/>
          <w:sz w:val="24"/>
          <w:szCs w:val="24"/>
        </w:rPr>
        <w:t>)</w:t>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r>
      <w:r w:rsidR="00CF4272" w:rsidRPr="00EA38DE">
        <w:rPr>
          <w:rFonts w:ascii="Times New Roman" w:hAnsi="Times New Roman" w:cs="Times New Roman"/>
          <w:i/>
          <w:sz w:val="24"/>
          <w:szCs w:val="24"/>
        </w:rPr>
        <w:tab/>
        <w:t xml:space="preserve">          </w:t>
      </w:r>
      <w:r w:rsidR="00AA459E" w:rsidRPr="00EA38DE">
        <w:rPr>
          <w:rFonts w:ascii="Times New Roman" w:hAnsi="Times New Roman" w:cs="Times New Roman"/>
          <w:i/>
          <w:sz w:val="24"/>
          <w:szCs w:val="24"/>
        </w:rPr>
        <w:t xml:space="preserve">  </w:t>
      </w:r>
      <w:r w:rsidR="00AA459E" w:rsidRPr="005B6E3E">
        <w:rPr>
          <w:rFonts w:ascii="Times New Roman" w:hAnsi="Times New Roman" w:cs="Times New Roman"/>
          <w:sz w:val="24"/>
          <w:szCs w:val="24"/>
        </w:rPr>
        <w:t>(</w:t>
      </w:r>
      <w:r w:rsidR="00CF4272" w:rsidRPr="005B6E3E">
        <w:rPr>
          <w:rFonts w:ascii="Times New Roman" w:hAnsi="Times New Roman" w:cs="Times New Roman"/>
          <w:sz w:val="24"/>
          <w:szCs w:val="24"/>
        </w:rPr>
        <w:t>3</w:t>
      </w:r>
      <w:r w:rsidR="00CF4272" w:rsidRPr="00EA38DE">
        <w:rPr>
          <w:rFonts w:ascii="Times New Roman" w:hAnsi="Times New Roman" w:cs="Times New Roman"/>
          <w:i/>
          <w:sz w:val="24"/>
          <w:szCs w:val="24"/>
        </w:rPr>
        <w:t>.</w:t>
      </w:r>
      <w:r w:rsidR="000C5D62" w:rsidRPr="00EA38DE">
        <w:rPr>
          <w:rFonts w:ascii="Times New Roman" w:hAnsi="Times New Roman" w:cs="Times New Roman"/>
          <w:sz w:val="24"/>
          <w:szCs w:val="24"/>
        </w:rPr>
        <w:t>9</w:t>
      </w:r>
      <w:r w:rsidR="004F404C" w:rsidRPr="00EA38DE">
        <w:rPr>
          <w:rFonts w:ascii="Times New Roman" w:hAnsi="Times New Roman" w:cs="Times New Roman"/>
          <w:sz w:val="24"/>
          <w:szCs w:val="24"/>
        </w:rPr>
        <w:t>)</w:t>
      </w:r>
    </w:p>
    <w:p w14:paraId="44FD9ECB" w14:textId="1E6878CE" w:rsidR="00A85401" w:rsidRPr="00EA38DE" w:rsidRDefault="002C4248" w:rsidP="00CB10A8">
      <w:pPr>
        <w:pStyle w:val="ListParagraph"/>
        <w:spacing w:after="0" w:line="480" w:lineRule="auto"/>
        <w:ind w:left="360" w:hanging="360"/>
        <w:jc w:val="both"/>
        <w:rPr>
          <w:rFonts w:ascii="Times New Roman" w:hAnsi="Times New Roman" w:cs="Times New Roman"/>
          <w:sz w:val="24"/>
          <w:szCs w:val="24"/>
        </w:rPr>
      </w:pPr>
      <w:r w:rsidRPr="00EA38DE">
        <w:rPr>
          <w:rFonts w:ascii="Times New Roman" w:hAnsi="Times New Roman" w:cs="Times New Roman"/>
          <w:i/>
          <w:sz w:val="24"/>
          <w:szCs w:val="24"/>
        </w:rPr>
        <w:t>SHPC= F (FSH,</w:t>
      </w:r>
      <w:r w:rsidR="008E0ABE" w:rsidRPr="00EA38DE">
        <w:rPr>
          <w:rFonts w:ascii="Times New Roman" w:hAnsi="Times New Roman" w:cs="Times New Roman"/>
          <w:i/>
          <w:sz w:val="24"/>
          <w:szCs w:val="24"/>
        </w:rPr>
        <w:t xml:space="preserve"> IFR, </w:t>
      </w:r>
      <w:r w:rsidR="00CF4272" w:rsidRPr="00EA38DE">
        <w:rPr>
          <w:rFonts w:ascii="Times New Roman" w:hAnsi="Times New Roman" w:cs="Times New Roman"/>
          <w:i/>
          <w:sz w:val="24"/>
          <w:szCs w:val="24"/>
        </w:rPr>
        <w:t>TRF</w:t>
      </w:r>
      <w:r w:rsidR="000638BC" w:rsidRPr="00EA38DE">
        <w:rPr>
          <w:rFonts w:ascii="Times New Roman" w:hAnsi="Times New Roman" w:cs="Times New Roman"/>
          <w:i/>
          <w:sz w:val="24"/>
          <w:szCs w:val="24"/>
        </w:rPr>
        <w:t>, LAB</w:t>
      </w:r>
      <w:r w:rsidR="00A85401" w:rsidRPr="00EA38DE">
        <w:rPr>
          <w:rFonts w:ascii="Times New Roman" w:hAnsi="Times New Roman" w:cs="Times New Roman"/>
          <w:i/>
          <w:sz w:val="24"/>
          <w:szCs w:val="24"/>
        </w:rPr>
        <w:t xml:space="preserve">) </w:t>
      </w:r>
      <w:r w:rsidR="00384466" w:rsidRPr="00EA38DE">
        <w:rPr>
          <w:rFonts w:ascii="Times New Roman" w:hAnsi="Times New Roman" w:cs="Times New Roman"/>
          <w:i/>
          <w:sz w:val="24"/>
          <w:szCs w:val="24"/>
        </w:rPr>
        <w:tab/>
      </w:r>
      <w:r w:rsidR="00384466" w:rsidRPr="00EA38DE">
        <w:rPr>
          <w:rFonts w:ascii="Times New Roman" w:hAnsi="Times New Roman" w:cs="Times New Roman"/>
          <w:i/>
          <w:sz w:val="24"/>
          <w:szCs w:val="24"/>
        </w:rPr>
        <w:tab/>
      </w:r>
      <w:r w:rsidR="00384466" w:rsidRPr="00EA38DE">
        <w:rPr>
          <w:rFonts w:ascii="Times New Roman" w:hAnsi="Times New Roman" w:cs="Times New Roman"/>
          <w:i/>
          <w:sz w:val="24"/>
          <w:szCs w:val="24"/>
        </w:rPr>
        <w:tab/>
      </w:r>
      <w:r w:rsidR="00384466" w:rsidRPr="00EA38DE">
        <w:rPr>
          <w:rFonts w:ascii="Times New Roman" w:hAnsi="Times New Roman" w:cs="Times New Roman"/>
          <w:i/>
          <w:sz w:val="24"/>
          <w:szCs w:val="24"/>
        </w:rPr>
        <w:tab/>
      </w:r>
      <w:r w:rsidR="00384466" w:rsidRPr="00EA38DE">
        <w:rPr>
          <w:rFonts w:ascii="Times New Roman" w:hAnsi="Times New Roman" w:cs="Times New Roman"/>
          <w:i/>
          <w:sz w:val="24"/>
          <w:szCs w:val="24"/>
        </w:rPr>
        <w:tab/>
      </w:r>
      <w:r w:rsidR="00384466" w:rsidRPr="00EA38DE">
        <w:rPr>
          <w:rFonts w:ascii="Times New Roman" w:hAnsi="Times New Roman" w:cs="Times New Roman"/>
          <w:i/>
          <w:sz w:val="24"/>
          <w:szCs w:val="24"/>
        </w:rPr>
        <w:tab/>
      </w:r>
      <w:r w:rsidR="00384466" w:rsidRPr="00EA38DE">
        <w:rPr>
          <w:rFonts w:ascii="Times New Roman" w:hAnsi="Times New Roman" w:cs="Times New Roman"/>
          <w:i/>
          <w:sz w:val="24"/>
          <w:szCs w:val="24"/>
        </w:rPr>
        <w:tab/>
      </w:r>
      <w:r w:rsidR="00D320B0" w:rsidRPr="00EA38DE">
        <w:rPr>
          <w:rFonts w:ascii="Times New Roman" w:hAnsi="Times New Roman" w:cs="Times New Roman"/>
          <w:i/>
          <w:sz w:val="24"/>
          <w:szCs w:val="24"/>
        </w:rPr>
        <w:t xml:space="preserve"> </w:t>
      </w:r>
      <w:r w:rsidR="004F404C" w:rsidRPr="005B6E3E">
        <w:rPr>
          <w:rFonts w:ascii="Times New Roman" w:hAnsi="Times New Roman" w:cs="Times New Roman"/>
          <w:sz w:val="24"/>
          <w:szCs w:val="24"/>
        </w:rPr>
        <w:t>(</w:t>
      </w:r>
      <w:r w:rsidR="00384466" w:rsidRPr="00EA38DE">
        <w:rPr>
          <w:rFonts w:ascii="Times New Roman" w:hAnsi="Times New Roman" w:cs="Times New Roman"/>
          <w:sz w:val="24"/>
          <w:szCs w:val="24"/>
        </w:rPr>
        <w:t>3.</w:t>
      </w:r>
      <w:r w:rsidR="000C5D62" w:rsidRPr="00EA38DE">
        <w:rPr>
          <w:rFonts w:ascii="Times New Roman" w:hAnsi="Times New Roman" w:cs="Times New Roman"/>
          <w:sz w:val="24"/>
          <w:szCs w:val="24"/>
        </w:rPr>
        <w:t>10</w:t>
      </w:r>
      <w:r w:rsidR="004F404C" w:rsidRPr="00EA38DE">
        <w:rPr>
          <w:rFonts w:ascii="Times New Roman" w:hAnsi="Times New Roman" w:cs="Times New Roman"/>
          <w:sz w:val="24"/>
          <w:szCs w:val="24"/>
        </w:rPr>
        <w:t>)</w:t>
      </w:r>
    </w:p>
    <w:p w14:paraId="50C1AED8" w14:textId="3F436BCC" w:rsidR="00A85401" w:rsidRPr="00EA38DE" w:rsidRDefault="002C4248" w:rsidP="00CB10A8">
      <w:pPr>
        <w:pStyle w:val="ListParagraph"/>
        <w:spacing w:after="0" w:line="480" w:lineRule="auto"/>
        <w:ind w:left="360" w:hanging="360"/>
        <w:jc w:val="both"/>
        <w:rPr>
          <w:rFonts w:ascii="Times New Roman" w:hAnsi="Times New Roman" w:cs="Times New Roman"/>
          <w:sz w:val="24"/>
          <w:szCs w:val="24"/>
        </w:rPr>
      </w:pPr>
      <w:r w:rsidRPr="00EA38DE">
        <w:rPr>
          <w:rFonts w:ascii="Times New Roman" w:hAnsi="Times New Roman" w:cs="Times New Roman"/>
          <w:i/>
          <w:sz w:val="24"/>
          <w:szCs w:val="24"/>
        </w:rPr>
        <w:t>POR= F (FSH</w:t>
      </w:r>
      <w:r w:rsidR="008E0ABE" w:rsidRPr="00EA38DE">
        <w:rPr>
          <w:rFonts w:ascii="Times New Roman" w:hAnsi="Times New Roman" w:cs="Times New Roman"/>
          <w:i/>
          <w:sz w:val="24"/>
          <w:szCs w:val="24"/>
        </w:rPr>
        <w:t xml:space="preserve">, IFR, </w:t>
      </w:r>
      <w:r w:rsidR="00CF4272" w:rsidRPr="00EA38DE">
        <w:rPr>
          <w:rFonts w:ascii="Times New Roman" w:hAnsi="Times New Roman" w:cs="Times New Roman"/>
          <w:i/>
          <w:sz w:val="24"/>
          <w:szCs w:val="24"/>
        </w:rPr>
        <w:t>TRF</w:t>
      </w:r>
      <w:r w:rsidR="000638BC" w:rsidRPr="00EA38DE">
        <w:rPr>
          <w:rFonts w:ascii="Times New Roman" w:hAnsi="Times New Roman" w:cs="Times New Roman"/>
          <w:i/>
          <w:sz w:val="24"/>
          <w:szCs w:val="24"/>
        </w:rPr>
        <w:t>, LAB</w:t>
      </w:r>
      <w:r w:rsidR="00A85401" w:rsidRPr="00EA38DE">
        <w:rPr>
          <w:rFonts w:ascii="Times New Roman" w:hAnsi="Times New Roman" w:cs="Times New Roman"/>
          <w:i/>
          <w:sz w:val="24"/>
          <w:szCs w:val="24"/>
        </w:rPr>
        <w:t>)</w:t>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t xml:space="preserve"> </w:t>
      </w:r>
      <w:r w:rsidR="004F404C" w:rsidRPr="005B6E3E">
        <w:rPr>
          <w:rFonts w:ascii="Times New Roman" w:hAnsi="Times New Roman" w:cs="Times New Roman"/>
          <w:sz w:val="24"/>
          <w:szCs w:val="24"/>
        </w:rPr>
        <w:t>(</w:t>
      </w:r>
      <w:r w:rsidR="00D320B0" w:rsidRPr="00EA38DE">
        <w:rPr>
          <w:rFonts w:ascii="Times New Roman" w:hAnsi="Times New Roman" w:cs="Times New Roman"/>
          <w:i/>
          <w:sz w:val="24"/>
          <w:szCs w:val="24"/>
        </w:rPr>
        <w:t>3.</w:t>
      </w:r>
      <w:r w:rsidR="000C5D62" w:rsidRPr="00EA38DE">
        <w:rPr>
          <w:rFonts w:ascii="Times New Roman" w:hAnsi="Times New Roman" w:cs="Times New Roman"/>
          <w:sz w:val="24"/>
          <w:szCs w:val="24"/>
        </w:rPr>
        <w:t>11</w:t>
      </w:r>
      <w:r w:rsidR="004F404C" w:rsidRPr="00EA38DE">
        <w:rPr>
          <w:rFonts w:ascii="Times New Roman" w:hAnsi="Times New Roman" w:cs="Times New Roman"/>
          <w:sz w:val="24"/>
          <w:szCs w:val="24"/>
        </w:rPr>
        <w:t>)</w:t>
      </w:r>
    </w:p>
    <w:p w14:paraId="697471D3" w14:textId="30FB32A4" w:rsidR="00A85401" w:rsidRPr="00EA38DE" w:rsidRDefault="00A85401" w:rsidP="00CB10A8">
      <w:pPr>
        <w:pStyle w:val="ListParagraph"/>
        <w:spacing w:after="0" w:line="480" w:lineRule="auto"/>
        <w:ind w:left="360" w:hanging="360"/>
        <w:jc w:val="both"/>
        <w:rPr>
          <w:rFonts w:ascii="Times New Roman" w:hAnsi="Times New Roman" w:cs="Times New Roman"/>
          <w:i/>
          <w:sz w:val="24"/>
          <w:szCs w:val="24"/>
        </w:rPr>
      </w:pPr>
      <w:r w:rsidRPr="00EA38DE">
        <w:rPr>
          <w:rFonts w:ascii="Times New Roman" w:hAnsi="Times New Roman" w:cs="Times New Roman"/>
          <w:i/>
          <w:sz w:val="24"/>
          <w:szCs w:val="24"/>
        </w:rPr>
        <w:lastRenderedPageBreak/>
        <w:t>CTP= F (AQT,</w:t>
      </w:r>
      <w:r w:rsidR="008E0ABE" w:rsidRPr="00EA38DE">
        <w:rPr>
          <w:rFonts w:ascii="Times New Roman" w:hAnsi="Times New Roman" w:cs="Times New Roman"/>
          <w:i/>
          <w:sz w:val="24"/>
          <w:szCs w:val="24"/>
        </w:rPr>
        <w:t xml:space="preserve"> IFR,</w:t>
      </w:r>
      <w:r w:rsidR="00CF4272" w:rsidRPr="00EA38DE">
        <w:rPr>
          <w:rFonts w:ascii="Times New Roman" w:hAnsi="Times New Roman" w:cs="Times New Roman"/>
          <w:i/>
          <w:sz w:val="24"/>
          <w:szCs w:val="24"/>
        </w:rPr>
        <w:t xml:space="preserve"> TRF</w:t>
      </w:r>
      <w:r w:rsidR="00C04F52" w:rsidRPr="00EA38DE">
        <w:rPr>
          <w:rFonts w:ascii="Times New Roman" w:hAnsi="Times New Roman" w:cs="Times New Roman"/>
          <w:i/>
          <w:sz w:val="24"/>
          <w:szCs w:val="24"/>
        </w:rPr>
        <w:t>, LAB</w:t>
      </w:r>
      <w:r w:rsidRPr="00EA38DE">
        <w:rPr>
          <w:rFonts w:ascii="Times New Roman" w:hAnsi="Times New Roman" w:cs="Times New Roman"/>
          <w:i/>
          <w:sz w:val="24"/>
          <w:szCs w:val="24"/>
        </w:rPr>
        <w:t xml:space="preserve">) </w:t>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4F404C" w:rsidRPr="005B6E3E">
        <w:rPr>
          <w:rFonts w:ascii="Times New Roman" w:hAnsi="Times New Roman" w:cs="Times New Roman"/>
          <w:sz w:val="24"/>
          <w:szCs w:val="24"/>
        </w:rPr>
        <w:t>(</w:t>
      </w:r>
      <w:r w:rsidR="00D320B0" w:rsidRPr="00EA38DE">
        <w:rPr>
          <w:rFonts w:ascii="Times New Roman" w:hAnsi="Times New Roman" w:cs="Times New Roman"/>
          <w:sz w:val="24"/>
          <w:szCs w:val="24"/>
        </w:rPr>
        <w:t>3.</w:t>
      </w:r>
      <w:r w:rsidR="002A3FF0" w:rsidRPr="00EA38DE">
        <w:rPr>
          <w:rFonts w:ascii="Times New Roman" w:hAnsi="Times New Roman" w:cs="Times New Roman"/>
          <w:sz w:val="24"/>
          <w:szCs w:val="24"/>
        </w:rPr>
        <w:t>1</w:t>
      </w:r>
      <w:r w:rsidR="000C5D62" w:rsidRPr="00EA38DE">
        <w:rPr>
          <w:rFonts w:ascii="Times New Roman" w:hAnsi="Times New Roman" w:cs="Times New Roman"/>
          <w:sz w:val="24"/>
          <w:szCs w:val="24"/>
        </w:rPr>
        <w:t>2</w:t>
      </w:r>
      <w:r w:rsidR="004F404C" w:rsidRPr="00EA38DE">
        <w:rPr>
          <w:rFonts w:ascii="Times New Roman" w:hAnsi="Times New Roman" w:cs="Times New Roman"/>
          <w:sz w:val="24"/>
          <w:szCs w:val="24"/>
        </w:rPr>
        <w:t>)</w:t>
      </w:r>
    </w:p>
    <w:p w14:paraId="333F9B4C" w14:textId="3E0A69E7" w:rsidR="00A85401" w:rsidRPr="00EA38DE" w:rsidRDefault="00A85401" w:rsidP="00CB10A8">
      <w:pPr>
        <w:pStyle w:val="ListParagraph"/>
        <w:spacing w:after="0" w:line="480" w:lineRule="auto"/>
        <w:ind w:left="360" w:hanging="360"/>
        <w:jc w:val="both"/>
        <w:rPr>
          <w:rFonts w:ascii="Times New Roman" w:hAnsi="Times New Roman" w:cs="Times New Roman"/>
          <w:i/>
          <w:sz w:val="24"/>
          <w:szCs w:val="24"/>
        </w:rPr>
      </w:pPr>
      <w:r w:rsidRPr="00EA38DE">
        <w:rPr>
          <w:rFonts w:ascii="Times New Roman" w:hAnsi="Times New Roman" w:cs="Times New Roman"/>
          <w:i/>
          <w:sz w:val="24"/>
          <w:szCs w:val="24"/>
        </w:rPr>
        <w:t xml:space="preserve">SHPC= F (AQT, </w:t>
      </w:r>
      <w:r w:rsidR="008E0ABE" w:rsidRPr="00EA38DE">
        <w:rPr>
          <w:rFonts w:ascii="Times New Roman" w:hAnsi="Times New Roman" w:cs="Times New Roman"/>
          <w:i/>
          <w:sz w:val="24"/>
          <w:szCs w:val="24"/>
        </w:rPr>
        <w:t>I</w:t>
      </w:r>
      <w:r w:rsidR="00717FF0" w:rsidRPr="00EA38DE">
        <w:rPr>
          <w:rFonts w:ascii="Times New Roman" w:hAnsi="Times New Roman" w:cs="Times New Roman"/>
          <w:i/>
          <w:sz w:val="24"/>
          <w:szCs w:val="24"/>
        </w:rPr>
        <w:t>FR</w:t>
      </w:r>
      <w:r w:rsidR="00C04F52" w:rsidRPr="00EA38DE">
        <w:rPr>
          <w:rFonts w:ascii="Times New Roman" w:hAnsi="Times New Roman" w:cs="Times New Roman"/>
          <w:i/>
          <w:sz w:val="24"/>
          <w:szCs w:val="24"/>
        </w:rPr>
        <w:t>,</w:t>
      </w:r>
      <w:r w:rsidR="00CF4272" w:rsidRPr="00EA38DE">
        <w:rPr>
          <w:rFonts w:ascii="Times New Roman" w:hAnsi="Times New Roman" w:cs="Times New Roman"/>
          <w:i/>
          <w:sz w:val="24"/>
          <w:szCs w:val="24"/>
        </w:rPr>
        <w:t xml:space="preserve"> </w:t>
      </w:r>
      <w:r w:rsidR="008E0ABE" w:rsidRPr="00EA38DE">
        <w:rPr>
          <w:rFonts w:ascii="Times New Roman" w:hAnsi="Times New Roman" w:cs="Times New Roman"/>
          <w:i/>
          <w:sz w:val="24"/>
          <w:szCs w:val="24"/>
        </w:rPr>
        <w:t>T</w:t>
      </w:r>
      <w:r w:rsidR="00CF4272" w:rsidRPr="00EA38DE">
        <w:rPr>
          <w:rFonts w:ascii="Times New Roman" w:hAnsi="Times New Roman" w:cs="Times New Roman"/>
          <w:i/>
          <w:sz w:val="24"/>
          <w:szCs w:val="24"/>
        </w:rPr>
        <w:t>R</w:t>
      </w:r>
      <w:r w:rsidR="00C04F52" w:rsidRPr="00EA38DE">
        <w:rPr>
          <w:rFonts w:ascii="Times New Roman" w:hAnsi="Times New Roman" w:cs="Times New Roman"/>
          <w:i/>
          <w:sz w:val="24"/>
          <w:szCs w:val="24"/>
        </w:rPr>
        <w:t>F, LAB</w:t>
      </w:r>
      <w:r w:rsidRPr="00EA38DE">
        <w:rPr>
          <w:rFonts w:ascii="Times New Roman" w:hAnsi="Times New Roman" w:cs="Times New Roman"/>
          <w:i/>
          <w:sz w:val="24"/>
          <w:szCs w:val="24"/>
        </w:rPr>
        <w:t xml:space="preserve">) </w:t>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4F404C" w:rsidRPr="005B6E3E">
        <w:rPr>
          <w:rFonts w:ascii="Times New Roman" w:hAnsi="Times New Roman" w:cs="Times New Roman"/>
          <w:sz w:val="24"/>
          <w:szCs w:val="24"/>
        </w:rPr>
        <w:t>(</w:t>
      </w:r>
      <w:r w:rsidR="00D320B0" w:rsidRPr="00EA38DE">
        <w:rPr>
          <w:rFonts w:ascii="Times New Roman" w:hAnsi="Times New Roman" w:cs="Times New Roman"/>
          <w:sz w:val="24"/>
          <w:szCs w:val="24"/>
        </w:rPr>
        <w:t>3.</w:t>
      </w:r>
      <w:r w:rsidR="002A3FF0" w:rsidRPr="00EA38DE">
        <w:rPr>
          <w:rFonts w:ascii="Times New Roman" w:hAnsi="Times New Roman" w:cs="Times New Roman"/>
          <w:sz w:val="24"/>
          <w:szCs w:val="24"/>
        </w:rPr>
        <w:t>1</w:t>
      </w:r>
      <w:r w:rsidR="000C5D62" w:rsidRPr="00EA38DE">
        <w:rPr>
          <w:rFonts w:ascii="Times New Roman" w:hAnsi="Times New Roman" w:cs="Times New Roman"/>
          <w:sz w:val="24"/>
          <w:szCs w:val="24"/>
        </w:rPr>
        <w:t>3</w:t>
      </w:r>
      <w:r w:rsidR="004F404C" w:rsidRPr="00EA38DE">
        <w:rPr>
          <w:rFonts w:ascii="Times New Roman" w:hAnsi="Times New Roman" w:cs="Times New Roman"/>
          <w:sz w:val="24"/>
          <w:szCs w:val="24"/>
        </w:rPr>
        <w:t>)</w:t>
      </w:r>
    </w:p>
    <w:p w14:paraId="2A357ED0" w14:textId="459AFAF0" w:rsidR="00A85401" w:rsidRPr="00EA38DE" w:rsidRDefault="00A85401" w:rsidP="00CB10A8">
      <w:pPr>
        <w:pStyle w:val="ListParagraph"/>
        <w:spacing w:after="0" w:line="480" w:lineRule="auto"/>
        <w:ind w:left="360" w:hanging="360"/>
        <w:jc w:val="both"/>
        <w:rPr>
          <w:rFonts w:ascii="Times New Roman" w:hAnsi="Times New Roman" w:cs="Times New Roman"/>
          <w:i/>
          <w:sz w:val="24"/>
          <w:szCs w:val="24"/>
        </w:rPr>
      </w:pPr>
      <w:r w:rsidRPr="00EA38DE">
        <w:rPr>
          <w:rFonts w:ascii="Times New Roman" w:hAnsi="Times New Roman" w:cs="Times New Roman"/>
          <w:i/>
          <w:sz w:val="24"/>
          <w:szCs w:val="24"/>
        </w:rPr>
        <w:t>POR= F (AQT</w:t>
      </w:r>
      <w:r w:rsidR="008E0ABE" w:rsidRPr="00EA38DE">
        <w:rPr>
          <w:rFonts w:ascii="Times New Roman" w:hAnsi="Times New Roman" w:cs="Times New Roman"/>
          <w:i/>
          <w:sz w:val="24"/>
          <w:szCs w:val="24"/>
        </w:rPr>
        <w:t>, IFR, T</w:t>
      </w:r>
      <w:r w:rsidR="00717FF0" w:rsidRPr="00EA38DE">
        <w:rPr>
          <w:rFonts w:ascii="Times New Roman" w:hAnsi="Times New Roman" w:cs="Times New Roman"/>
          <w:i/>
          <w:sz w:val="24"/>
          <w:szCs w:val="24"/>
        </w:rPr>
        <w:t>RF</w:t>
      </w:r>
      <w:r w:rsidR="00C04F52" w:rsidRPr="00EA38DE">
        <w:rPr>
          <w:rFonts w:ascii="Times New Roman" w:hAnsi="Times New Roman" w:cs="Times New Roman"/>
          <w:i/>
          <w:sz w:val="24"/>
          <w:szCs w:val="24"/>
        </w:rPr>
        <w:t>, LAB</w:t>
      </w:r>
      <w:r w:rsidRPr="00EA38DE">
        <w:rPr>
          <w:rFonts w:ascii="Times New Roman" w:hAnsi="Times New Roman" w:cs="Times New Roman"/>
          <w:i/>
          <w:sz w:val="24"/>
          <w:szCs w:val="24"/>
        </w:rPr>
        <w:t xml:space="preserve">) </w:t>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4F404C" w:rsidRPr="005B6E3E">
        <w:rPr>
          <w:rFonts w:ascii="Times New Roman" w:hAnsi="Times New Roman" w:cs="Times New Roman"/>
          <w:sz w:val="24"/>
          <w:szCs w:val="24"/>
        </w:rPr>
        <w:t>(</w:t>
      </w:r>
      <w:r w:rsidR="00D320B0" w:rsidRPr="00EA38DE">
        <w:rPr>
          <w:rFonts w:ascii="Times New Roman" w:hAnsi="Times New Roman" w:cs="Times New Roman"/>
          <w:sz w:val="24"/>
          <w:szCs w:val="24"/>
        </w:rPr>
        <w:t>3.</w:t>
      </w:r>
      <w:r w:rsidR="002A3FF0" w:rsidRPr="00EA38DE">
        <w:rPr>
          <w:rFonts w:ascii="Times New Roman" w:hAnsi="Times New Roman" w:cs="Times New Roman"/>
          <w:sz w:val="24"/>
          <w:szCs w:val="24"/>
        </w:rPr>
        <w:t>1</w:t>
      </w:r>
      <w:r w:rsidR="000C5D62" w:rsidRPr="00EA38DE">
        <w:rPr>
          <w:rFonts w:ascii="Times New Roman" w:hAnsi="Times New Roman" w:cs="Times New Roman"/>
          <w:sz w:val="24"/>
          <w:szCs w:val="24"/>
        </w:rPr>
        <w:t>4</w:t>
      </w:r>
      <w:r w:rsidR="004F404C" w:rsidRPr="00EA38DE">
        <w:rPr>
          <w:rFonts w:ascii="Times New Roman" w:hAnsi="Times New Roman" w:cs="Times New Roman"/>
          <w:sz w:val="24"/>
          <w:szCs w:val="24"/>
        </w:rPr>
        <w:t>)</w:t>
      </w:r>
    </w:p>
    <w:p w14:paraId="614EC0FC" w14:textId="54323CA4" w:rsidR="00A85401" w:rsidRPr="00EA38DE" w:rsidRDefault="00A85401" w:rsidP="00CB10A8">
      <w:pPr>
        <w:pStyle w:val="ListParagraph"/>
        <w:spacing w:after="0" w:line="480" w:lineRule="auto"/>
        <w:ind w:left="360" w:hanging="360"/>
        <w:jc w:val="both"/>
        <w:rPr>
          <w:rFonts w:ascii="Times New Roman" w:hAnsi="Times New Roman" w:cs="Times New Roman"/>
          <w:i/>
          <w:sz w:val="24"/>
          <w:szCs w:val="24"/>
        </w:rPr>
      </w:pPr>
      <w:r w:rsidRPr="00EA38DE">
        <w:rPr>
          <w:rFonts w:ascii="Times New Roman" w:hAnsi="Times New Roman" w:cs="Times New Roman"/>
          <w:i/>
          <w:sz w:val="24"/>
          <w:szCs w:val="24"/>
        </w:rPr>
        <w:t>CTP= F (DLNT,</w:t>
      </w:r>
      <w:r w:rsidR="008E0ABE" w:rsidRPr="00EA38DE">
        <w:rPr>
          <w:rFonts w:ascii="Times New Roman" w:hAnsi="Times New Roman" w:cs="Times New Roman"/>
          <w:i/>
          <w:sz w:val="24"/>
          <w:szCs w:val="24"/>
        </w:rPr>
        <w:t xml:space="preserve"> IFR, T</w:t>
      </w:r>
      <w:r w:rsidR="00717FF0" w:rsidRPr="00EA38DE">
        <w:rPr>
          <w:rFonts w:ascii="Times New Roman" w:hAnsi="Times New Roman" w:cs="Times New Roman"/>
          <w:i/>
          <w:sz w:val="24"/>
          <w:szCs w:val="24"/>
        </w:rPr>
        <w:t>RF</w:t>
      </w:r>
      <w:r w:rsidR="00C04F52" w:rsidRPr="00EA38DE">
        <w:rPr>
          <w:rFonts w:ascii="Times New Roman" w:hAnsi="Times New Roman" w:cs="Times New Roman"/>
          <w:i/>
          <w:sz w:val="24"/>
          <w:szCs w:val="24"/>
        </w:rPr>
        <w:t>, LAB</w:t>
      </w:r>
      <w:r w:rsidRPr="00EA38DE">
        <w:rPr>
          <w:rFonts w:ascii="Times New Roman" w:hAnsi="Times New Roman" w:cs="Times New Roman"/>
          <w:i/>
          <w:sz w:val="24"/>
          <w:szCs w:val="24"/>
        </w:rPr>
        <w:t xml:space="preserve">) </w:t>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D320B0" w:rsidRPr="00EA38DE">
        <w:rPr>
          <w:rFonts w:ascii="Times New Roman" w:hAnsi="Times New Roman" w:cs="Times New Roman"/>
          <w:i/>
          <w:sz w:val="24"/>
          <w:szCs w:val="24"/>
        </w:rPr>
        <w:tab/>
      </w:r>
      <w:r w:rsidR="004F404C" w:rsidRPr="005B6E3E">
        <w:rPr>
          <w:rFonts w:ascii="Times New Roman" w:hAnsi="Times New Roman" w:cs="Times New Roman"/>
          <w:sz w:val="24"/>
          <w:szCs w:val="24"/>
        </w:rPr>
        <w:t>(</w:t>
      </w:r>
      <w:r w:rsidR="00D320B0" w:rsidRPr="00EA38DE">
        <w:rPr>
          <w:rFonts w:ascii="Times New Roman" w:hAnsi="Times New Roman" w:cs="Times New Roman"/>
          <w:sz w:val="24"/>
          <w:szCs w:val="24"/>
        </w:rPr>
        <w:t>3.</w:t>
      </w:r>
      <w:r w:rsidRPr="00EA38DE">
        <w:rPr>
          <w:rFonts w:ascii="Times New Roman" w:hAnsi="Times New Roman" w:cs="Times New Roman"/>
          <w:sz w:val="24"/>
          <w:szCs w:val="24"/>
        </w:rPr>
        <w:t>1</w:t>
      </w:r>
      <w:r w:rsidR="000C5D62" w:rsidRPr="00EA38DE">
        <w:rPr>
          <w:rFonts w:ascii="Times New Roman" w:hAnsi="Times New Roman" w:cs="Times New Roman"/>
          <w:sz w:val="24"/>
          <w:szCs w:val="24"/>
        </w:rPr>
        <w:t>5</w:t>
      </w:r>
      <w:r w:rsidR="004F404C" w:rsidRPr="00EA38DE">
        <w:rPr>
          <w:rFonts w:ascii="Times New Roman" w:hAnsi="Times New Roman" w:cs="Times New Roman"/>
          <w:sz w:val="24"/>
          <w:szCs w:val="24"/>
        </w:rPr>
        <w:t>)</w:t>
      </w:r>
    </w:p>
    <w:p w14:paraId="254E7211" w14:textId="7EF36942" w:rsidR="00A85401" w:rsidRPr="00EA38DE" w:rsidRDefault="00A85401" w:rsidP="00CB10A8">
      <w:pPr>
        <w:pStyle w:val="ListParagraph"/>
        <w:spacing w:after="0" w:line="480" w:lineRule="auto"/>
        <w:ind w:left="360" w:hanging="360"/>
        <w:jc w:val="both"/>
        <w:rPr>
          <w:rFonts w:ascii="Times New Roman" w:hAnsi="Times New Roman" w:cs="Times New Roman"/>
          <w:i/>
          <w:sz w:val="24"/>
          <w:szCs w:val="24"/>
        </w:rPr>
      </w:pPr>
      <w:r w:rsidRPr="00EA38DE">
        <w:rPr>
          <w:rFonts w:ascii="Times New Roman" w:hAnsi="Times New Roman" w:cs="Times New Roman"/>
          <w:i/>
          <w:sz w:val="24"/>
          <w:szCs w:val="24"/>
        </w:rPr>
        <w:t>SHPC= F (DLNT,</w:t>
      </w:r>
      <w:r w:rsidR="008E0ABE" w:rsidRPr="00EA38DE">
        <w:rPr>
          <w:rFonts w:ascii="Times New Roman" w:hAnsi="Times New Roman" w:cs="Times New Roman"/>
          <w:i/>
          <w:sz w:val="24"/>
          <w:szCs w:val="24"/>
        </w:rPr>
        <w:t xml:space="preserve"> IFR, T</w:t>
      </w:r>
      <w:r w:rsidR="00717FF0" w:rsidRPr="00EA38DE">
        <w:rPr>
          <w:rFonts w:ascii="Times New Roman" w:hAnsi="Times New Roman" w:cs="Times New Roman"/>
          <w:i/>
          <w:sz w:val="24"/>
          <w:szCs w:val="24"/>
        </w:rPr>
        <w:t>RF</w:t>
      </w:r>
      <w:r w:rsidR="00C04F52" w:rsidRPr="00EA38DE">
        <w:rPr>
          <w:rFonts w:ascii="Times New Roman" w:hAnsi="Times New Roman" w:cs="Times New Roman"/>
          <w:i/>
          <w:sz w:val="24"/>
          <w:szCs w:val="24"/>
        </w:rPr>
        <w:t>, LAB</w:t>
      </w:r>
      <w:r w:rsidRPr="00EA38DE">
        <w:rPr>
          <w:rFonts w:ascii="Times New Roman" w:hAnsi="Times New Roman" w:cs="Times New Roman"/>
          <w:i/>
          <w:sz w:val="24"/>
          <w:szCs w:val="24"/>
        </w:rPr>
        <w:t xml:space="preserve">) </w:t>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4F404C" w:rsidRPr="005B6E3E">
        <w:rPr>
          <w:rFonts w:ascii="Times New Roman" w:hAnsi="Times New Roman" w:cs="Times New Roman"/>
          <w:sz w:val="24"/>
          <w:szCs w:val="24"/>
        </w:rPr>
        <w:t>(</w:t>
      </w:r>
      <w:r w:rsidR="00D320B0" w:rsidRPr="00EA38DE">
        <w:rPr>
          <w:rFonts w:ascii="Times New Roman" w:hAnsi="Times New Roman" w:cs="Times New Roman"/>
          <w:sz w:val="24"/>
          <w:szCs w:val="24"/>
        </w:rPr>
        <w:t>3.</w:t>
      </w:r>
      <w:r w:rsidRPr="00EA38DE">
        <w:rPr>
          <w:rFonts w:ascii="Times New Roman" w:hAnsi="Times New Roman" w:cs="Times New Roman"/>
          <w:sz w:val="24"/>
          <w:szCs w:val="24"/>
        </w:rPr>
        <w:t>1</w:t>
      </w:r>
      <w:r w:rsidR="000C5D62" w:rsidRPr="00EA38DE">
        <w:rPr>
          <w:rFonts w:ascii="Times New Roman" w:hAnsi="Times New Roman" w:cs="Times New Roman"/>
          <w:sz w:val="24"/>
          <w:szCs w:val="24"/>
        </w:rPr>
        <w:t>6</w:t>
      </w:r>
      <w:r w:rsidR="004F404C" w:rsidRPr="00EA38DE">
        <w:rPr>
          <w:rFonts w:ascii="Times New Roman" w:hAnsi="Times New Roman" w:cs="Times New Roman"/>
          <w:sz w:val="24"/>
          <w:szCs w:val="24"/>
        </w:rPr>
        <w:t>)</w:t>
      </w:r>
    </w:p>
    <w:p w14:paraId="315D7594" w14:textId="11F8AEC9" w:rsidR="00A85401" w:rsidRPr="00EA38DE" w:rsidRDefault="00A85401" w:rsidP="00CB10A8">
      <w:pPr>
        <w:pStyle w:val="ListParagraph"/>
        <w:spacing w:after="0" w:line="480" w:lineRule="auto"/>
        <w:ind w:left="360" w:hanging="360"/>
        <w:jc w:val="both"/>
        <w:rPr>
          <w:rFonts w:ascii="Times New Roman" w:hAnsi="Times New Roman" w:cs="Times New Roman"/>
          <w:sz w:val="24"/>
          <w:szCs w:val="24"/>
        </w:rPr>
      </w:pPr>
      <w:r w:rsidRPr="00EA38DE">
        <w:rPr>
          <w:rFonts w:ascii="Times New Roman" w:hAnsi="Times New Roman" w:cs="Times New Roman"/>
          <w:i/>
          <w:sz w:val="24"/>
          <w:szCs w:val="24"/>
        </w:rPr>
        <w:t>POR= F (DLNT</w:t>
      </w:r>
      <w:r w:rsidR="008E0ABE" w:rsidRPr="00EA38DE">
        <w:rPr>
          <w:rFonts w:ascii="Times New Roman" w:hAnsi="Times New Roman" w:cs="Times New Roman"/>
          <w:i/>
          <w:sz w:val="24"/>
          <w:szCs w:val="24"/>
        </w:rPr>
        <w:t>, IFR, T</w:t>
      </w:r>
      <w:r w:rsidR="00717FF0" w:rsidRPr="00EA38DE">
        <w:rPr>
          <w:rFonts w:ascii="Times New Roman" w:hAnsi="Times New Roman" w:cs="Times New Roman"/>
          <w:i/>
          <w:sz w:val="24"/>
          <w:szCs w:val="24"/>
        </w:rPr>
        <w:t>RF</w:t>
      </w:r>
      <w:r w:rsidR="00C04F52" w:rsidRPr="00EA38DE">
        <w:rPr>
          <w:rFonts w:ascii="Times New Roman" w:hAnsi="Times New Roman" w:cs="Times New Roman"/>
          <w:i/>
          <w:sz w:val="24"/>
          <w:szCs w:val="24"/>
        </w:rPr>
        <w:t>, LAB</w:t>
      </w:r>
      <w:r w:rsidRPr="00EA38DE">
        <w:rPr>
          <w:rFonts w:ascii="Times New Roman" w:hAnsi="Times New Roman" w:cs="Times New Roman"/>
          <w:i/>
          <w:sz w:val="24"/>
          <w:szCs w:val="24"/>
        </w:rPr>
        <w:t xml:space="preserve">) </w:t>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077155" w:rsidRPr="00EA38DE">
        <w:rPr>
          <w:rFonts w:ascii="Times New Roman" w:hAnsi="Times New Roman" w:cs="Times New Roman"/>
          <w:i/>
          <w:sz w:val="24"/>
          <w:szCs w:val="24"/>
        </w:rPr>
        <w:tab/>
      </w:r>
      <w:r w:rsidR="004F404C" w:rsidRPr="005B6E3E">
        <w:rPr>
          <w:rFonts w:ascii="Times New Roman" w:hAnsi="Times New Roman" w:cs="Times New Roman"/>
          <w:sz w:val="24"/>
          <w:szCs w:val="24"/>
        </w:rPr>
        <w:t>(</w:t>
      </w:r>
      <w:r w:rsidR="00D320B0" w:rsidRPr="00EA38DE">
        <w:rPr>
          <w:rFonts w:ascii="Times New Roman" w:hAnsi="Times New Roman" w:cs="Times New Roman"/>
          <w:sz w:val="24"/>
          <w:szCs w:val="24"/>
        </w:rPr>
        <w:t>3.</w:t>
      </w:r>
      <w:r w:rsidRPr="00EA38DE">
        <w:rPr>
          <w:rFonts w:ascii="Times New Roman" w:hAnsi="Times New Roman" w:cs="Times New Roman"/>
          <w:sz w:val="24"/>
          <w:szCs w:val="24"/>
        </w:rPr>
        <w:t>1</w:t>
      </w:r>
      <w:r w:rsidR="000C5D62" w:rsidRPr="00EA38DE">
        <w:rPr>
          <w:rFonts w:ascii="Times New Roman" w:hAnsi="Times New Roman" w:cs="Times New Roman"/>
          <w:sz w:val="24"/>
          <w:szCs w:val="24"/>
        </w:rPr>
        <w:t>7</w:t>
      </w:r>
      <w:r w:rsidR="004F404C" w:rsidRPr="00EA38DE">
        <w:rPr>
          <w:rFonts w:ascii="Times New Roman" w:hAnsi="Times New Roman" w:cs="Times New Roman"/>
          <w:sz w:val="24"/>
          <w:szCs w:val="24"/>
        </w:rPr>
        <w:t>)</w:t>
      </w:r>
    </w:p>
    <w:p w14:paraId="6283A7E5" w14:textId="7C3EB0CA" w:rsidR="00ED25C2" w:rsidRPr="00EA38DE" w:rsidRDefault="0019649F" w:rsidP="00CB10A8">
      <w:pPr>
        <w:autoSpaceDE w:val="0"/>
        <w:autoSpaceDN w:val="0"/>
        <w:adjustRightInd w:val="0"/>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Econometrically, the models stated above will be re-modified </w:t>
      </w:r>
      <w:r w:rsidR="002C4248" w:rsidRPr="00EA38DE">
        <w:rPr>
          <w:rFonts w:ascii="Times New Roman" w:hAnsi="Times New Roman" w:cs="Times New Roman"/>
          <w:sz w:val="24"/>
          <w:szCs w:val="24"/>
        </w:rPr>
        <w:t>in ARDL form</w:t>
      </w:r>
      <w:r w:rsidR="005E0BF6" w:rsidRPr="00EA38DE">
        <w:rPr>
          <w:rFonts w:ascii="Times New Roman" w:hAnsi="Times New Roman" w:cs="Times New Roman"/>
          <w:sz w:val="24"/>
          <w:szCs w:val="24"/>
        </w:rPr>
        <w:t xml:space="preserve"> and unit root form</w:t>
      </w:r>
      <w:r w:rsidRPr="00EA38DE">
        <w:rPr>
          <w:rFonts w:ascii="Times New Roman" w:hAnsi="Times New Roman" w:cs="Times New Roman"/>
          <w:sz w:val="24"/>
          <w:szCs w:val="24"/>
        </w:rPr>
        <w:t>:</w:t>
      </w:r>
      <w:r w:rsidR="007F2A76" w:rsidRPr="00EA38DE">
        <w:rPr>
          <w:rFonts w:ascii="Times New Roman" w:hAnsi="Times New Roman" w:cs="Times New Roman"/>
          <w:sz w:val="24"/>
          <w:szCs w:val="24"/>
        </w:rPr>
        <w:t xml:space="preserve"> </w:t>
      </w:r>
    </w:p>
    <w:p w14:paraId="7CBC6B79" w14:textId="07FD12CD" w:rsidR="009C48F7" w:rsidRPr="00EA38DE" w:rsidRDefault="005E0BF6" w:rsidP="00CB10A8">
      <w:pPr>
        <w:autoSpaceDE w:val="0"/>
        <w:autoSpaceDN w:val="0"/>
        <w:adjustRightInd w:val="0"/>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ARDL Form</w:t>
      </w:r>
    </w:p>
    <w:p w14:paraId="027D0257" w14:textId="4F8ED134" w:rsidR="009E0E31" w:rsidRPr="00EA38DE" w:rsidRDefault="009E0E31"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Model One: </w:t>
      </w:r>
      <w:r w:rsidR="003F223A" w:rsidRPr="00EA38DE">
        <w:rPr>
          <w:rFonts w:ascii="Times New Roman" w:hAnsi="Times New Roman" w:cs="Times New Roman"/>
          <w:b/>
          <w:sz w:val="24"/>
          <w:szCs w:val="24"/>
        </w:rPr>
        <w:t xml:space="preserve">Exchange Rate </w:t>
      </w:r>
      <w:r w:rsidR="00031C49" w:rsidRPr="00EA38DE">
        <w:rPr>
          <w:rFonts w:ascii="Times New Roman" w:hAnsi="Times New Roman" w:cs="Times New Roman"/>
          <w:b/>
          <w:sz w:val="24"/>
          <w:szCs w:val="24"/>
        </w:rPr>
        <w:t>Volatility</w:t>
      </w:r>
      <w:r w:rsidR="003F223A" w:rsidRPr="00EA38DE">
        <w:rPr>
          <w:rFonts w:ascii="Times New Roman" w:hAnsi="Times New Roman" w:cs="Times New Roman"/>
          <w:b/>
          <w:sz w:val="24"/>
          <w:szCs w:val="24"/>
        </w:rPr>
        <w:t xml:space="preserve"> and CTP </w:t>
      </w:r>
      <w:r w:rsidRPr="00EA38DE">
        <w:rPr>
          <w:rFonts w:ascii="Times New Roman" w:hAnsi="Times New Roman" w:cs="Times New Roman"/>
          <w:b/>
          <w:sz w:val="24"/>
          <w:szCs w:val="24"/>
        </w:rPr>
        <w:t xml:space="preserve"> </w:t>
      </w:r>
    </w:p>
    <w:p w14:paraId="7216763E" w14:textId="4BE7F2B6" w:rsidR="00717169" w:rsidRPr="00EA38DE" w:rsidRDefault="00BD75E9" w:rsidP="00717169">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7FF1960D">
              <v:shape id="_x0000_i1025" type="#_x0000_t75" style="width:38.25pt;height:19.5pt;visibility:visible;mso-wrap-distance-left:0;mso-wrap-distance-right:0" o:ole="">
                <v:imagedata r:id="rId10" o:title="" embosscolor="white"/>
              </v:shape>
              <o:OLEObject Type="Embed" ProgID="Equation.3" ShapeID="_x0000_i1025" DrawAspect="Content" ObjectID="_1832094671" r:id="rId11"/>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r>
                <m:rPr>
                  <m:sty m:val="p"/>
                </m:rP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EXRV</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(3.18)</m:t>
          </m:r>
        </m:oMath>
      </m:oMathPara>
    </w:p>
    <w:p w14:paraId="0206F315" w14:textId="55733887" w:rsidR="009E0E31" w:rsidRPr="00EA38DE" w:rsidRDefault="009E0E31"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Model Two: </w:t>
      </w:r>
      <w:r w:rsidR="003F223A" w:rsidRPr="00EA38DE">
        <w:rPr>
          <w:rFonts w:ascii="Times New Roman" w:hAnsi="Times New Roman" w:cs="Times New Roman"/>
          <w:b/>
          <w:sz w:val="24"/>
          <w:szCs w:val="24"/>
        </w:rPr>
        <w:t xml:space="preserve">Exchange rate </w:t>
      </w:r>
      <w:r w:rsidR="00AB297B" w:rsidRPr="00EA38DE">
        <w:rPr>
          <w:rFonts w:ascii="Times New Roman" w:hAnsi="Times New Roman" w:cs="Times New Roman"/>
          <w:b/>
          <w:sz w:val="24"/>
          <w:szCs w:val="24"/>
        </w:rPr>
        <w:t>Volatility</w:t>
      </w:r>
      <w:r w:rsidRPr="00EA38DE">
        <w:rPr>
          <w:rFonts w:ascii="Times New Roman" w:hAnsi="Times New Roman" w:cs="Times New Roman"/>
          <w:b/>
          <w:sz w:val="24"/>
          <w:szCs w:val="24"/>
        </w:rPr>
        <w:t xml:space="preserve"> and </w:t>
      </w:r>
      <w:r w:rsidR="00717169" w:rsidRPr="00EA38DE">
        <w:rPr>
          <w:rFonts w:ascii="Times New Roman" w:hAnsi="Times New Roman" w:cs="Times New Roman"/>
          <w:b/>
          <w:sz w:val="24"/>
          <w:szCs w:val="24"/>
        </w:rPr>
        <w:t>S</w:t>
      </w:r>
      <w:r w:rsidR="003F223A" w:rsidRPr="00EA38DE">
        <w:rPr>
          <w:rFonts w:ascii="Times New Roman" w:hAnsi="Times New Roman" w:cs="Times New Roman"/>
          <w:b/>
          <w:sz w:val="24"/>
          <w:szCs w:val="24"/>
        </w:rPr>
        <w:t>HPC</w:t>
      </w:r>
    </w:p>
    <w:bookmarkStart w:id="8" w:name="_Hlk209055515"/>
    <w:p w14:paraId="5FA82905" w14:textId="24C5C33A" w:rsidR="009E0E31" w:rsidRPr="00EA38DE" w:rsidRDefault="00BD75E9" w:rsidP="00CB10A8">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79072123">
              <v:shape id="1030" o:spid="_x0000_i1026" type="#_x0000_t75" style="width:38.25pt;height:19.5pt;visibility:visible;mso-wrap-distance-left:0;mso-wrap-distance-right:0" o:ole="">
                <v:imagedata r:id="rId10" o:title="" embosscolor="white"/>
              </v:shape>
              <o:OLEObject Type="Embed" ProgID="Equation.3" ShapeID="1030" DrawAspect="Content" ObjectID="_1832094672" r:id="rId12"/>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r>
                <m:rPr>
                  <m:sty m:val="p"/>
                </m:rP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EXRV</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(3.19)</m:t>
          </m:r>
        </m:oMath>
      </m:oMathPara>
    </w:p>
    <w:bookmarkEnd w:id="8"/>
    <w:p w14:paraId="513A8E18" w14:textId="290BC3AC" w:rsidR="009E0E31" w:rsidRPr="00EA38DE" w:rsidRDefault="00C66232"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Model Three: </w:t>
      </w:r>
      <w:r w:rsidR="003F223A" w:rsidRPr="00EA38DE">
        <w:rPr>
          <w:rFonts w:ascii="Times New Roman" w:hAnsi="Times New Roman" w:cs="Times New Roman"/>
          <w:b/>
          <w:sz w:val="24"/>
          <w:szCs w:val="24"/>
        </w:rPr>
        <w:t xml:space="preserve">Exchange rate </w:t>
      </w:r>
      <w:r w:rsidR="00AB297B" w:rsidRPr="00EA38DE">
        <w:rPr>
          <w:rFonts w:ascii="Times New Roman" w:hAnsi="Times New Roman" w:cs="Times New Roman"/>
          <w:b/>
          <w:sz w:val="24"/>
          <w:szCs w:val="24"/>
        </w:rPr>
        <w:t>Volatility</w:t>
      </w:r>
      <w:r w:rsidR="003F223A" w:rsidRPr="00EA38DE">
        <w:rPr>
          <w:rFonts w:ascii="Times New Roman" w:hAnsi="Times New Roman" w:cs="Times New Roman"/>
          <w:b/>
          <w:sz w:val="24"/>
          <w:szCs w:val="24"/>
        </w:rPr>
        <w:t xml:space="preserve"> and </w:t>
      </w:r>
      <w:r w:rsidRPr="00EA38DE">
        <w:rPr>
          <w:rFonts w:ascii="Times New Roman" w:hAnsi="Times New Roman" w:cs="Times New Roman"/>
          <w:b/>
          <w:sz w:val="24"/>
          <w:szCs w:val="24"/>
        </w:rPr>
        <w:t>POR</w:t>
      </w:r>
    </w:p>
    <w:bookmarkStart w:id="9" w:name="_Hlk209056070"/>
    <w:p w14:paraId="5E1A1833" w14:textId="28DC12C5" w:rsidR="008C5D69" w:rsidRPr="00EA38DE" w:rsidRDefault="00BD75E9" w:rsidP="008C5D69">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5D2E8E68">
              <v:shape id="_x0000_i1027" type="#_x0000_t75" style="width:38.25pt;height:19.5pt;visibility:visible;mso-wrap-distance-left:0;mso-wrap-distance-right:0" o:ole="">
                <v:imagedata r:id="rId10" o:title="" embosscolor="white"/>
              </v:shape>
              <o:OLEObject Type="Embed" ProgID="Equation.3" ShapeID="_x0000_i1027" DrawAspect="Content" ObjectID="_1832094673" r:id="rId13"/>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r>
                <m:rPr>
                  <m:sty m:val="p"/>
                </m:rP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EXRV</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(3.20)</m:t>
          </m:r>
        </m:oMath>
      </m:oMathPara>
    </w:p>
    <w:bookmarkEnd w:id="9"/>
    <w:p w14:paraId="5B6635E1" w14:textId="7E29AFA1" w:rsidR="004E0AA6"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Four</w:t>
      </w:r>
      <w:r w:rsidR="003F223A" w:rsidRPr="00EA38DE">
        <w:rPr>
          <w:rFonts w:ascii="Times New Roman" w:hAnsi="Times New Roman" w:cs="Times New Roman"/>
          <w:b/>
          <w:sz w:val="24"/>
          <w:szCs w:val="24"/>
        </w:rPr>
        <w:t>: FSH and CTP</w:t>
      </w:r>
    </w:p>
    <w:p w14:paraId="63D68C5C" w14:textId="012AC97F" w:rsidR="00F96A7F" w:rsidRPr="00EA38DE" w:rsidRDefault="00BD75E9" w:rsidP="00F96A7F">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01BDA7AF">
              <v:shape id="_x0000_i1028" type="#_x0000_t75" style="width:38.25pt;height:19.5pt;visibility:visible;mso-wrap-distance-left:0;mso-wrap-distance-right:0" o:ole="">
                <v:imagedata r:id="rId10" o:title="" embosscolor="white"/>
              </v:shape>
              <o:OLEObject Type="Embed" ProgID="Equation.3" ShapeID="_x0000_i1028" DrawAspect="Content" ObjectID="_1832094674" r:id="rId14"/>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r>
                <m:rPr>
                  <m:sty m:val="p"/>
                </m:rP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FSH</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(3.21)</m:t>
          </m:r>
        </m:oMath>
      </m:oMathPara>
    </w:p>
    <w:p w14:paraId="78E2B38B" w14:textId="77777777" w:rsidR="003F223A"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Five</w:t>
      </w:r>
      <w:r w:rsidR="003F223A" w:rsidRPr="00EA38DE">
        <w:rPr>
          <w:rFonts w:ascii="Times New Roman" w:hAnsi="Times New Roman" w:cs="Times New Roman"/>
          <w:b/>
          <w:sz w:val="24"/>
          <w:szCs w:val="24"/>
        </w:rPr>
        <w:t>: FSH and SHPC</w:t>
      </w:r>
    </w:p>
    <w:p w14:paraId="7508E10B" w14:textId="06D42F5D" w:rsidR="00F96A7F" w:rsidRPr="00EA38DE" w:rsidRDefault="00BD75E9" w:rsidP="00CB10A8">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63570C1D">
              <v:shape id="_x0000_i1029" type="#_x0000_t75" style="width:38.25pt;height:19.5pt;visibility:visible;mso-wrap-distance-left:0;mso-wrap-distance-right:0" o:ole="">
                <v:imagedata r:id="rId10" o:title="" embosscolor="white"/>
              </v:shape>
              <o:OLEObject Type="Embed" ProgID="Equation.3" ShapeID="_x0000_i1029" DrawAspect="Content" ObjectID="_1832094675" r:id="rId15"/>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FSH</m:t>
                  </m:r>
                </m:e>
                <m:sub>
                  <m:r>
                    <w:rPr>
                      <w:rFonts w:ascii="Cambria Math" w:hAnsi="Cambria Math" w:cs="Times New Roman"/>
                      <w:sz w:val="16"/>
                      <w:szCs w:val="16"/>
                    </w:rPr>
                    <m:t>t-1+</m:t>
                  </m:r>
                </m:sub>
              </m:sSub>
            </m:e>
          </m:nary>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(3.22)</m:t>
          </m:r>
        </m:oMath>
      </m:oMathPara>
    </w:p>
    <w:p w14:paraId="4D51FEEA" w14:textId="70AE649F" w:rsidR="003F223A"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Six</w:t>
      </w:r>
      <w:r w:rsidR="003F223A" w:rsidRPr="00EA38DE">
        <w:rPr>
          <w:rFonts w:ascii="Times New Roman" w:hAnsi="Times New Roman" w:cs="Times New Roman"/>
          <w:b/>
          <w:sz w:val="24"/>
          <w:szCs w:val="24"/>
        </w:rPr>
        <w:t>: FSH and POR</w:t>
      </w:r>
    </w:p>
    <w:p w14:paraId="5DAD3591" w14:textId="480D50F1" w:rsidR="003F223A" w:rsidRPr="00EA38DE" w:rsidRDefault="00BD75E9" w:rsidP="00CB10A8">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1D7895B8">
              <v:shape id="_x0000_i1030" type="#_x0000_t75" style="width:38.25pt;height:19.5pt;visibility:visible;mso-wrap-distance-left:0;mso-wrap-distance-right:0" o:ole="">
                <v:imagedata r:id="rId10" o:title="" embosscolor="white"/>
              </v:shape>
              <o:OLEObject Type="Embed" ProgID="Equation.3" ShapeID="_x0000_i1030" DrawAspect="Content" ObjectID="_1832094676" r:id="rId16"/>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FSH</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r>
                <w:rPr>
                  <w:rFonts w:ascii="Cambria Math" w:eastAsia="SimSun" w:hAnsi="Cambria Math" w:cs="Times New Roman"/>
                  <w:sz w:val="16"/>
                  <w:szCs w:val="16"/>
                  <w:lang w:eastAsia="zh-CN"/>
                </w:rPr>
                <m:t>TRF</m:t>
              </m:r>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(3.23)</m:t>
          </m:r>
        </m:oMath>
      </m:oMathPara>
    </w:p>
    <w:p w14:paraId="24B97FF5" w14:textId="77777777" w:rsidR="009B5F6F" w:rsidRPr="00EA38DE" w:rsidRDefault="009B5F6F" w:rsidP="00CB10A8">
      <w:pPr>
        <w:shd w:val="clear" w:color="auto" w:fill="FFFFFF"/>
        <w:spacing w:after="0" w:line="480" w:lineRule="auto"/>
        <w:jc w:val="both"/>
        <w:rPr>
          <w:rFonts w:ascii="Times New Roman" w:hAnsi="Times New Roman" w:cs="Times New Roman"/>
          <w:b/>
          <w:sz w:val="24"/>
          <w:szCs w:val="24"/>
        </w:rPr>
      </w:pPr>
    </w:p>
    <w:p w14:paraId="7DBC9F45" w14:textId="77777777" w:rsidR="00F96A7F"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lastRenderedPageBreak/>
        <w:t>Model Seven: AQT and CTP</w:t>
      </w:r>
    </w:p>
    <w:p w14:paraId="23DD6C9C" w14:textId="330F01E5" w:rsidR="00F96A7F" w:rsidRPr="00EA38DE" w:rsidRDefault="00BD75E9" w:rsidP="00F96A7F">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502B3001">
              <v:shape id="_x0000_i1031" type="#_x0000_t75" style="width:38.25pt;height:19.5pt;visibility:visible;mso-wrap-distance-left:0;mso-wrap-distance-right:0" o:ole="">
                <v:imagedata r:id="rId10" o:title="" embosscolor="white"/>
              </v:shape>
              <o:OLEObject Type="Embed" ProgID="Equation.3" ShapeID="_x0000_i1031" DrawAspect="Content" ObjectID="_1832094677" r:id="rId17"/>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AQT</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eastAsia="SimSun" w:hAnsi="Cambria Math" w:cs="Times New Roman"/>
                      <w:sz w:val="16"/>
                      <w:szCs w:val="16"/>
                      <w:lang w:eastAsia="zh-CN"/>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(3.24)</m:t>
          </m:r>
        </m:oMath>
      </m:oMathPara>
    </w:p>
    <w:p w14:paraId="375B749D" w14:textId="1BAF21F0" w:rsidR="003C7AAE"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 Model Eight: AQT and SHPC</w:t>
      </w:r>
    </w:p>
    <w:p w14:paraId="4A957F1B" w14:textId="20811CE8" w:rsidR="003C7AAE" w:rsidRPr="00EA38DE" w:rsidRDefault="00BD75E9" w:rsidP="00CB10A8">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4B2DBF89">
              <v:shape id="_x0000_i1032" type="#_x0000_t75" style="width:38.25pt;height:19.5pt;visibility:visible;mso-wrap-distance-left:0;mso-wrap-distance-right:0" o:ole="">
                <v:imagedata r:id="rId10" o:title="" embosscolor="white"/>
              </v:shape>
              <o:OLEObject Type="Embed" ProgID="Equation.3" ShapeID="_x0000_i1032" DrawAspect="Content" ObjectID="_1832094678" r:id="rId18"/>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AQT</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eastAsia="SimSun" w:hAnsi="Cambria Math" w:cs="Times New Roman"/>
                      <w:sz w:val="16"/>
                      <w:szCs w:val="16"/>
                      <w:lang w:eastAsia="zh-CN"/>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(3.25)</m:t>
          </m:r>
        </m:oMath>
      </m:oMathPara>
    </w:p>
    <w:p w14:paraId="643A0101" w14:textId="4341014E" w:rsidR="003C7AAE"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Nine: AQT and POR</w:t>
      </w:r>
    </w:p>
    <w:p w14:paraId="622F2ACA" w14:textId="31DCD25E" w:rsidR="00EA668E" w:rsidRPr="00EA38DE" w:rsidRDefault="00BD75E9" w:rsidP="00CB10A8">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520B44B4">
              <v:shape id="_x0000_i1033" type="#_x0000_t75" style="width:38.25pt;height:19.5pt;visibility:visible;mso-wrap-distance-left:0;mso-wrap-distance-right:0" o:ole="">
                <v:imagedata r:id="rId10" o:title="" embosscolor="white"/>
              </v:shape>
              <o:OLEObject Type="Embed" ProgID="Equation.3" ShapeID="_x0000_i1033" DrawAspect="Content" ObjectID="_1832094679" r:id="rId19"/>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AQT</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(3.26)</m:t>
          </m:r>
        </m:oMath>
      </m:oMathPara>
    </w:p>
    <w:p w14:paraId="670713E0" w14:textId="77777777" w:rsidR="00EA668E" w:rsidRPr="00EA38DE" w:rsidRDefault="003C7AAE" w:rsidP="00CB10A8">
      <w:pPr>
        <w:shd w:val="clear" w:color="auto" w:fill="FFFFFF"/>
        <w:spacing w:after="0" w:line="480" w:lineRule="auto"/>
        <w:jc w:val="both"/>
        <w:rPr>
          <w:rFonts w:ascii="Times New Roman" w:eastAsiaTheme="minorEastAsia" w:hAnsi="Times New Roman" w:cs="Times New Roman"/>
          <w:b/>
          <w:sz w:val="24"/>
          <w:szCs w:val="24"/>
        </w:rPr>
      </w:pPr>
      <w:r w:rsidRPr="00EA38DE">
        <w:rPr>
          <w:rFonts w:ascii="Times New Roman" w:hAnsi="Times New Roman" w:cs="Times New Roman"/>
          <w:b/>
          <w:sz w:val="24"/>
          <w:szCs w:val="24"/>
        </w:rPr>
        <w:t xml:space="preserve">Model Ten: DLNT and CTP  </w:t>
      </w:r>
    </w:p>
    <w:p w14:paraId="3A7B2229" w14:textId="6C96FBF8" w:rsidR="003C7AAE" w:rsidRPr="00EA38DE" w:rsidRDefault="00BD75E9" w:rsidP="003E3384">
      <w:pPr>
        <w:shd w:val="clear" w:color="auto" w:fill="FFFFFF"/>
        <w:spacing w:after="0" w:line="480" w:lineRule="auto"/>
        <w:ind w:left="113"/>
        <w:jc w:val="both"/>
        <w:rPr>
          <w:rFonts w:ascii="Times New Roman" w:eastAsiaTheme="minorEastAsia" w:hAnsi="Times New Roman" w:cs="Times New Roman"/>
          <w:b/>
          <w:sz w:val="24"/>
          <w:szCs w:val="24"/>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369B9D3C">
              <v:shape id="_x0000_i1034" type="#_x0000_t75" style="width:38.25pt;height:19.5pt;visibility:visible;mso-wrap-distance-left:0;mso-wrap-distance-right:0" o:ole="">
                <v:imagedata r:id="rId10" o:title="" embosscolor="white"/>
              </v:shape>
              <o:OLEObject Type="Embed" ProgID="Equation.3" ShapeID="_x0000_i1034" DrawAspect="Content" ObjectID="_1832094680" r:id="rId20"/>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CTP</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DLNT</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(3.27)</m:t>
          </m:r>
        </m:oMath>
      </m:oMathPara>
    </w:p>
    <w:p w14:paraId="20DA5896" w14:textId="77777777" w:rsidR="003C7AAE"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Eleven: DLNT and SHPC</w:t>
      </w:r>
    </w:p>
    <w:p w14:paraId="73853639" w14:textId="130D3753" w:rsidR="003C7AAE" w:rsidRPr="00EA38DE" w:rsidRDefault="00BD75E9" w:rsidP="00CB10A8">
      <w:pPr>
        <w:shd w:val="clear" w:color="auto" w:fill="FFFFFF"/>
        <w:spacing w:after="0" w:line="480" w:lineRule="auto"/>
        <w:jc w:val="both"/>
        <w:rPr>
          <w:rFonts w:ascii="Times New Roman" w:eastAsiaTheme="minorEastAsia" w:hAnsi="Times New Roman" w:cs="Times New Roman"/>
          <w:sz w:val="16"/>
          <w:szCs w:val="16"/>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0AEBE0B7">
              <v:shape id="_x0000_i1035" type="#_x0000_t75" style="width:38.25pt;height:19.5pt;visibility:visible;mso-wrap-distance-left:0;mso-wrap-distance-right:0" o:ole="">
                <v:imagedata r:id="rId10" o:title="" embosscolor="white"/>
              </v:shape>
              <o:OLEObject Type="Embed" ProgID="Equation.3" ShapeID="_x0000_i1035" DrawAspect="Content" ObjectID="_1832094681" r:id="rId21"/>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SHPC</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DLNT</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TRF</m:t>
                      </m: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e>
          </m:nary>
          <m:r>
            <w:rPr>
              <w:rFonts w:ascii="Cambria Math" w:hAnsi="Cambria Math" w:cs="Times New Roman"/>
              <w:sz w:val="16"/>
              <w:szCs w:val="16"/>
            </w:rPr>
            <m:t>+</m:t>
          </m:r>
          <m:r>
            <m:rPr>
              <m:sty m:val="p"/>
            </m:rPr>
            <w:rPr>
              <w:rFonts w:ascii="Cambria Math" w:hAnsi="Cambria Math" w:cs="Times New Roman"/>
              <w:sz w:val="16"/>
              <w:szCs w:val="16"/>
            </w:rPr>
            <m:t xml:space="preserve"> μt-</m:t>
          </m:r>
          <m:r>
            <w:rPr>
              <w:rFonts w:ascii="Cambria Math" w:eastAsiaTheme="minorEastAsia" w:hAnsi="Cambria Math" w:cs="Times New Roman"/>
              <w:sz w:val="16"/>
              <w:szCs w:val="16"/>
            </w:rPr>
            <m:t xml:space="preserve">   </m:t>
          </m:r>
          <m:r>
            <m:rPr>
              <m:sty m:val="p"/>
            </m:rPr>
            <w:rPr>
              <w:rFonts w:ascii="Cambria Math" w:eastAsiaTheme="minorEastAsia" w:hAnsi="Cambria Math" w:cs="Times New Roman"/>
              <w:sz w:val="16"/>
              <w:szCs w:val="16"/>
            </w:rPr>
            <m:t>(3.28)</m:t>
          </m:r>
        </m:oMath>
      </m:oMathPara>
    </w:p>
    <w:p w14:paraId="587E30B3" w14:textId="77777777" w:rsidR="003C7AAE" w:rsidRPr="00EA38DE" w:rsidRDefault="003C7AAE"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Twelve: DLNT and POR</w:t>
      </w:r>
    </w:p>
    <w:p w14:paraId="548B9550" w14:textId="055AFBC4" w:rsidR="009E0E31" w:rsidRPr="00EA38DE" w:rsidRDefault="00BD75E9" w:rsidP="00C806C7">
      <w:pPr>
        <w:shd w:val="clear" w:color="auto" w:fill="FFFFFF"/>
        <w:spacing w:after="0" w:line="480" w:lineRule="auto"/>
        <w:jc w:val="both"/>
        <w:rPr>
          <w:rFonts w:ascii="Times New Roman" w:hAnsi="Times New Roman" w:cs="Times New Roman"/>
          <w:sz w:val="24"/>
          <w:szCs w:val="24"/>
        </w:rPr>
      </w:pPr>
      <m:oMathPara>
        <m:oMath>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m:t>
              </m:r>
            </m:sub>
          </m:sSub>
          <m:r>
            <w:rPr>
              <w:rFonts w:ascii="Cambria Math" w:hAnsi="Cambria Math" w:cs="Times New Roman"/>
              <w:sz w:val="16"/>
              <w:szCs w:val="16"/>
            </w:rPr>
            <m:t>=</m:t>
          </m:r>
          <m:r>
            <m:rPr>
              <m:sty m:val="p"/>
            </m:rPr>
            <w:rPr>
              <w:rFonts w:ascii="Cambria Math" w:eastAsia="SimSun" w:hAnsi="Cambria Math" w:cs="Times New Roman"/>
              <w:position w:val="-16"/>
              <w:sz w:val="16"/>
              <w:szCs w:val="16"/>
              <w:lang w:eastAsia="zh-CN"/>
            </w:rPr>
            <w:object w:dxaOrig="765" w:dyaOrig="405" w14:anchorId="16187EC3">
              <v:shape id="_x0000_i1036" type="#_x0000_t75" style="width:38.25pt;height:19.5pt;visibility:visible;mso-wrap-distance-left:0;mso-wrap-distance-right:0" o:ole="">
                <v:imagedata r:id="rId10" o:title="" embosscolor="white"/>
              </v:shape>
              <o:OLEObject Type="Embed" ProgID="Equation.3" ShapeID="_x0000_i1036" DrawAspect="Content" ObjectID="_1832094682" r:id="rId22"/>
            </w:object>
          </m:r>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POR</m:t>
              </m:r>
            </m:e>
            <m:sub>
              <m:r>
                <w:rPr>
                  <w:rFonts w:ascii="Cambria Math" w:hAnsi="Cambria Math" w:cs="Times New Roman"/>
                  <w:sz w:val="16"/>
                  <w:szCs w:val="16"/>
                </w:rPr>
                <m:t>t-1</m:t>
              </m:r>
            </m:sub>
          </m:sSub>
          <m:r>
            <m:rPr>
              <m:sty m:val="p"/>
            </m:rPr>
            <w:rPr>
              <w:rFonts w:ascii="Cambria Math" w:hAnsi="Cambria Math" w:cs="Times New Roman"/>
              <w:sz w:val="16"/>
              <w:szCs w:val="16"/>
            </w:rPr>
            <m:t>+</m:t>
          </m:r>
          <m:nary>
            <m:naryPr>
              <m:chr m:val="∑"/>
              <m:limLoc m:val="undOvr"/>
              <m:ctrlPr>
                <w:rPr>
                  <w:rFonts w:ascii="Cambria Math" w:eastAsia="SimSun" w:hAnsi="Cambria Math" w:cs="Times New Roman"/>
                  <w:i/>
                  <w:sz w:val="16"/>
                  <w:szCs w:val="16"/>
                  <w:lang w:eastAsia="zh-CN"/>
                </w:rPr>
              </m:ctrlPr>
            </m:naryPr>
            <m:sub>
              <m:r>
                <w:rPr>
                  <w:rFonts w:ascii="Cambria Math" w:hAnsi="Cambria Math" w:cs="Times New Roman"/>
                  <w:sz w:val="16"/>
                  <w:szCs w:val="16"/>
                </w:rPr>
                <m:t>i=0</m:t>
              </m:r>
            </m:sub>
            <m:sup>
              <m:r>
                <w:rPr>
                  <w:rFonts w:ascii="Cambria Math" w:hAnsi="Cambria Math" w:cs="Times New Roman"/>
                  <w:sz w:val="16"/>
                  <w:szCs w:val="16"/>
                </w:rPr>
                <m:t>m</m:t>
              </m:r>
            </m:sup>
            <m:e>
              <m:sSub>
                <m:sSubPr>
                  <m:ctrlPr>
                    <w:rPr>
                      <w:rFonts w:ascii="Cambria Math" w:eastAsia="SimSun" w:hAnsi="Cambria Math" w:cs="Times New Roman"/>
                      <w:sz w:val="16"/>
                      <w:szCs w:val="16"/>
                      <w:lang w:eastAsia="zh-CN"/>
                    </w:rPr>
                  </m:ctrlPr>
                </m:sSubPr>
                <m:e>
                  <m:r>
                    <m:rPr>
                      <m:sty m:val="p"/>
                    </m:rPr>
                    <w:rPr>
                      <w:rFonts w:ascii="Cambria Math" w:hAnsi="Cambria Math" w:cs="Times New Roman"/>
                      <w:sz w:val="16"/>
                      <w:szCs w:val="16"/>
                    </w:rPr>
                    <m:t>Δ</m:t>
                  </m:r>
                  <m:r>
                    <w:rPr>
                      <w:rFonts w:ascii="Cambria Math" w:hAnsi="Cambria Math" w:cs="Times New Roman"/>
                      <w:sz w:val="16"/>
                      <w:szCs w:val="16"/>
                    </w:rPr>
                    <m:t>DLNT</m:t>
                  </m:r>
                </m:e>
                <m:sub>
                  <m:r>
                    <w:rPr>
                      <w:rFonts w:ascii="Cambria Math" w:hAnsi="Cambria Math" w:cs="Times New Roman"/>
                      <w:sz w:val="16"/>
                      <w:szCs w:val="16"/>
                    </w:rPr>
                    <m:t>t-1</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0</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IFR</m:t>
                  </m:r>
                </m:e>
                <m:sub>
                  <m:r>
                    <w:rPr>
                      <w:rFonts w:ascii="Cambria Math" w:hAnsi="Cambria Math" w:cs="Times New Roman"/>
                      <w:sz w:val="16"/>
                      <w:szCs w:val="16"/>
                    </w:rPr>
                    <m:t>t-k</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j=0</m:t>
              </m:r>
            </m:sub>
            <m:sup>
              <m:r>
                <w:rPr>
                  <w:rFonts w:ascii="Cambria Math" w:hAnsi="Cambria Math" w:cs="Times New Roman"/>
                  <w:sz w:val="16"/>
                  <w:szCs w:val="16"/>
                </w:rPr>
                <m:t>P</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j</m:t>
                  </m:r>
                </m:sub>
              </m:sSub>
              <m:r>
                <w:rPr>
                  <w:rFonts w:ascii="Cambria Math" w:hAnsi="Cambria Math" w:cs="Times New Roman"/>
                  <w:sz w:val="16"/>
                  <w:szCs w:val="16"/>
                </w:rPr>
                <m:t>∆TRF</m:t>
              </m:r>
              <m:sSub>
                <m:sSubPr>
                  <m:ctrlPr>
                    <w:rPr>
                      <w:rFonts w:ascii="Cambria Math" w:eastAsia="SimSun" w:hAnsi="Cambria Math" w:cs="Times New Roman"/>
                      <w:bCs/>
                      <w:i/>
                      <w:sz w:val="16"/>
                      <w:szCs w:val="16"/>
                      <w:lang w:eastAsia="zh-CN"/>
                    </w:rPr>
                  </m:ctrlPr>
                </m:sSubPr>
                <m:e/>
                <m:sub>
                  <m:r>
                    <w:rPr>
                      <w:rFonts w:ascii="Cambria Math" w:hAnsi="Cambria Math" w:cs="Times New Roman"/>
                      <w:sz w:val="16"/>
                      <w:szCs w:val="16"/>
                    </w:rPr>
                    <m:t>t-j</m:t>
                  </m:r>
                </m:sub>
              </m:sSub>
            </m:e>
          </m:nary>
          <m:r>
            <w:rPr>
              <w:rFonts w:ascii="Cambria Math" w:hAnsi="Cambria Math" w:cs="Times New Roman"/>
              <w:sz w:val="16"/>
              <w:szCs w:val="16"/>
            </w:rPr>
            <m:t>+</m:t>
          </m:r>
          <m:nary>
            <m:naryPr>
              <m:chr m:val="∑"/>
              <m:limLoc m:val="undOvr"/>
              <m:ctrlPr>
                <w:rPr>
                  <w:rFonts w:ascii="Cambria Math" w:eastAsia="SimSun" w:hAnsi="Cambria Math" w:cs="Times New Roman"/>
                  <w:bCs/>
                  <w:i/>
                  <w:sz w:val="16"/>
                  <w:szCs w:val="16"/>
                  <w:lang w:eastAsia="zh-CN"/>
                </w:rPr>
              </m:ctrlPr>
            </m:naryPr>
            <m:sub>
              <m:r>
                <w:rPr>
                  <w:rFonts w:ascii="Cambria Math" w:hAnsi="Cambria Math" w:cs="Times New Roman"/>
                  <w:sz w:val="16"/>
                  <w:szCs w:val="16"/>
                </w:rPr>
                <m:t>k=0</m:t>
              </m:r>
            </m:sub>
            <m:sup>
              <m:r>
                <w:rPr>
                  <w:rFonts w:ascii="Cambria Math" w:hAnsi="Cambria Math" w:cs="Times New Roman"/>
                  <w:sz w:val="16"/>
                  <w:szCs w:val="16"/>
                </w:rPr>
                <m:t>Q</m:t>
              </m:r>
            </m:sup>
            <m:e>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X</m:t>
                  </m:r>
                </m:e>
                <m:sub>
                  <m:r>
                    <w:rPr>
                      <w:rFonts w:ascii="Cambria Math" w:hAnsi="Cambria Math" w:cs="Times New Roman"/>
                      <w:sz w:val="16"/>
                      <w:szCs w:val="16"/>
                    </w:rPr>
                    <m:t>k</m:t>
                  </m:r>
                </m:sub>
              </m:sSub>
              <m:r>
                <w:rPr>
                  <w:rFonts w:ascii="Cambria Math" w:hAnsi="Cambria Math" w:cs="Times New Roman"/>
                  <w:sz w:val="16"/>
                  <w:szCs w:val="16"/>
                </w:rPr>
                <m:t>∆</m:t>
              </m:r>
              <m:sSub>
                <m:sSubPr>
                  <m:ctrlPr>
                    <w:rPr>
                      <w:rFonts w:ascii="Cambria Math" w:eastAsia="SimSun" w:hAnsi="Cambria Math" w:cs="Times New Roman"/>
                      <w:bCs/>
                      <w:i/>
                      <w:sz w:val="16"/>
                      <w:szCs w:val="16"/>
                      <w:lang w:eastAsia="zh-CN"/>
                    </w:rPr>
                  </m:ctrlPr>
                </m:sSubPr>
                <m:e>
                  <m:r>
                    <w:rPr>
                      <w:rFonts w:ascii="Cambria Math" w:hAnsi="Cambria Math" w:cs="Times New Roman"/>
                      <w:sz w:val="16"/>
                      <w:szCs w:val="16"/>
                    </w:rPr>
                    <m:t>LAB</m:t>
                  </m:r>
                </m:e>
                <m:sub>
                  <m:r>
                    <w:rPr>
                      <w:rFonts w:ascii="Cambria Math" w:hAnsi="Cambria Math" w:cs="Times New Roman"/>
                      <w:sz w:val="16"/>
                      <w:szCs w:val="16"/>
                    </w:rPr>
                    <m:t>t-k</m:t>
                  </m:r>
                </m:sub>
              </m:sSub>
            </m:e>
          </m:nary>
          <m:r>
            <w:rPr>
              <w:rFonts w:ascii="Cambria Math" w:hAnsi="Cambria Math" w:cs="Times New Roman"/>
              <w:sz w:val="16"/>
              <w:szCs w:val="16"/>
            </w:rPr>
            <m:t>+</m:t>
          </m:r>
          <m:r>
            <m:rPr>
              <m:sty m:val="p"/>
            </m:rPr>
            <w:rPr>
              <w:rFonts w:ascii="Cambria Math" w:hAnsi="Cambria Math" w:cs="Times New Roman"/>
              <w:sz w:val="16"/>
              <w:szCs w:val="16"/>
            </w:rPr>
            <m:t xml:space="preserve"> μt- </m:t>
          </m:r>
          <m:r>
            <m:rPr>
              <m:sty m:val="p"/>
            </m:rPr>
            <w:rPr>
              <w:rFonts w:ascii="Cambria Math" w:eastAsiaTheme="minorEastAsia" w:hAnsi="Cambria Math" w:cs="Times New Roman"/>
              <w:sz w:val="16"/>
              <w:szCs w:val="16"/>
            </w:rPr>
            <m:t>(3.29)</m:t>
          </m:r>
          <m:r>
            <m:rPr>
              <m:sty m:val="p"/>
            </m:rPr>
            <w:rPr>
              <w:rFonts w:ascii="Times New Roman" w:eastAsiaTheme="minorEastAsia" w:hAnsi="Times New Roman" w:cs="Times New Roman"/>
              <w:sz w:val="16"/>
              <w:szCs w:val="16"/>
            </w:rPr>
            <w:br/>
          </m:r>
        </m:oMath>
      </m:oMathPara>
      <w:r w:rsidR="009E0E31" w:rsidRPr="00EA38DE">
        <w:rPr>
          <w:rFonts w:ascii="Times New Roman" w:hAnsi="Times New Roman" w:cs="Times New Roman"/>
          <w:sz w:val="24"/>
          <w:szCs w:val="24"/>
        </w:rPr>
        <w:t>Where:</w:t>
      </w:r>
    </w:p>
    <w:bookmarkEnd w:id="7"/>
    <w:p w14:paraId="0E07F386" w14:textId="0E3CB952" w:rsidR="00A85401" w:rsidRPr="00EA38DE" w:rsidRDefault="00A85401"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EXR</w:t>
      </w:r>
      <w:r w:rsidR="007A2267" w:rsidRPr="00EA38DE">
        <w:rPr>
          <w:rFonts w:ascii="Times New Roman" w:hAnsi="Times New Roman" w:cs="Times New Roman"/>
          <w:sz w:val="24"/>
          <w:szCs w:val="24"/>
        </w:rPr>
        <w:t>V</w:t>
      </w:r>
      <w:r w:rsidRPr="00EA38DE">
        <w:rPr>
          <w:rFonts w:ascii="Times New Roman" w:hAnsi="Times New Roman" w:cs="Times New Roman"/>
          <w:sz w:val="24"/>
          <w:szCs w:val="24"/>
          <w:vertAlign w:val="subscript"/>
        </w:rPr>
        <w:t>t</w:t>
      </w:r>
      <w:r w:rsidRPr="00EA38DE">
        <w:rPr>
          <w:rFonts w:ascii="Times New Roman" w:hAnsi="Times New Roman" w:cs="Times New Roman"/>
          <w:sz w:val="24"/>
          <w:szCs w:val="24"/>
        </w:rPr>
        <w:t>,</w:t>
      </w:r>
      <w:r w:rsidRPr="00EA38DE">
        <w:rPr>
          <w:rFonts w:ascii="Times New Roman" w:hAnsi="Times New Roman" w:cs="Times New Roman"/>
          <w:sz w:val="24"/>
          <w:szCs w:val="24"/>
        </w:rPr>
        <w:tab/>
        <w:t>=</w:t>
      </w:r>
      <w:r w:rsidR="002F679A" w:rsidRPr="00EA38DE">
        <w:rPr>
          <w:rFonts w:ascii="Times New Roman" w:hAnsi="Times New Roman" w:cs="Times New Roman"/>
          <w:sz w:val="24"/>
          <w:szCs w:val="24"/>
        </w:rPr>
        <w:t xml:space="preserve">         </w:t>
      </w:r>
      <w:r w:rsidR="00902313" w:rsidRPr="00EA38DE">
        <w:rPr>
          <w:rFonts w:ascii="Times New Roman" w:hAnsi="Times New Roman" w:cs="Times New Roman"/>
          <w:sz w:val="24"/>
          <w:szCs w:val="24"/>
        </w:rPr>
        <w:t xml:space="preserve">Exchange Rate </w:t>
      </w:r>
      <w:r w:rsidR="007A2267" w:rsidRPr="00EA38DE">
        <w:rPr>
          <w:rFonts w:ascii="Times New Roman" w:hAnsi="Times New Roman" w:cs="Times New Roman"/>
          <w:sz w:val="24"/>
          <w:szCs w:val="24"/>
        </w:rPr>
        <w:t>Volatility</w:t>
      </w:r>
      <w:r w:rsidR="00902313" w:rsidRPr="00EA38DE">
        <w:rPr>
          <w:rFonts w:ascii="Times New Roman" w:hAnsi="Times New Roman" w:cs="Times New Roman"/>
          <w:sz w:val="24"/>
          <w:szCs w:val="24"/>
        </w:rPr>
        <w:t xml:space="preserve"> </w:t>
      </w:r>
    </w:p>
    <w:p w14:paraId="6F9CCD8B" w14:textId="1848F555" w:rsidR="00A85401" w:rsidRPr="00EA38DE" w:rsidRDefault="009E0E31"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CTP</w:t>
      </w:r>
      <w:r w:rsidRPr="00EA38DE">
        <w:rPr>
          <w:rFonts w:ascii="Times New Roman" w:hAnsi="Times New Roman" w:cs="Times New Roman"/>
          <w:sz w:val="24"/>
          <w:szCs w:val="24"/>
          <w:vertAlign w:val="subscript"/>
        </w:rPr>
        <w:t>t</w:t>
      </w:r>
      <w:r w:rsidRPr="00EA38DE">
        <w:rPr>
          <w:rFonts w:ascii="Times New Roman" w:hAnsi="Times New Roman" w:cs="Times New Roman"/>
          <w:sz w:val="24"/>
          <w:szCs w:val="24"/>
        </w:rPr>
        <w:t xml:space="preserve">, </w:t>
      </w:r>
      <w:r w:rsidR="00A85401" w:rsidRPr="00EA38DE">
        <w:rPr>
          <w:rFonts w:ascii="Times New Roman" w:hAnsi="Times New Roman" w:cs="Times New Roman"/>
          <w:sz w:val="24"/>
          <w:szCs w:val="24"/>
        </w:rPr>
        <w:tab/>
      </w:r>
      <w:r w:rsidR="00A85401" w:rsidRPr="00EA38DE">
        <w:rPr>
          <w:rFonts w:ascii="Times New Roman" w:hAnsi="Times New Roman" w:cs="Times New Roman"/>
          <w:sz w:val="24"/>
          <w:szCs w:val="24"/>
        </w:rPr>
        <w:tab/>
        <w:t>=</w:t>
      </w:r>
      <w:r w:rsidR="00902313" w:rsidRPr="00EA38DE">
        <w:rPr>
          <w:rFonts w:ascii="Times New Roman" w:hAnsi="Times New Roman" w:cs="Times New Roman"/>
          <w:sz w:val="24"/>
          <w:szCs w:val="24"/>
        </w:rPr>
        <w:tab/>
      </w:r>
      <w:r w:rsidR="00902313" w:rsidRPr="00EA38DE">
        <w:rPr>
          <w:rFonts w:ascii="Times New Roman" w:eastAsia="Times New Roman" w:hAnsi="Times New Roman" w:cs="Times New Roman"/>
          <w:sz w:val="24"/>
          <w:szCs w:val="24"/>
        </w:rPr>
        <w:t>Container Throughput Revenue</w:t>
      </w:r>
    </w:p>
    <w:p w14:paraId="53122CC6" w14:textId="4977419F" w:rsidR="00A85401" w:rsidRPr="00EA38DE" w:rsidRDefault="009E0E31"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SHPC</w:t>
      </w:r>
      <w:r w:rsidRPr="00EA38DE">
        <w:rPr>
          <w:rFonts w:ascii="Times New Roman" w:hAnsi="Times New Roman" w:cs="Times New Roman"/>
          <w:sz w:val="24"/>
          <w:szCs w:val="24"/>
          <w:vertAlign w:val="subscript"/>
        </w:rPr>
        <w:t>t</w:t>
      </w:r>
      <w:r w:rsidR="00170550" w:rsidRPr="00EA38DE">
        <w:rPr>
          <w:rFonts w:ascii="Times New Roman" w:hAnsi="Times New Roman" w:cs="Times New Roman"/>
          <w:sz w:val="24"/>
          <w:szCs w:val="24"/>
        </w:rPr>
        <w:t xml:space="preserve">, </w:t>
      </w:r>
      <w:r w:rsidR="00A85401" w:rsidRPr="00EA38DE">
        <w:rPr>
          <w:rFonts w:ascii="Times New Roman" w:hAnsi="Times New Roman" w:cs="Times New Roman"/>
          <w:sz w:val="24"/>
          <w:szCs w:val="24"/>
        </w:rPr>
        <w:tab/>
        <w:t>=</w:t>
      </w:r>
      <w:r w:rsidR="00902313" w:rsidRPr="00EA38DE">
        <w:rPr>
          <w:rFonts w:ascii="Times New Roman" w:hAnsi="Times New Roman" w:cs="Times New Roman"/>
          <w:sz w:val="24"/>
          <w:szCs w:val="24"/>
        </w:rPr>
        <w:tab/>
      </w:r>
      <w:r w:rsidR="00902313" w:rsidRPr="00EA38DE">
        <w:rPr>
          <w:rFonts w:ascii="Times New Roman" w:eastAsia="Times New Roman" w:hAnsi="Times New Roman" w:cs="Times New Roman"/>
          <w:sz w:val="24"/>
          <w:szCs w:val="24"/>
        </w:rPr>
        <w:t>Shipping Cost</w:t>
      </w:r>
    </w:p>
    <w:p w14:paraId="44BE8A56" w14:textId="5017449B" w:rsidR="00A85401" w:rsidRPr="00EA38DE" w:rsidRDefault="00170550"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POR</w:t>
      </w:r>
      <w:r w:rsidR="009E0E31" w:rsidRPr="00EA38DE">
        <w:rPr>
          <w:rFonts w:ascii="Times New Roman" w:hAnsi="Times New Roman" w:cs="Times New Roman"/>
          <w:sz w:val="24"/>
          <w:szCs w:val="24"/>
          <w:vertAlign w:val="subscript"/>
        </w:rPr>
        <w:t xml:space="preserve">t, </w:t>
      </w:r>
      <w:r w:rsidR="00A85401" w:rsidRPr="00EA38DE">
        <w:rPr>
          <w:rFonts w:ascii="Times New Roman" w:hAnsi="Times New Roman" w:cs="Times New Roman"/>
          <w:sz w:val="24"/>
          <w:szCs w:val="24"/>
          <w:vertAlign w:val="subscript"/>
        </w:rPr>
        <w:t xml:space="preserve"> </w:t>
      </w:r>
      <w:r w:rsidR="00A85401" w:rsidRPr="00EA38DE">
        <w:rPr>
          <w:rFonts w:ascii="Times New Roman" w:hAnsi="Times New Roman" w:cs="Times New Roman"/>
          <w:sz w:val="24"/>
          <w:szCs w:val="24"/>
          <w:vertAlign w:val="subscript"/>
        </w:rPr>
        <w:tab/>
      </w:r>
      <w:r w:rsidR="00A85401" w:rsidRPr="00EA38DE">
        <w:rPr>
          <w:rFonts w:ascii="Times New Roman" w:hAnsi="Times New Roman" w:cs="Times New Roman"/>
          <w:sz w:val="24"/>
          <w:szCs w:val="24"/>
          <w:vertAlign w:val="subscript"/>
        </w:rPr>
        <w:tab/>
      </w:r>
      <w:r w:rsidR="00A85401" w:rsidRPr="00EA38DE">
        <w:rPr>
          <w:rFonts w:ascii="Times New Roman" w:hAnsi="Times New Roman" w:cs="Times New Roman"/>
          <w:sz w:val="24"/>
          <w:szCs w:val="24"/>
        </w:rPr>
        <w:t>=</w:t>
      </w:r>
      <w:r w:rsidR="00902313" w:rsidRPr="00EA38DE">
        <w:rPr>
          <w:rFonts w:ascii="Times New Roman" w:hAnsi="Times New Roman" w:cs="Times New Roman"/>
          <w:sz w:val="24"/>
          <w:szCs w:val="24"/>
        </w:rPr>
        <w:tab/>
        <w:t>Port Revenue</w:t>
      </w:r>
    </w:p>
    <w:p w14:paraId="6207EDE2" w14:textId="593196DE" w:rsidR="00A85401" w:rsidRPr="00EA38DE" w:rsidRDefault="00170550"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 FSH</w:t>
      </w:r>
      <w:r w:rsidR="009E0E31" w:rsidRPr="00EA38DE">
        <w:rPr>
          <w:rFonts w:ascii="Times New Roman" w:hAnsi="Times New Roman" w:cs="Times New Roman"/>
          <w:sz w:val="24"/>
          <w:szCs w:val="24"/>
          <w:vertAlign w:val="subscript"/>
        </w:rPr>
        <w:t xml:space="preserve">t, </w:t>
      </w:r>
      <w:r w:rsidR="00A85401" w:rsidRPr="00EA38DE">
        <w:rPr>
          <w:rFonts w:ascii="Times New Roman" w:hAnsi="Times New Roman" w:cs="Times New Roman"/>
          <w:sz w:val="24"/>
          <w:szCs w:val="24"/>
          <w:vertAlign w:val="subscript"/>
        </w:rPr>
        <w:tab/>
      </w:r>
      <w:r w:rsidR="00A85401" w:rsidRPr="00EA38DE">
        <w:rPr>
          <w:rFonts w:ascii="Times New Roman" w:hAnsi="Times New Roman" w:cs="Times New Roman"/>
          <w:sz w:val="24"/>
          <w:szCs w:val="24"/>
          <w:vertAlign w:val="subscript"/>
        </w:rPr>
        <w:tab/>
      </w:r>
      <w:r w:rsidR="00A85401" w:rsidRPr="00EA38DE">
        <w:rPr>
          <w:rFonts w:ascii="Times New Roman" w:hAnsi="Times New Roman" w:cs="Times New Roman"/>
          <w:sz w:val="24"/>
          <w:szCs w:val="24"/>
        </w:rPr>
        <w:t>=</w:t>
      </w:r>
      <w:r w:rsidR="00902313" w:rsidRPr="00EA38DE">
        <w:rPr>
          <w:rFonts w:ascii="Times New Roman" w:hAnsi="Times New Roman" w:cs="Times New Roman"/>
          <w:sz w:val="24"/>
          <w:szCs w:val="24"/>
        </w:rPr>
        <w:tab/>
      </w:r>
      <w:r w:rsidR="00902313" w:rsidRPr="00EA38DE">
        <w:rPr>
          <w:rFonts w:ascii="Times New Roman" w:eastAsia="Times New Roman" w:hAnsi="Times New Roman" w:cs="Times New Roman"/>
          <w:sz w:val="24"/>
          <w:szCs w:val="24"/>
        </w:rPr>
        <w:t xml:space="preserve">Fisheries </w:t>
      </w:r>
    </w:p>
    <w:p w14:paraId="1368127B" w14:textId="41FEDF59" w:rsidR="00A85401" w:rsidRPr="00EA38DE" w:rsidRDefault="00C66232"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AQT</w:t>
      </w:r>
      <w:r w:rsidR="009E0E31" w:rsidRPr="00EA38DE">
        <w:rPr>
          <w:rFonts w:ascii="Times New Roman" w:hAnsi="Times New Roman" w:cs="Times New Roman"/>
          <w:sz w:val="24"/>
          <w:szCs w:val="24"/>
          <w:vertAlign w:val="subscript"/>
        </w:rPr>
        <w:t>t,</w:t>
      </w:r>
      <w:r w:rsidR="00170550" w:rsidRPr="00EA38DE">
        <w:rPr>
          <w:rFonts w:ascii="Times New Roman" w:hAnsi="Times New Roman" w:cs="Times New Roman"/>
          <w:sz w:val="24"/>
          <w:szCs w:val="24"/>
        </w:rPr>
        <w:t xml:space="preserve"> </w:t>
      </w:r>
      <w:r w:rsidR="00A85401" w:rsidRPr="00EA38DE">
        <w:rPr>
          <w:rFonts w:ascii="Times New Roman" w:hAnsi="Times New Roman" w:cs="Times New Roman"/>
          <w:sz w:val="24"/>
          <w:szCs w:val="24"/>
        </w:rPr>
        <w:tab/>
      </w:r>
      <w:r w:rsidR="00A85401" w:rsidRPr="00EA38DE">
        <w:rPr>
          <w:rFonts w:ascii="Times New Roman" w:hAnsi="Times New Roman" w:cs="Times New Roman"/>
          <w:sz w:val="24"/>
          <w:szCs w:val="24"/>
        </w:rPr>
        <w:tab/>
        <w:t>=</w:t>
      </w:r>
      <w:r w:rsidR="00902313" w:rsidRPr="00EA38DE">
        <w:rPr>
          <w:rFonts w:ascii="Times New Roman" w:hAnsi="Times New Roman" w:cs="Times New Roman"/>
          <w:sz w:val="24"/>
          <w:szCs w:val="24"/>
        </w:rPr>
        <w:tab/>
      </w:r>
      <w:r w:rsidR="00902313" w:rsidRPr="00EA38DE">
        <w:rPr>
          <w:rFonts w:ascii="Times New Roman" w:eastAsia="Times New Roman" w:hAnsi="Times New Roman" w:cs="Times New Roman"/>
          <w:sz w:val="24"/>
          <w:szCs w:val="24"/>
        </w:rPr>
        <w:t xml:space="preserve">Aquaculture </w:t>
      </w:r>
    </w:p>
    <w:p w14:paraId="547B2E80" w14:textId="09D09D7D" w:rsidR="00902313" w:rsidRPr="00EA38DE" w:rsidRDefault="00170550"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DLNT</w:t>
      </w:r>
      <w:r w:rsidR="009E0E31" w:rsidRPr="00EA38DE">
        <w:rPr>
          <w:rFonts w:ascii="Times New Roman" w:hAnsi="Times New Roman" w:cs="Times New Roman"/>
          <w:sz w:val="24"/>
          <w:szCs w:val="24"/>
          <w:vertAlign w:val="subscript"/>
        </w:rPr>
        <w:t>t,</w:t>
      </w:r>
      <w:r w:rsidR="00A85401" w:rsidRPr="00EA38DE">
        <w:rPr>
          <w:rFonts w:ascii="Times New Roman" w:hAnsi="Times New Roman" w:cs="Times New Roman"/>
          <w:sz w:val="24"/>
          <w:szCs w:val="24"/>
          <w:vertAlign w:val="subscript"/>
        </w:rPr>
        <w:t xml:space="preserve"> </w:t>
      </w:r>
      <w:r w:rsidR="00A85401" w:rsidRPr="00EA38DE">
        <w:rPr>
          <w:rFonts w:ascii="Times New Roman" w:hAnsi="Times New Roman" w:cs="Times New Roman"/>
          <w:sz w:val="24"/>
          <w:szCs w:val="24"/>
          <w:vertAlign w:val="subscript"/>
        </w:rPr>
        <w:tab/>
      </w:r>
      <w:r w:rsidR="00A85401" w:rsidRPr="00EA38DE">
        <w:rPr>
          <w:rFonts w:ascii="Times New Roman" w:hAnsi="Times New Roman" w:cs="Times New Roman"/>
          <w:sz w:val="24"/>
          <w:szCs w:val="24"/>
        </w:rPr>
        <w:t>=</w:t>
      </w:r>
      <w:r w:rsidR="00902313" w:rsidRPr="00EA38DE">
        <w:rPr>
          <w:rFonts w:ascii="Times New Roman" w:hAnsi="Times New Roman" w:cs="Times New Roman"/>
          <w:sz w:val="24"/>
          <w:szCs w:val="24"/>
        </w:rPr>
        <w:tab/>
      </w:r>
      <w:r w:rsidR="00902313" w:rsidRPr="00EA38DE">
        <w:rPr>
          <w:rFonts w:ascii="Times New Roman" w:eastAsia="Times New Roman" w:hAnsi="Times New Roman" w:cs="Times New Roman"/>
          <w:sz w:val="24"/>
          <w:szCs w:val="24"/>
        </w:rPr>
        <w:t>Desalination</w:t>
      </w:r>
      <w:r w:rsidR="00902313" w:rsidRPr="00EA38DE">
        <w:rPr>
          <w:rFonts w:ascii="Times New Roman" w:hAnsi="Times New Roman" w:cs="Times New Roman"/>
          <w:sz w:val="24"/>
          <w:szCs w:val="24"/>
        </w:rPr>
        <w:t xml:space="preserve">  </w:t>
      </w:r>
    </w:p>
    <w:p w14:paraId="59F9F9D6" w14:textId="3B8C9EB9" w:rsidR="00902313" w:rsidRPr="00EA38DE" w:rsidRDefault="009E0E31"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IFR</w:t>
      </w:r>
      <w:r w:rsidRPr="00EA38DE">
        <w:rPr>
          <w:rFonts w:ascii="Times New Roman" w:hAnsi="Times New Roman" w:cs="Times New Roman"/>
          <w:sz w:val="24"/>
          <w:szCs w:val="24"/>
          <w:vertAlign w:val="subscript"/>
        </w:rPr>
        <w:t>t</w:t>
      </w:r>
      <w:r w:rsidRPr="00EA38DE">
        <w:rPr>
          <w:rFonts w:ascii="Times New Roman" w:hAnsi="Times New Roman" w:cs="Times New Roman"/>
          <w:sz w:val="24"/>
          <w:szCs w:val="24"/>
        </w:rPr>
        <w:t xml:space="preserve"> </w:t>
      </w:r>
      <w:r w:rsidR="00902313" w:rsidRPr="00EA38DE">
        <w:rPr>
          <w:rFonts w:ascii="Times New Roman" w:hAnsi="Times New Roman" w:cs="Times New Roman"/>
          <w:sz w:val="24"/>
          <w:szCs w:val="24"/>
        </w:rPr>
        <w:tab/>
      </w:r>
      <w:r w:rsidR="00902313" w:rsidRPr="00EA38DE">
        <w:rPr>
          <w:rFonts w:ascii="Times New Roman" w:hAnsi="Times New Roman" w:cs="Times New Roman"/>
          <w:sz w:val="24"/>
          <w:szCs w:val="24"/>
        </w:rPr>
        <w:tab/>
        <w:t>=</w:t>
      </w:r>
      <w:r w:rsidR="00902313" w:rsidRPr="00EA38DE">
        <w:rPr>
          <w:rFonts w:ascii="Times New Roman" w:hAnsi="Times New Roman" w:cs="Times New Roman"/>
          <w:sz w:val="24"/>
          <w:szCs w:val="24"/>
        </w:rPr>
        <w:tab/>
        <w:t>Inflation Rate</w:t>
      </w:r>
    </w:p>
    <w:p w14:paraId="10424816" w14:textId="33762224" w:rsidR="00CC04AC" w:rsidRPr="00EA38DE" w:rsidRDefault="00717FF0"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LAB</w:t>
      </w:r>
      <w:r w:rsidR="00CC04AC" w:rsidRPr="00EA38DE">
        <w:rPr>
          <w:rFonts w:ascii="Times New Roman" w:hAnsi="Times New Roman" w:cs="Times New Roman"/>
          <w:sz w:val="24"/>
          <w:szCs w:val="24"/>
        </w:rPr>
        <w:tab/>
      </w:r>
      <w:r w:rsidR="00CC04AC" w:rsidRPr="00EA38DE">
        <w:rPr>
          <w:rFonts w:ascii="Times New Roman" w:hAnsi="Times New Roman" w:cs="Times New Roman"/>
          <w:sz w:val="24"/>
          <w:szCs w:val="24"/>
        </w:rPr>
        <w:tab/>
        <w:t>=</w:t>
      </w:r>
      <w:r w:rsidR="00CC04AC" w:rsidRPr="00EA38DE">
        <w:rPr>
          <w:rFonts w:ascii="Times New Roman" w:hAnsi="Times New Roman" w:cs="Times New Roman"/>
          <w:sz w:val="24"/>
          <w:szCs w:val="24"/>
        </w:rPr>
        <w:tab/>
      </w:r>
      <w:r w:rsidRPr="00EA38DE">
        <w:rPr>
          <w:rFonts w:ascii="Times New Roman" w:hAnsi="Times New Roman" w:cs="Times New Roman"/>
          <w:sz w:val="24"/>
          <w:szCs w:val="24"/>
        </w:rPr>
        <w:t>Labour Force</w:t>
      </w:r>
    </w:p>
    <w:p w14:paraId="27601321" w14:textId="59619899" w:rsidR="00CC04AC" w:rsidRPr="00EA38DE" w:rsidRDefault="00717FF0"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TRF</w:t>
      </w:r>
      <w:r w:rsidR="00CC04AC" w:rsidRPr="00EA38DE">
        <w:rPr>
          <w:rFonts w:ascii="Times New Roman" w:hAnsi="Times New Roman" w:cs="Times New Roman"/>
          <w:sz w:val="24"/>
          <w:szCs w:val="24"/>
        </w:rPr>
        <w:tab/>
      </w:r>
      <w:r w:rsidR="0038738D" w:rsidRPr="00EA38DE">
        <w:rPr>
          <w:rFonts w:ascii="Times New Roman" w:hAnsi="Times New Roman" w:cs="Times New Roman"/>
          <w:sz w:val="24"/>
          <w:szCs w:val="24"/>
        </w:rPr>
        <w:t xml:space="preserve">             </w:t>
      </w:r>
      <w:r w:rsidR="00CC04AC" w:rsidRPr="00EA38DE">
        <w:rPr>
          <w:rFonts w:ascii="Times New Roman" w:hAnsi="Times New Roman" w:cs="Times New Roman"/>
          <w:sz w:val="24"/>
          <w:szCs w:val="24"/>
        </w:rPr>
        <w:t>=</w:t>
      </w:r>
      <w:r w:rsidR="00CC04AC" w:rsidRPr="00EA38DE">
        <w:rPr>
          <w:rFonts w:ascii="Times New Roman" w:hAnsi="Times New Roman" w:cs="Times New Roman"/>
          <w:sz w:val="24"/>
          <w:szCs w:val="24"/>
        </w:rPr>
        <w:tab/>
      </w:r>
      <w:r w:rsidR="0038738D" w:rsidRPr="00EA38DE">
        <w:rPr>
          <w:rFonts w:ascii="Times New Roman" w:hAnsi="Times New Roman" w:cs="Times New Roman"/>
          <w:sz w:val="24"/>
          <w:szCs w:val="24"/>
        </w:rPr>
        <w:t>Trade Freedom</w:t>
      </w:r>
    </w:p>
    <w:p w14:paraId="6F05DD0F" w14:textId="3160813A" w:rsidR="00902313" w:rsidRPr="00EA38DE" w:rsidRDefault="009E0E31"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 </w:t>
      </w:r>
      <w:r w:rsidR="009F4216" w:rsidRPr="00EA38DE">
        <w:rPr>
          <w:rFonts w:ascii="Times New Roman" w:hAnsi="Times New Roman" w:cs="Times New Roman"/>
          <w:sz w:val="24"/>
          <w:szCs w:val="24"/>
        </w:rPr>
        <w:tab/>
      </w:r>
      <w:r w:rsidR="009F4216" w:rsidRPr="00EA38DE">
        <w:rPr>
          <w:rFonts w:ascii="Times New Roman" w:hAnsi="Times New Roman" w:cs="Times New Roman"/>
          <w:sz w:val="24"/>
          <w:szCs w:val="24"/>
        </w:rPr>
        <w:tab/>
        <w:t>=</w:t>
      </w:r>
      <w:r w:rsidR="009F4216" w:rsidRPr="00EA38DE">
        <w:rPr>
          <w:rFonts w:ascii="Times New Roman" w:hAnsi="Times New Roman" w:cs="Times New Roman"/>
          <w:sz w:val="24"/>
          <w:szCs w:val="24"/>
        </w:rPr>
        <w:tab/>
      </w:r>
      <w:r w:rsidRPr="00EA38DE">
        <w:rPr>
          <w:rFonts w:ascii="Times New Roman" w:hAnsi="Times New Roman" w:cs="Times New Roman"/>
          <w:sz w:val="24"/>
          <w:szCs w:val="24"/>
        </w:rPr>
        <w:t xml:space="preserve">stands for time. </w:t>
      </w:r>
    </w:p>
    <w:p w14:paraId="477DC762" w14:textId="418B416B" w:rsidR="00902313" w:rsidRPr="00EA38DE" w:rsidRDefault="00902313"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α</w:t>
      </w:r>
      <w:r w:rsidRPr="00EA38DE">
        <w:rPr>
          <w:rFonts w:ascii="Times New Roman" w:hAnsi="Times New Roman" w:cs="Times New Roman"/>
          <w:sz w:val="24"/>
          <w:szCs w:val="24"/>
          <w:vertAlign w:val="subscript"/>
        </w:rPr>
        <w:t>0</w:t>
      </w:r>
      <w:r w:rsidRPr="00EA38DE">
        <w:rPr>
          <w:rFonts w:ascii="Times New Roman" w:hAnsi="Times New Roman" w:cs="Times New Roman"/>
          <w:sz w:val="24"/>
          <w:szCs w:val="24"/>
        </w:rPr>
        <w:t xml:space="preserve"> </w:t>
      </w:r>
      <w:r w:rsidR="009F4216" w:rsidRPr="00EA38DE">
        <w:rPr>
          <w:rFonts w:ascii="Times New Roman" w:hAnsi="Times New Roman" w:cs="Times New Roman"/>
          <w:sz w:val="24"/>
          <w:szCs w:val="24"/>
        </w:rPr>
        <w:tab/>
      </w:r>
      <w:r w:rsidR="009F4216" w:rsidRPr="00EA38DE">
        <w:rPr>
          <w:rFonts w:ascii="Times New Roman" w:hAnsi="Times New Roman" w:cs="Times New Roman"/>
          <w:sz w:val="24"/>
          <w:szCs w:val="24"/>
        </w:rPr>
        <w:tab/>
        <w:t>=</w:t>
      </w:r>
      <w:r w:rsidR="009F4216" w:rsidRPr="00EA38DE">
        <w:rPr>
          <w:rFonts w:ascii="Times New Roman" w:hAnsi="Times New Roman" w:cs="Times New Roman"/>
          <w:sz w:val="24"/>
          <w:szCs w:val="24"/>
        </w:rPr>
        <w:tab/>
      </w:r>
      <w:r w:rsidRPr="00EA38DE">
        <w:rPr>
          <w:rFonts w:ascii="Times New Roman" w:hAnsi="Times New Roman" w:cs="Times New Roman"/>
          <w:sz w:val="24"/>
          <w:szCs w:val="24"/>
        </w:rPr>
        <w:t xml:space="preserve">represent short run coefficients </w:t>
      </w:r>
    </w:p>
    <w:p w14:paraId="3F56C8AD" w14:textId="3EAB2E37" w:rsidR="00902313" w:rsidRPr="00EA38DE" w:rsidRDefault="00902313" w:rsidP="00C806C7">
      <w:pPr>
        <w:shd w:val="clear" w:color="auto" w:fill="FFFFFF"/>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α</w:t>
      </w:r>
      <w:r w:rsidRPr="00EA38DE">
        <w:rPr>
          <w:rFonts w:ascii="Times New Roman" w:hAnsi="Times New Roman" w:cs="Times New Roman"/>
          <w:sz w:val="24"/>
          <w:szCs w:val="24"/>
          <w:vertAlign w:val="subscript"/>
        </w:rPr>
        <w:t>i</w:t>
      </w:r>
      <w:r w:rsidRPr="00EA38DE">
        <w:rPr>
          <w:rFonts w:ascii="Times New Roman" w:hAnsi="Times New Roman" w:cs="Times New Roman"/>
          <w:sz w:val="24"/>
          <w:szCs w:val="24"/>
        </w:rPr>
        <w:t xml:space="preserve"> </w:t>
      </w:r>
      <w:r w:rsidR="009F4216" w:rsidRPr="00EA38DE">
        <w:rPr>
          <w:rFonts w:ascii="Times New Roman" w:hAnsi="Times New Roman" w:cs="Times New Roman"/>
          <w:sz w:val="24"/>
          <w:szCs w:val="24"/>
        </w:rPr>
        <w:tab/>
      </w:r>
      <w:r w:rsidR="009F4216" w:rsidRPr="00EA38DE">
        <w:rPr>
          <w:rFonts w:ascii="Times New Roman" w:hAnsi="Times New Roman" w:cs="Times New Roman"/>
          <w:sz w:val="24"/>
          <w:szCs w:val="24"/>
        </w:rPr>
        <w:tab/>
        <w:t>=</w:t>
      </w:r>
      <w:r w:rsidR="009F4216" w:rsidRPr="00EA38DE">
        <w:rPr>
          <w:rFonts w:ascii="Times New Roman" w:hAnsi="Times New Roman" w:cs="Times New Roman"/>
          <w:sz w:val="24"/>
          <w:szCs w:val="24"/>
        </w:rPr>
        <w:tab/>
      </w:r>
      <w:r w:rsidRPr="00EA38DE">
        <w:rPr>
          <w:rFonts w:ascii="Times New Roman" w:hAnsi="Times New Roman" w:cs="Times New Roman"/>
          <w:sz w:val="24"/>
          <w:szCs w:val="24"/>
        </w:rPr>
        <w:t xml:space="preserve">represent the long-term coefficients  </w:t>
      </w:r>
    </w:p>
    <w:p w14:paraId="575EC97E" w14:textId="05BE4B09" w:rsidR="005E0BF6" w:rsidRPr="00EA38DE" w:rsidRDefault="00902313" w:rsidP="00C806C7">
      <w:pPr>
        <w:shd w:val="clear" w:color="auto" w:fill="FFFFFF"/>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While</w:t>
      </w:r>
      <w:r w:rsidR="00704730" w:rsidRPr="00EA38DE">
        <w:rPr>
          <w:rFonts w:ascii="Times New Roman" w:hAnsi="Times New Roman" w:cs="Times New Roman"/>
          <w:sz w:val="24"/>
          <w:szCs w:val="24"/>
        </w:rPr>
        <w:t>,</w:t>
      </w:r>
      <w:r w:rsidRPr="00EA38DE">
        <w:rPr>
          <w:rFonts w:ascii="Times New Roman" w:hAnsi="Times New Roman" w:cs="Times New Roman"/>
          <w:sz w:val="24"/>
          <w:szCs w:val="24"/>
        </w:rPr>
        <w:t xml:space="preserve"> the short-term analysis relates to the</w:t>
      </w:r>
      <w:r w:rsidR="000C5D62" w:rsidRPr="00EA38DE">
        <w:rPr>
          <w:rFonts w:ascii="Times New Roman" w:hAnsi="Times New Roman" w:cs="Times New Roman"/>
          <w:sz w:val="24"/>
          <w:szCs w:val="24"/>
        </w:rPr>
        <w:t xml:space="preserve"> adjustment process and</w:t>
      </w:r>
      <w:r w:rsidRPr="00EA38DE">
        <w:rPr>
          <w:rFonts w:ascii="Times New Roman" w:hAnsi="Times New Roman" w:cs="Times New Roman"/>
          <w:sz w:val="24"/>
          <w:szCs w:val="24"/>
        </w:rPr>
        <w:t xml:space="preserve"> immediate effect of the independent variable</w:t>
      </w:r>
      <w:r w:rsidR="00852D33" w:rsidRPr="00EA38DE">
        <w:rPr>
          <w:rFonts w:ascii="Times New Roman" w:hAnsi="Times New Roman" w:cs="Times New Roman"/>
          <w:sz w:val="24"/>
          <w:szCs w:val="24"/>
        </w:rPr>
        <w:t>s</w:t>
      </w:r>
      <w:r w:rsidRPr="00EA38DE">
        <w:rPr>
          <w:rFonts w:ascii="Times New Roman" w:hAnsi="Times New Roman" w:cs="Times New Roman"/>
          <w:sz w:val="24"/>
          <w:szCs w:val="24"/>
        </w:rPr>
        <w:t xml:space="preserve"> on the dependent variable</w:t>
      </w:r>
      <w:r w:rsidR="00852D33" w:rsidRPr="00EA38DE">
        <w:rPr>
          <w:rFonts w:ascii="Times New Roman" w:hAnsi="Times New Roman" w:cs="Times New Roman"/>
          <w:sz w:val="24"/>
          <w:szCs w:val="24"/>
        </w:rPr>
        <w:t>s</w:t>
      </w:r>
      <w:r w:rsidRPr="00EA38DE">
        <w:rPr>
          <w:rFonts w:ascii="Times New Roman" w:hAnsi="Times New Roman" w:cs="Times New Roman"/>
          <w:sz w:val="24"/>
          <w:szCs w:val="24"/>
        </w:rPr>
        <w:t>, the long-term analysis discloses the speed of adjustment towards equilibrium</w:t>
      </w:r>
      <w:r w:rsidR="000C5D62" w:rsidRPr="00EA38DE">
        <w:rPr>
          <w:rFonts w:ascii="Times New Roman" w:hAnsi="Times New Roman" w:cs="Times New Roman"/>
          <w:sz w:val="24"/>
          <w:szCs w:val="24"/>
        </w:rPr>
        <w:t xml:space="preserve"> in the long term</w:t>
      </w:r>
      <w:r w:rsidRPr="00EA38DE">
        <w:rPr>
          <w:rFonts w:ascii="Times New Roman" w:hAnsi="Times New Roman" w:cs="Times New Roman"/>
          <w:sz w:val="24"/>
          <w:szCs w:val="24"/>
        </w:rPr>
        <w:t>.</w:t>
      </w:r>
    </w:p>
    <w:p w14:paraId="153AA6F0" w14:textId="37A9D956" w:rsidR="00902313" w:rsidRPr="00EA38DE" w:rsidRDefault="005E0BF6" w:rsidP="00C806C7">
      <w:pPr>
        <w:shd w:val="clear" w:color="auto" w:fill="FFFFFF"/>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Re-modifying in unit root form, the </w:t>
      </w:r>
      <w:r w:rsidR="0006098A" w:rsidRPr="00EA38DE">
        <w:rPr>
          <w:rFonts w:ascii="Times New Roman" w:hAnsi="Times New Roman" w:cs="Times New Roman"/>
          <w:sz w:val="24"/>
          <w:szCs w:val="24"/>
        </w:rPr>
        <w:t xml:space="preserve">general </w:t>
      </w:r>
      <w:r w:rsidRPr="00EA38DE">
        <w:rPr>
          <w:rFonts w:ascii="Times New Roman" w:hAnsi="Times New Roman" w:cs="Times New Roman"/>
          <w:sz w:val="24"/>
          <w:szCs w:val="24"/>
        </w:rPr>
        <w:t xml:space="preserve">unit root (Augmented Dickey-Fuller-type) model </w:t>
      </w:r>
      <w:r w:rsidR="0006098A" w:rsidRPr="00EA38DE">
        <w:rPr>
          <w:rFonts w:ascii="Times New Roman" w:hAnsi="Times New Roman" w:cs="Times New Roman"/>
          <w:sz w:val="24"/>
          <w:szCs w:val="24"/>
        </w:rPr>
        <w:t>is displayed below in eq</w:t>
      </w:r>
      <w:r w:rsidR="0038738D" w:rsidRPr="00EA38DE">
        <w:rPr>
          <w:rFonts w:ascii="Times New Roman" w:hAnsi="Times New Roman" w:cs="Times New Roman"/>
          <w:sz w:val="24"/>
          <w:szCs w:val="24"/>
        </w:rPr>
        <w:t>n</w:t>
      </w:r>
      <w:r w:rsidR="003D3A1C" w:rsidRPr="00EA38DE">
        <w:rPr>
          <w:rFonts w:ascii="Times New Roman" w:hAnsi="Times New Roman" w:cs="Times New Roman"/>
          <w:sz w:val="24"/>
          <w:szCs w:val="24"/>
        </w:rPr>
        <w:t>.</w:t>
      </w:r>
      <w:r w:rsidR="000C5D62" w:rsidRPr="00EA38DE">
        <w:rPr>
          <w:rFonts w:ascii="Times New Roman" w:hAnsi="Times New Roman" w:cs="Times New Roman"/>
          <w:sz w:val="24"/>
          <w:szCs w:val="24"/>
        </w:rPr>
        <w:t xml:space="preserve"> (3.30)</w:t>
      </w:r>
      <w:r w:rsidR="0038738D" w:rsidRPr="00EA38DE">
        <w:rPr>
          <w:rFonts w:ascii="Times New Roman" w:hAnsi="Times New Roman" w:cs="Times New Roman"/>
          <w:sz w:val="24"/>
          <w:szCs w:val="24"/>
        </w:rPr>
        <w:t>.</w:t>
      </w:r>
      <w:r w:rsidR="0038738D" w:rsidRPr="00EA38DE">
        <w:rPr>
          <w:rFonts w:ascii="Times New Roman" w:hAnsi="Times New Roman" w:cs="Times New Roman"/>
          <w:sz w:val="24"/>
          <w:szCs w:val="24"/>
        </w:rPr>
        <w:tab/>
      </w:r>
      <w:r w:rsidR="0038738D" w:rsidRPr="00EA38DE">
        <w:rPr>
          <w:rFonts w:ascii="Times New Roman" w:hAnsi="Times New Roman" w:cs="Times New Roman"/>
          <w:sz w:val="24"/>
          <w:szCs w:val="24"/>
        </w:rPr>
        <w:tab/>
      </w:r>
      <w:r w:rsidR="0038738D" w:rsidRPr="00EA38DE">
        <w:rPr>
          <w:rFonts w:ascii="Times New Roman" w:hAnsi="Times New Roman" w:cs="Times New Roman"/>
          <w:sz w:val="24"/>
          <w:szCs w:val="24"/>
        </w:rPr>
        <w:tab/>
      </w:r>
      <w:r w:rsidR="0038738D" w:rsidRPr="00EA38DE">
        <w:rPr>
          <w:rFonts w:ascii="Times New Roman" w:hAnsi="Times New Roman" w:cs="Times New Roman"/>
          <w:sz w:val="24"/>
          <w:szCs w:val="24"/>
        </w:rPr>
        <w:tab/>
      </w:r>
      <w:r w:rsidR="0038738D" w:rsidRPr="00EA38DE">
        <w:rPr>
          <w:rFonts w:ascii="Times New Roman" w:hAnsi="Times New Roman" w:cs="Times New Roman"/>
          <w:sz w:val="24"/>
          <w:szCs w:val="24"/>
        </w:rPr>
        <w:tab/>
      </w:r>
      <w:r w:rsidR="0038738D" w:rsidRPr="00EA38DE">
        <w:rPr>
          <w:rFonts w:ascii="Times New Roman" w:hAnsi="Times New Roman" w:cs="Times New Roman"/>
          <w:sz w:val="24"/>
          <w:szCs w:val="24"/>
        </w:rPr>
        <w:tab/>
      </w:r>
      <w:r w:rsidR="0038738D" w:rsidRPr="00EA38DE">
        <w:rPr>
          <w:rFonts w:ascii="Times New Roman" w:hAnsi="Times New Roman" w:cs="Times New Roman"/>
          <w:sz w:val="24"/>
          <w:szCs w:val="24"/>
        </w:rPr>
        <w:tab/>
      </w:r>
      <w:r w:rsidR="0038738D" w:rsidRPr="00EA38DE">
        <w:rPr>
          <w:rFonts w:ascii="Times New Roman" w:hAnsi="Times New Roman" w:cs="Times New Roman"/>
          <w:sz w:val="24"/>
          <w:szCs w:val="24"/>
        </w:rPr>
        <w:tab/>
      </w:r>
    </w:p>
    <w:p w14:paraId="0E3D9BD1" w14:textId="0C4F388E" w:rsidR="005E0BF6" w:rsidRPr="00EA38DE" w:rsidRDefault="00BD75E9" w:rsidP="00C806C7">
      <w:pPr>
        <w:shd w:val="clear" w:color="auto" w:fill="FFFFFF"/>
        <w:spacing w:after="0" w:line="480" w:lineRule="auto"/>
        <w:jc w:val="both"/>
        <w:rPr>
          <w:rFonts w:ascii="Times New Roman" w:eastAsiaTheme="minorEastAsia" w:hAnsi="Times New Roman" w:cs="Times New Roman"/>
          <w:bCs/>
          <w:sz w:val="24"/>
          <w:szCs w:val="24"/>
          <w:lang w:eastAsia="zh-CN"/>
        </w:rPr>
      </w:pPr>
      <m:oMath>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Y</m:t>
            </m:r>
          </m:e>
          <m:sub>
            <m:r>
              <w:rPr>
                <w:rFonts w:ascii="Cambria Math" w:hAnsi="Cambria Math" w:cs="Times New Roman"/>
                <w:sz w:val="24"/>
                <w:szCs w:val="24"/>
              </w:rPr>
              <m:t>t</m:t>
            </m:r>
          </m:sub>
        </m:sSub>
        <m:r>
          <w:rPr>
            <w:rFonts w:ascii="Cambria Math" w:eastAsia="SimSun" w:hAnsi="Cambria Math" w:cs="Times New Roman"/>
            <w:sz w:val="24"/>
            <w:szCs w:val="24"/>
            <w:lang w:eastAsia="zh-CN"/>
          </w:rPr>
          <m:t>=a+</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β</m:t>
            </m:r>
            <m:r>
              <w:rPr>
                <w:rFonts w:ascii="Cambria Math" w:hAnsi="Cambria Math" w:cs="Times New Roman"/>
                <w:sz w:val="24"/>
                <w:szCs w:val="24"/>
              </w:rPr>
              <m:t>Y</m:t>
            </m:r>
          </m:e>
          <m:sub>
            <m:r>
              <w:rPr>
                <w:rFonts w:ascii="Cambria Math" w:hAnsi="Cambria Math" w:cs="Times New Roman"/>
                <w:sz w:val="24"/>
                <w:szCs w:val="24"/>
              </w:rPr>
              <m:t>t-1</m:t>
            </m:r>
          </m:sub>
        </m:sSub>
        <m:r>
          <w:rPr>
            <w:rFonts w:ascii="Cambria Math" w:eastAsia="SimSun" w:hAnsi="Cambria Math" w:cs="Times New Roman"/>
            <w:sz w:val="24"/>
            <w:szCs w:val="24"/>
            <w:lang w:eastAsia="zh-CN"/>
          </w:rPr>
          <m:t>+γ1</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X</m:t>
            </m:r>
          </m:e>
          <m:sub>
            <m:r>
              <w:rPr>
                <w:rFonts w:ascii="Cambria Math" w:hAnsi="Cambria Math" w:cs="Times New Roman"/>
                <w:sz w:val="24"/>
                <w:szCs w:val="24"/>
              </w:rPr>
              <m:t>1,t</m:t>
            </m:r>
          </m:sub>
        </m:sSub>
        <m:r>
          <w:rPr>
            <w:rFonts w:ascii="Cambria Math" w:eastAsia="SimSun" w:hAnsi="Cambria Math" w:cs="Times New Roman"/>
            <w:sz w:val="24"/>
            <w:szCs w:val="24"/>
            <w:lang w:eastAsia="zh-CN"/>
          </w:rPr>
          <m:t>+γ2</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X</m:t>
            </m:r>
          </m:e>
          <m:sub>
            <m:r>
              <w:rPr>
                <w:rFonts w:ascii="Cambria Math" w:hAnsi="Cambria Math" w:cs="Times New Roman"/>
                <w:sz w:val="24"/>
                <w:szCs w:val="24"/>
              </w:rPr>
              <m:t>2,t</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t</m:t>
            </m:r>
          </m:sub>
        </m:sSub>
      </m:oMath>
      <w:r w:rsidR="00475979" w:rsidRPr="00EA38DE">
        <w:rPr>
          <w:rFonts w:ascii="Times New Roman" w:eastAsiaTheme="minorEastAsia" w:hAnsi="Times New Roman" w:cs="Times New Roman"/>
          <w:b/>
          <w:bCs/>
          <w:sz w:val="24"/>
          <w:szCs w:val="24"/>
          <w:lang w:eastAsia="zh-CN"/>
        </w:rPr>
        <w:t xml:space="preserve"> </w:t>
      </w:r>
      <w:r w:rsidR="0038738D" w:rsidRPr="00EA38DE">
        <w:rPr>
          <w:rFonts w:ascii="Times New Roman" w:eastAsiaTheme="minorEastAsia" w:hAnsi="Times New Roman" w:cs="Times New Roman"/>
          <w:b/>
          <w:bCs/>
          <w:sz w:val="24"/>
          <w:szCs w:val="24"/>
          <w:lang w:eastAsia="zh-CN"/>
        </w:rPr>
        <w:tab/>
      </w:r>
      <w:r w:rsidR="0038738D" w:rsidRPr="00EA38DE">
        <w:rPr>
          <w:rFonts w:ascii="Times New Roman" w:eastAsiaTheme="minorEastAsia" w:hAnsi="Times New Roman" w:cs="Times New Roman"/>
          <w:b/>
          <w:bCs/>
          <w:sz w:val="24"/>
          <w:szCs w:val="24"/>
          <w:lang w:eastAsia="zh-CN"/>
        </w:rPr>
        <w:tab/>
      </w:r>
      <w:r w:rsidR="0038738D" w:rsidRPr="00EA38DE">
        <w:rPr>
          <w:rFonts w:ascii="Times New Roman" w:eastAsiaTheme="minorEastAsia" w:hAnsi="Times New Roman" w:cs="Times New Roman"/>
          <w:b/>
          <w:bCs/>
          <w:sz w:val="24"/>
          <w:szCs w:val="24"/>
          <w:lang w:eastAsia="zh-CN"/>
        </w:rPr>
        <w:tab/>
      </w:r>
      <w:r w:rsidR="0038738D" w:rsidRPr="00EA38DE">
        <w:rPr>
          <w:rFonts w:ascii="Times New Roman" w:eastAsiaTheme="minorEastAsia" w:hAnsi="Times New Roman" w:cs="Times New Roman"/>
          <w:b/>
          <w:bCs/>
          <w:sz w:val="24"/>
          <w:szCs w:val="24"/>
          <w:lang w:eastAsia="zh-CN"/>
        </w:rPr>
        <w:tab/>
      </w:r>
      <w:r w:rsidR="0038738D" w:rsidRPr="00EA38DE">
        <w:rPr>
          <w:rFonts w:ascii="Times New Roman" w:eastAsiaTheme="minorEastAsia" w:hAnsi="Times New Roman" w:cs="Times New Roman"/>
          <w:b/>
          <w:bCs/>
          <w:sz w:val="24"/>
          <w:szCs w:val="24"/>
          <w:lang w:eastAsia="zh-CN"/>
        </w:rPr>
        <w:tab/>
      </w:r>
      <w:r w:rsidR="0038738D" w:rsidRPr="00EA38DE">
        <w:rPr>
          <w:rFonts w:ascii="Times New Roman" w:eastAsiaTheme="minorEastAsia" w:hAnsi="Times New Roman" w:cs="Times New Roman"/>
          <w:bCs/>
          <w:sz w:val="24"/>
          <w:szCs w:val="24"/>
          <w:lang w:eastAsia="zh-CN"/>
        </w:rPr>
        <w:t>(</w:t>
      </w:r>
      <w:r w:rsidR="0006098A" w:rsidRPr="00EA38DE">
        <w:rPr>
          <w:rFonts w:ascii="Times New Roman" w:eastAsiaTheme="minorEastAsia" w:hAnsi="Times New Roman" w:cs="Times New Roman"/>
          <w:bCs/>
          <w:sz w:val="24"/>
          <w:szCs w:val="24"/>
          <w:lang w:eastAsia="zh-CN"/>
        </w:rPr>
        <w:t>3</w:t>
      </w:r>
      <w:r w:rsidR="0038738D" w:rsidRPr="00EA38DE">
        <w:rPr>
          <w:rFonts w:ascii="Times New Roman" w:eastAsiaTheme="minorEastAsia" w:hAnsi="Times New Roman" w:cs="Times New Roman"/>
          <w:bCs/>
          <w:sz w:val="24"/>
          <w:szCs w:val="24"/>
          <w:lang w:eastAsia="zh-CN"/>
        </w:rPr>
        <w:t>.</w:t>
      </w:r>
      <w:r w:rsidR="000C5D62" w:rsidRPr="00EA38DE">
        <w:rPr>
          <w:rFonts w:ascii="Times New Roman" w:eastAsiaTheme="minorEastAsia" w:hAnsi="Times New Roman" w:cs="Times New Roman"/>
          <w:bCs/>
          <w:sz w:val="24"/>
          <w:szCs w:val="24"/>
          <w:lang w:eastAsia="zh-CN"/>
        </w:rPr>
        <w:t>30</w:t>
      </w:r>
      <w:r w:rsidR="0038738D" w:rsidRPr="00EA38DE">
        <w:rPr>
          <w:rFonts w:ascii="Times New Roman" w:eastAsiaTheme="minorEastAsia" w:hAnsi="Times New Roman" w:cs="Times New Roman"/>
          <w:bCs/>
          <w:sz w:val="24"/>
          <w:szCs w:val="24"/>
          <w:lang w:eastAsia="zh-CN"/>
        </w:rPr>
        <w:t>)</w:t>
      </w:r>
    </w:p>
    <w:p w14:paraId="1FAAEADC" w14:textId="77777777" w:rsidR="0066195A" w:rsidRPr="00EA38DE" w:rsidRDefault="0066195A" w:rsidP="00CB10A8">
      <w:pPr>
        <w:pStyle w:val="NormalWeb"/>
        <w:jc w:val="both"/>
      </w:pPr>
      <w:r w:rsidRPr="00EA38DE">
        <w:t>Where:</w:t>
      </w:r>
    </w:p>
    <w:p w14:paraId="7B00BE41" w14:textId="5B5B3315" w:rsidR="0066195A" w:rsidRPr="00EA38DE" w:rsidRDefault="0066195A" w:rsidP="00CB10A8">
      <w:pPr>
        <w:pStyle w:val="NormalWeb"/>
        <w:ind w:firstLine="360"/>
        <w:jc w:val="both"/>
      </w:pPr>
      <w:r w:rsidRPr="00EA38DE">
        <w:rPr>
          <w:rStyle w:val="katex-mathml"/>
        </w:rPr>
        <w:t>Δ</w:t>
      </w:r>
      <w:r w:rsidRPr="00EA38DE">
        <w:rPr>
          <w:rStyle w:val="katex-mathml"/>
        </w:rPr>
        <w:tab/>
      </w:r>
      <w:r w:rsidRPr="00EA38DE">
        <w:rPr>
          <w:rStyle w:val="katex-mathml"/>
        </w:rPr>
        <w:tab/>
        <w:t>=</w:t>
      </w:r>
      <w:r w:rsidRPr="00EA38DE">
        <w:rPr>
          <w:rStyle w:val="katex-mathml"/>
        </w:rPr>
        <w:tab/>
      </w:r>
      <w:r w:rsidRPr="00EA38DE">
        <w:t>denotes the first difference operator,</w:t>
      </w:r>
    </w:p>
    <w:p w14:paraId="668FC221" w14:textId="0E7937B7" w:rsidR="0066195A" w:rsidRPr="00EA38DE" w:rsidRDefault="0066195A" w:rsidP="00CB10A8">
      <w:pPr>
        <w:pStyle w:val="NormalWeb"/>
        <w:ind w:firstLine="360"/>
        <w:jc w:val="both"/>
      </w:pPr>
      <w:r w:rsidRPr="00EA38DE">
        <w:rPr>
          <w:rStyle w:val="katex-mathml"/>
        </w:rPr>
        <w:t>Yt−1</w:t>
      </w:r>
      <w:r w:rsidRPr="00EA38DE">
        <w:rPr>
          <w:rStyle w:val="katex-mathml"/>
        </w:rPr>
        <w:tab/>
        <w:t>=</w:t>
      </w:r>
      <w:r w:rsidRPr="00EA38DE">
        <w:rPr>
          <w:rStyle w:val="katex-mathml"/>
        </w:rPr>
        <w:tab/>
      </w:r>
      <w:r w:rsidRPr="00EA38DE">
        <w:rPr>
          <w:rStyle w:val="vlist-s"/>
        </w:rPr>
        <w:t>​</w:t>
      </w:r>
      <w:r w:rsidRPr="00EA38DE">
        <w:t>is the lagged level of the dependent variable,</w:t>
      </w:r>
    </w:p>
    <w:p w14:paraId="34174D79" w14:textId="62459DA0" w:rsidR="0066195A" w:rsidRPr="00EA38DE" w:rsidRDefault="0066195A" w:rsidP="00CB10A8">
      <w:pPr>
        <w:pStyle w:val="NormalWeb"/>
        <w:ind w:firstLine="360"/>
        <w:jc w:val="both"/>
      </w:pPr>
      <w:r w:rsidRPr="00EA38DE">
        <w:rPr>
          <w:rStyle w:val="katex-mathml"/>
        </w:rPr>
        <w:t>α</w:t>
      </w:r>
      <w:r w:rsidRPr="00EA38DE">
        <w:rPr>
          <w:rStyle w:val="katex-mathml"/>
        </w:rPr>
        <w:tab/>
      </w:r>
      <w:r w:rsidRPr="00EA38DE">
        <w:rPr>
          <w:rStyle w:val="katex-mathml"/>
        </w:rPr>
        <w:tab/>
        <w:t>=</w:t>
      </w:r>
      <w:r w:rsidRPr="00EA38DE">
        <w:rPr>
          <w:rStyle w:val="katex-mathml"/>
        </w:rPr>
        <w:tab/>
        <w:t>is a</w:t>
      </w:r>
      <w:r w:rsidRPr="00EA38DE">
        <w:t xml:space="preserve"> constant,</w:t>
      </w:r>
    </w:p>
    <w:p w14:paraId="7D03DA7E" w14:textId="2CF6976C" w:rsidR="0066195A" w:rsidRPr="00EA38DE" w:rsidRDefault="0066195A" w:rsidP="00087CB2">
      <w:pPr>
        <w:pStyle w:val="NormalWeb"/>
        <w:spacing w:line="480" w:lineRule="auto"/>
        <w:ind w:firstLine="360"/>
        <w:jc w:val="both"/>
        <w:rPr>
          <w:rStyle w:val="katex-mathml"/>
        </w:rPr>
      </w:pPr>
      <w:r w:rsidRPr="00EA38DE">
        <w:rPr>
          <w:rStyle w:val="katex-mathml"/>
        </w:rPr>
        <w:t>ϵt</w:t>
      </w:r>
      <w:r w:rsidRPr="00EA38DE">
        <w:rPr>
          <w:rStyle w:val="katex-mathml"/>
        </w:rPr>
        <w:tab/>
      </w:r>
      <w:r w:rsidRPr="00EA38DE">
        <w:rPr>
          <w:rStyle w:val="katex-mathml"/>
        </w:rPr>
        <w:tab/>
        <w:t>=</w:t>
      </w:r>
      <w:r w:rsidRPr="00EA38DE">
        <w:rPr>
          <w:rStyle w:val="katex-mathml"/>
        </w:rPr>
        <w:tab/>
        <w:t>is the error term</w:t>
      </w:r>
    </w:p>
    <w:p w14:paraId="3EFF6357" w14:textId="77777777" w:rsidR="00E30F58" w:rsidRPr="00EA38DE" w:rsidRDefault="00E30F58" w:rsidP="00087CB2">
      <w:pPr>
        <w:pStyle w:val="NormalWeb"/>
        <w:spacing w:before="0" w:beforeAutospacing="0" w:after="0" w:afterAutospacing="0" w:line="480" w:lineRule="auto"/>
        <w:jc w:val="both"/>
        <w:rPr>
          <w:b/>
        </w:rPr>
      </w:pPr>
      <w:r w:rsidRPr="00EA38DE">
        <w:rPr>
          <w:rStyle w:val="katex-mathml"/>
          <w:b/>
        </w:rPr>
        <w:t xml:space="preserve">Justification for re-modifying in unit root form and using </w:t>
      </w:r>
      <w:r w:rsidRPr="00EA38DE">
        <w:rPr>
          <w:b/>
        </w:rPr>
        <w:t>Augmented Dickey-Fuller-type</w:t>
      </w:r>
    </w:p>
    <w:p w14:paraId="6692E455" w14:textId="77777777" w:rsidR="00E30F58" w:rsidRPr="00EA38DE" w:rsidRDefault="00E30F58" w:rsidP="00087CB2">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 time series econometrics, it is critical to understand the </w:t>
      </w:r>
      <w:r w:rsidRPr="00EA38DE">
        <w:rPr>
          <w:rFonts w:ascii="Times New Roman" w:eastAsia="Times New Roman" w:hAnsi="Times New Roman" w:cs="Times New Roman"/>
          <w:bCs/>
          <w:sz w:val="24"/>
          <w:szCs w:val="24"/>
        </w:rPr>
        <w:t>stationarity properties</w:t>
      </w:r>
      <w:r w:rsidRPr="00EA38DE">
        <w:rPr>
          <w:rFonts w:ascii="Times New Roman" w:eastAsia="Times New Roman" w:hAnsi="Times New Roman" w:cs="Times New Roman"/>
          <w:sz w:val="24"/>
          <w:szCs w:val="24"/>
        </w:rPr>
        <w:t xml:space="preserve"> of the variables used in a model. Stationarity refers to a situation where a variable's statistical properties like mean, variance, and autocorrelation are constant over time.</w:t>
      </w:r>
    </w:p>
    <w:p w14:paraId="2C4E8804" w14:textId="77777777" w:rsidR="00E30F58" w:rsidRPr="00EA38DE" w:rsidRDefault="00E30F58" w:rsidP="00087CB2">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The Autoregressive Distributed Lag (ARDL) approach is flexible in allowing the inclusion of variables that are either </w:t>
      </w:r>
      <w:r w:rsidRPr="00EA38DE">
        <w:rPr>
          <w:rFonts w:ascii="Times New Roman" w:eastAsia="Times New Roman" w:hAnsi="Times New Roman" w:cs="Times New Roman"/>
          <w:bCs/>
          <w:sz w:val="24"/>
          <w:szCs w:val="24"/>
        </w:rPr>
        <w:t>stationary at level [I(0)]</w:t>
      </w:r>
      <w:r w:rsidRPr="00EA38DE">
        <w:rPr>
          <w:rFonts w:ascii="Times New Roman" w:eastAsia="Times New Roman" w:hAnsi="Times New Roman" w:cs="Times New Roman"/>
          <w:sz w:val="24"/>
          <w:szCs w:val="24"/>
        </w:rPr>
        <w:t xml:space="preserve"> or </w:t>
      </w:r>
      <w:r w:rsidRPr="00EA38DE">
        <w:rPr>
          <w:rFonts w:ascii="Times New Roman" w:eastAsia="Times New Roman" w:hAnsi="Times New Roman" w:cs="Times New Roman"/>
          <w:bCs/>
          <w:sz w:val="24"/>
          <w:szCs w:val="24"/>
        </w:rPr>
        <w:t>stationary after first differencing [I(1)]</w:t>
      </w:r>
      <w:r w:rsidRPr="00EA38DE">
        <w:rPr>
          <w:rFonts w:ascii="Times New Roman" w:eastAsia="Times New Roman" w:hAnsi="Times New Roman" w:cs="Times New Roman"/>
          <w:sz w:val="24"/>
          <w:szCs w:val="24"/>
        </w:rPr>
        <w:t xml:space="preserve">, but </w:t>
      </w:r>
      <w:r w:rsidRPr="00EA38DE">
        <w:rPr>
          <w:rFonts w:ascii="Times New Roman" w:eastAsia="Times New Roman" w:hAnsi="Times New Roman" w:cs="Times New Roman"/>
          <w:bCs/>
          <w:sz w:val="24"/>
          <w:szCs w:val="24"/>
        </w:rPr>
        <w:t>not</w:t>
      </w:r>
      <w:r w:rsidRPr="00EA38DE">
        <w:rPr>
          <w:rFonts w:ascii="Times New Roman" w:eastAsia="Times New Roman" w:hAnsi="Times New Roman" w:cs="Times New Roman"/>
          <w:sz w:val="24"/>
          <w:szCs w:val="24"/>
        </w:rPr>
        <w:t xml:space="preserve"> variables that are </w:t>
      </w:r>
      <w:r w:rsidRPr="00EA38DE">
        <w:rPr>
          <w:rFonts w:ascii="Times New Roman" w:eastAsia="Times New Roman" w:hAnsi="Times New Roman" w:cs="Times New Roman"/>
          <w:bCs/>
          <w:sz w:val="24"/>
          <w:szCs w:val="24"/>
        </w:rPr>
        <w:t>integrated of order two [I(2)]</w:t>
      </w:r>
      <w:r w:rsidRPr="00EA38DE">
        <w:rPr>
          <w:rFonts w:ascii="Times New Roman" w:eastAsia="Times New Roman" w:hAnsi="Times New Roman" w:cs="Times New Roman"/>
          <w:sz w:val="24"/>
          <w:szCs w:val="24"/>
        </w:rPr>
        <w:t xml:space="preserve">. Including I(2) variables would violate the assumptions of the ARDL bounds testing approach and could lead to </w:t>
      </w:r>
      <w:r w:rsidRPr="00EA38DE">
        <w:rPr>
          <w:rFonts w:ascii="Times New Roman" w:eastAsia="Times New Roman" w:hAnsi="Times New Roman" w:cs="Times New Roman"/>
          <w:bCs/>
          <w:sz w:val="24"/>
          <w:szCs w:val="24"/>
        </w:rPr>
        <w:t>spurious regression results</w:t>
      </w:r>
      <w:r w:rsidRPr="00EA38DE">
        <w:rPr>
          <w:rFonts w:ascii="Times New Roman" w:eastAsia="Times New Roman" w:hAnsi="Times New Roman" w:cs="Times New Roman"/>
          <w:sz w:val="24"/>
          <w:szCs w:val="24"/>
        </w:rPr>
        <w:t xml:space="preserve"> where the model appears statistically significant but actually reflects meaningless relationships.</w:t>
      </w:r>
    </w:p>
    <w:p w14:paraId="5BC4D3F3" w14:textId="77777777" w:rsidR="00E30F58" w:rsidRPr="00EA38DE" w:rsidRDefault="00E30F58" w:rsidP="00087CB2">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Therefore, before estimating the ARDL models, it is </w:t>
      </w:r>
      <w:r w:rsidRPr="00EA38DE">
        <w:rPr>
          <w:rFonts w:ascii="Times New Roman" w:eastAsia="Times New Roman" w:hAnsi="Times New Roman" w:cs="Times New Roman"/>
          <w:bCs/>
          <w:sz w:val="24"/>
          <w:szCs w:val="24"/>
        </w:rPr>
        <w:t>essential to test for the order of integration</w:t>
      </w:r>
      <w:r w:rsidRPr="00EA38DE">
        <w:rPr>
          <w:rFonts w:ascii="Times New Roman" w:eastAsia="Times New Roman" w:hAnsi="Times New Roman" w:cs="Times New Roman"/>
          <w:sz w:val="24"/>
          <w:szCs w:val="24"/>
        </w:rPr>
        <w:t xml:space="preserve"> of each time series variable. This is where re-modifying the model into </w:t>
      </w:r>
      <w:r w:rsidRPr="00EA38DE">
        <w:rPr>
          <w:rFonts w:ascii="Times New Roman" w:eastAsia="Times New Roman" w:hAnsi="Times New Roman" w:cs="Times New Roman"/>
          <w:bCs/>
          <w:sz w:val="24"/>
          <w:szCs w:val="24"/>
        </w:rPr>
        <w:t>unit root form</w:t>
      </w:r>
      <w:r w:rsidRPr="00EA38DE">
        <w:rPr>
          <w:rFonts w:ascii="Times New Roman" w:eastAsia="Times New Roman" w:hAnsi="Times New Roman" w:cs="Times New Roman"/>
          <w:sz w:val="24"/>
          <w:szCs w:val="24"/>
        </w:rPr>
        <w:t xml:space="preserve"> becomes necessary. It allows the researcher to assess </w:t>
      </w:r>
      <w:r w:rsidRPr="00EA38DE">
        <w:rPr>
          <w:rFonts w:ascii="Times New Roman" w:eastAsia="Times New Roman" w:hAnsi="Times New Roman" w:cs="Times New Roman"/>
          <w:bCs/>
          <w:sz w:val="24"/>
          <w:szCs w:val="24"/>
        </w:rPr>
        <w:t>whether the series are stationary</w:t>
      </w:r>
      <w:r w:rsidRPr="00EA38DE">
        <w:rPr>
          <w:rFonts w:ascii="Times New Roman" w:eastAsia="Times New Roman" w:hAnsi="Times New Roman" w:cs="Times New Roman"/>
          <w:sz w:val="24"/>
          <w:szCs w:val="24"/>
        </w:rPr>
        <w:t xml:space="preserve"> and determine the </w:t>
      </w:r>
      <w:r w:rsidRPr="00EA38DE">
        <w:rPr>
          <w:rFonts w:ascii="Times New Roman" w:eastAsia="Times New Roman" w:hAnsi="Times New Roman" w:cs="Times New Roman"/>
          <w:bCs/>
          <w:sz w:val="24"/>
          <w:szCs w:val="24"/>
        </w:rPr>
        <w:t>appropriate transformation</w:t>
      </w:r>
      <w:r w:rsidRPr="00EA38DE">
        <w:rPr>
          <w:rFonts w:ascii="Times New Roman" w:eastAsia="Times New Roman" w:hAnsi="Times New Roman" w:cs="Times New Roman"/>
          <w:sz w:val="24"/>
          <w:szCs w:val="24"/>
        </w:rPr>
        <w:t xml:space="preserve"> (i.e., differencing) needed to stabilize them.</w:t>
      </w:r>
    </w:p>
    <w:p w14:paraId="2903EA98" w14:textId="77777777" w:rsidR="00E30F58" w:rsidRPr="00EA38DE" w:rsidRDefault="00E30F58" w:rsidP="005B6E3E">
      <w:pPr>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Rationale for Using the Augmented Dickey-Fuller (ADF) Test</w:t>
      </w:r>
    </w:p>
    <w:p w14:paraId="164B907A" w14:textId="77777777" w:rsidR="00E30F58" w:rsidRPr="00EA38DE" w:rsidRDefault="00E30F58" w:rsidP="00087CB2">
      <w:pPr>
        <w:spacing w:after="24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w:t>
      </w:r>
      <w:r w:rsidRPr="00EA38DE">
        <w:rPr>
          <w:rFonts w:ascii="Times New Roman" w:eastAsia="Times New Roman" w:hAnsi="Times New Roman" w:cs="Times New Roman"/>
          <w:bCs/>
          <w:sz w:val="24"/>
          <w:szCs w:val="24"/>
        </w:rPr>
        <w:t>Augmented Dickey-Fuller (ADF) test</w:t>
      </w:r>
      <w:r w:rsidRPr="00EA38DE">
        <w:rPr>
          <w:rFonts w:ascii="Times New Roman" w:eastAsia="Times New Roman" w:hAnsi="Times New Roman" w:cs="Times New Roman"/>
          <w:sz w:val="24"/>
          <w:szCs w:val="24"/>
        </w:rPr>
        <w:t xml:space="preserve"> is a widely used method for checking whether a time series variable has a unit root that is, whether it is </w:t>
      </w:r>
      <w:r w:rsidRPr="00EA38DE">
        <w:rPr>
          <w:rFonts w:ascii="Times New Roman" w:eastAsia="Times New Roman" w:hAnsi="Times New Roman" w:cs="Times New Roman"/>
          <w:bCs/>
          <w:sz w:val="24"/>
          <w:szCs w:val="24"/>
        </w:rPr>
        <w:t>non-stationary</w:t>
      </w:r>
      <w:r w:rsidRPr="00EA38DE">
        <w:rPr>
          <w:rFonts w:ascii="Times New Roman" w:eastAsia="Times New Roman" w:hAnsi="Times New Roman" w:cs="Times New Roman"/>
          <w:sz w:val="24"/>
          <w:szCs w:val="24"/>
        </w:rPr>
        <w:t>. The ADF test helps determine whether a variable is:</w:t>
      </w:r>
    </w:p>
    <w:p w14:paraId="6BF26831" w14:textId="77777777" w:rsidR="00E30F58" w:rsidRPr="00EA38DE" w:rsidRDefault="00E30F58" w:rsidP="00E30F58">
      <w:pPr>
        <w:numPr>
          <w:ilvl w:val="0"/>
          <w:numId w:val="43"/>
        </w:numPr>
        <w:spacing w:after="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I(0)</w:t>
      </w:r>
      <w:r w:rsidRPr="00EA38DE">
        <w:rPr>
          <w:rFonts w:ascii="Times New Roman" w:eastAsia="Times New Roman" w:hAnsi="Times New Roman" w:cs="Times New Roman"/>
          <w:sz w:val="24"/>
          <w:szCs w:val="24"/>
        </w:rPr>
        <w:t xml:space="preserve"> – stationary at level,</w:t>
      </w:r>
    </w:p>
    <w:p w14:paraId="4D9411C4" w14:textId="77777777" w:rsidR="00E30F58" w:rsidRPr="00EA38DE" w:rsidRDefault="00E30F58" w:rsidP="00E30F58">
      <w:pPr>
        <w:numPr>
          <w:ilvl w:val="0"/>
          <w:numId w:val="43"/>
        </w:numPr>
        <w:spacing w:after="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I(1)</w:t>
      </w:r>
      <w:r w:rsidRPr="00EA38DE">
        <w:rPr>
          <w:rFonts w:ascii="Times New Roman" w:eastAsia="Times New Roman" w:hAnsi="Times New Roman" w:cs="Times New Roman"/>
          <w:sz w:val="24"/>
          <w:szCs w:val="24"/>
        </w:rPr>
        <w:t xml:space="preserve"> – stationary after first differencing,</w:t>
      </w:r>
    </w:p>
    <w:p w14:paraId="447A70AF" w14:textId="77777777" w:rsidR="00E30F58" w:rsidRPr="00EA38DE" w:rsidRDefault="00E30F58" w:rsidP="00C806C7">
      <w:pPr>
        <w:numPr>
          <w:ilvl w:val="0"/>
          <w:numId w:val="43"/>
        </w:num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or </w:t>
      </w:r>
      <w:r w:rsidRPr="00EA38DE">
        <w:rPr>
          <w:rFonts w:ascii="Times New Roman" w:eastAsia="Times New Roman" w:hAnsi="Times New Roman" w:cs="Times New Roman"/>
          <w:bCs/>
          <w:sz w:val="24"/>
          <w:szCs w:val="24"/>
        </w:rPr>
        <w:t>I(2)</w:t>
      </w:r>
      <w:r w:rsidRPr="00EA38DE">
        <w:rPr>
          <w:rFonts w:ascii="Times New Roman" w:eastAsia="Times New Roman" w:hAnsi="Times New Roman" w:cs="Times New Roman"/>
          <w:sz w:val="24"/>
          <w:szCs w:val="24"/>
        </w:rPr>
        <w:t xml:space="preserve"> – which would make it unsuitable for ARDL modeling.</w:t>
      </w:r>
    </w:p>
    <w:p w14:paraId="2841B34E" w14:textId="77777777" w:rsidR="00E30F58" w:rsidRPr="00EA38DE" w:rsidRDefault="00E30F58" w:rsidP="00E30F58">
      <w:pPr>
        <w:spacing w:after="0"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The ADF model extends the basic Dickey-Fuller test by including </w:t>
      </w:r>
      <w:r w:rsidRPr="00EA38DE">
        <w:rPr>
          <w:rFonts w:ascii="Times New Roman" w:eastAsia="Times New Roman" w:hAnsi="Times New Roman" w:cs="Times New Roman"/>
          <w:bCs/>
          <w:sz w:val="24"/>
          <w:szCs w:val="24"/>
        </w:rPr>
        <w:t>lagged differences</w:t>
      </w:r>
      <w:r w:rsidRPr="00EA38DE">
        <w:rPr>
          <w:rFonts w:ascii="Times New Roman" w:eastAsia="Times New Roman" w:hAnsi="Times New Roman" w:cs="Times New Roman"/>
          <w:sz w:val="24"/>
          <w:szCs w:val="24"/>
        </w:rPr>
        <w:t xml:space="preserve"> of the variable to account for </w:t>
      </w:r>
      <w:r w:rsidRPr="00EA38DE">
        <w:rPr>
          <w:rFonts w:ascii="Times New Roman" w:eastAsia="Times New Roman" w:hAnsi="Times New Roman" w:cs="Times New Roman"/>
          <w:bCs/>
          <w:sz w:val="24"/>
          <w:szCs w:val="24"/>
        </w:rPr>
        <w:t>serial correlation</w:t>
      </w:r>
      <w:r w:rsidRPr="00EA38DE">
        <w:rPr>
          <w:rFonts w:ascii="Times New Roman" w:eastAsia="Times New Roman" w:hAnsi="Times New Roman" w:cs="Times New Roman"/>
          <w:sz w:val="24"/>
          <w:szCs w:val="24"/>
        </w:rPr>
        <w:t xml:space="preserve"> in the residuals. This makes the test more robust and reliable, especially when working with economic and financial time series data.</w:t>
      </w:r>
    </w:p>
    <w:p w14:paraId="3455BC36" w14:textId="2D0A1724" w:rsidR="0066195A" w:rsidRPr="00EA38DE" w:rsidRDefault="007A7A05" w:rsidP="005B6E3E">
      <w:pPr>
        <w:pStyle w:val="NormalWeb"/>
        <w:spacing w:before="0" w:beforeAutospacing="0"/>
        <w:jc w:val="both"/>
        <w:rPr>
          <w:rStyle w:val="katex-mathml"/>
        </w:rPr>
      </w:pPr>
      <w:r w:rsidRPr="00EA38DE">
        <w:rPr>
          <w:rStyle w:val="katex-mathml"/>
        </w:rPr>
        <w:t xml:space="preserve"> </w:t>
      </w:r>
      <w:r w:rsidR="0066195A" w:rsidRPr="00EA38DE">
        <w:rPr>
          <w:rStyle w:val="katex-mathml"/>
        </w:rPr>
        <w:t>Furthermore, expressing in unit root form, we have;</w:t>
      </w:r>
    </w:p>
    <w:p w14:paraId="457DDA17" w14:textId="6E3508F5" w:rsidR="0066195A" w:rsidRPr="00EA38DE" w:rsidRDefault="0066195A" w:rsidP="009B5F6F">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Model One: Exchange Rate </w:t>
      </w:r>
      <w:r w:rsidR="00FB0F60" w:rsidRPr="00EA38DE">
        <w:rPr>
          <w:rFonts w:ascii="Times New Roman" w:hAnsi="Times New Roman" w:cs="Times New Roman"/>
          <w:b/>
          <w:sz w:val="24"/>
          <w:szCs w:val="24"/>
        </w:rPr>
        <w:t>Volatility</w:t>
      </w:r>
      <w:r w:rsidRPr="00EA38DE">
        <w:rPr>
          <w:rFonts w:ascii="Times New Roman" w:hAnsi="Times New Roman" w:cs="Times New Roman"/>
          <w:b/>
          <w:sz w:val="24"/>
          <w:szCs w:val="24"/>
        </w:rPr>
        <w:t xml:space="preserve"> and CTP  </w:t>
      </w:r>
    </w:p>
    <w:p w14:paraId="25C47273" w14:textId="31DB436C" w:rsidR="0066195A" w:rsidRPr="00EA38DE" w:rsidRDefault="00BD75E9" w:rsidP="00583312">
      <w:pPr>
        <w:shd w:val="clear" w:color="auto" w:fill="FFFFFF"/>
        <w:spacing w:after="0" w:line="480" w:lineRule="auto"/>
        <w:ind w:left="-680"/>
        <w:jc w:val="both"/>
        <w:rPr>
          <w:rFonts w:ascii="Times New Roman" w:hAnsi="Times New Roman" w:cs="Times New Roman"/>
          <w:b/>
        </w:rPr>
      </w:pPr>
      <m:oMathPara>
        <m:oMath>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CTP</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r>
                <w:rPr>
                  <w:rFonts w:ascii="Cambria Math" w:eastAsia="SimSun" w:hAnsi="Cambria Math" w:cs="Times New Roman"/>
                  <w:lang w:eastAsia="zh-CN"/>
                </w:rPr>
                <m:t>a</m:t>
              </m:r>
            </m:e>
            <m:sub>
              <m:r>
                <w:rPr>
                  <w:rFonts w:ascii="Cambria Math" w:hAnsi="Cambria Math" w:cs="Times New Roman"/>
                </w:rPr>
                <m:t>1</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sSub>
                <m:sSubPr>
                  <m:ctrlPr>
                    <w:rPr>
                      <w:rFonts w:ascii="Cambria Math" w:eastAsia="SimSun" w:hAnsi="Cambria Math" w:cs="Times New Roman"/>
                      <w:lang w:eastAsia="zh-CN"/>
                    </w:rPr>
                  </m:ctrlPr>
                </m:sSubPr>
                <m:e>
                  <m:r>
                    <m:rPr>
                      <m:sty m:val="p"/>
                    </m:rPr>
                    <w:rPr>
                      <w:rFonts w:ascii="Cambria Math" w:hAnsi="Cambria Math" w:cs="Times New Roman"/>
                    </w:rPr>
                    <m:t>β</m:t>
                  </m:r>
                </m:e>
                <m:sub>
                  <m:r>
                    <w:rPr>
                      <w:rFonts w:ascii="Cambria Math" w:hAnsi="Cambria Math" w:cs="Times New Roman"/>
                    </w:rPr>
                    <m:t>1</m:t>
                  </m:r>
                </m:sub>
              </m:sSub>
              <m:r>
                <w:rPr>
                  <w:rFonts w:ascii="Cambria Math" w:hAnsi="Cambria Math" w:cs="Times New Roman"/>
                </w:rPr>
                <m:t>CTP</m:t>
              </m:r>
            </m:e>
            <m:sub>
              <m:r>
                <w:rPr>
                  <w:rFonts w:ascii="Cambria Math" w:hAnsi="Cambria Math" w:cs="Times New Roman"/>
                </w:rPr>
                <m:t>t-1</m:t>
              </m:r>
            </m:sub>
          </m:sSub>
          <m:r>
            <w:rPr>
              <w:rFonts w:ascii="Cambria Math" w:eastAsia="SimSun" w:hAnsi="Cambria Math" w:cs="Times New Roman"/>
              <w:lang w:eastAsia="zh-CN"/>
            </w:rPr>
            <m:t>+γ11</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EXRV</m:t>
              </m:r>
            </m:e>
            <m:sub>
              <m:r>
                <w:rPr>
                  <w:rFonts w:ascii="Cambria Math" w:hAnsi="Cambria Math" w:cs="Times New Roman"/>
                </w:rPr>
                <m:t>t</m:t>
              </m:r>
            </m:sub>
          </m:sSub>
          <m:r>
            <w:rPr>
              <w:rFonts w:ascii="Cambria Math" w:eastAsia="SimSun" w:hAnsi="Cambria Math" w:cs="Times New Roman"/>
              <w:lang w:eastAsia="zh-CN"/>
            </w:rPr>
            <m:t>+γ12</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IFR</m:t>
              </m:r>
            </m:e>
            <m:sub>
              <m:r>
                <w:rPr>
                  <w:rFonts w:ascii="Cambria Math" w:hAnsi="Cambria Math" w:cs="Times New Roman"/>
                </w:rPr>
                <m:t>t</m:t>
              </m:r>
            </m:sub>
          </m:sSub>
          <m:r>
            <w:rPr>
              <w:rFonts w:ascii="Cambria Math" w:eastAsia="SimSun" w:hAnsi="Cambria Math" w:cs="Times New Roman"/>
              <w:lang w:eastAsia="zh-CN"/>
            </w:rPr>
            <m:t>+γ13</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TRF</m:t>
              </m:r>
            </m:e>
            <m:sub>
              <m:r>
                <w:rPr>
                  <w:rFonts w:ascii="Cambria Math" w:hAnsi="Cambria Math" w:cs="Times New Roman"/>
                </w:rPr>
                <m:t>t</m:t>
              </m:r>
            </m:sub>
          </m:sSub>
          <m:r>
            <w:rPr>
              <w:rFonts w:ascii="Cambria Math" w:eastAsia="SimSun" w:hAnsi="Cambria Math" w:cs="Times New Roman"/>
              <w:lang w:eastAsia="zh-CN"/>
            </w:rPr>
            <m:t>+γ14</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LAB</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bCs/>
                  <w:i/>
                  <w:lang w:eastAsia="zh-CN"/>
                </w:rPr>
              </m:ctrlPr>
            </m:sSubPr>
            <m:e>
              <m:r>
                <w:rPr>
                  <w:rStyle w:val="mord"/>
                  <w:rFonts w:ascii="Cambria Math" w:hAnsi="Cambria Math" w:cs="Times New Roman"/>
                </w:rPr>
                <m:t>ε</m:t>
              </m:r>
            </m:e>
            <m:sub>
              <m:r>
                <w:rPr>
                  <w:rFonts w:ascii="Cambria Math" w:hAnsi="Cambria Math" w:cs="Times New Roman"/>
                </w:rPr>
                <m:t>1t       (3. 31)</m:t>
              </m:r>
            </m:sub>
          </m:sSub>
        </m:oMath>
      </m:oMathPara>
    </w:p>
    <w:p w14:paraId="330EF9A3" w14:textId="66D70956" w:rsidR="0066195A" w:rsidRPr="00EA38DE" w:rsidRDefault="0066195A" w:rsidP="009B5F6F">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lastRenderedPageBreak/>
        <w:t xml:space="preserve">Model Two: Exchange rate </w:t>
      </w:r>
      <w:r w:rsidR="00FB0F60" w:rsidRPr="00EA38DE">
        <w:rPr>
          <w:rFonts w:ascii="Times New Roman" w:hAnsi="Times New Roman" w:cs="Times New Roman"/>
          <w:b/>
          <w:sz w:val="24"/>
          <w:szCs w:val="24"/>
        </w:rPr>
        <w:t>Volatility</w:t>
      </w:r>
      <w:r w:rsidRPr="00EA38DE">
        <w:rPr>
          <w:rFonts w:ascii="Times New Roman" w:hAnsi="Times New Roman" w:cs="Times New Roman"/>
          <w:b/>
          <w:sz w:val="24"/>
          <w:szCs w:val="24"/>
        </w:rPr>
        <w:t xml:space="preserve"> and SHPC</w:t>
      </w:r>
    </w:p>
    <w:p w14:paraId="08E1725B" w14:textId="41EE0FDA" w:rsidR="00EC7C2B" w:rsidRPr="00EA38DE" w:rsidRDefault="00BD75E9" w:rsidP="005B6E3E">
      <w:pPr>
        <w:shd w:val="clear" w:color="auto" w:fill="FFFFFF"/>
        <w:spacing w:after="0" w:line="480" w:lineRule="auto"/>
        <w:jc w:val="both"/>
        <w:rPr>
          <w:rFonts w:ascii="Times New Roman" w:eastAsiaTheme="minorEastAsia" w:hAnsi="Times New Roman" w:cs="Times New Roman"/>
          <w:bCs/>
          <w:lang w:eastAsia="zh-CN"/>
        </w:rPr>
      </w:pPr>
      <m:oMath>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SHPC</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r>
              <w:rPr>
                <w:rFonts w:ascii="Cambria Math" w:eastAsia="SimSun" w:hAnsi="Cambria Math" w:cs="Times New Roman"/>
                <w:lang w:eastAsia="zh-CN"/>
              </w:rPr>
              <m:t>a</m:t>
            </m:r>
          </m:e>
          <m:sub>
            <m:r>
              <w:rPr>
                <w:rFonts w:ascii="Cambria Math" w:hAnsi="Cambria Math" w:cs="Times New Roman"/>
              </w:rPr>
              <m:t>2</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sSub>
              <m:sSubPr>
                <m:ctrlPr>
                  <w:rPr>
                    <w:rFonts w:ascii="Cambria Math" w:eastAsia="SimSun" w:hAnsi="Cambria Math" w:cs="Times New Roman"/>
                    <w:lang w:eastAsia="zh-CN"/>
                  </w:rPr>
                </m:ctrlPr>
              </m:sSubPr>
              <m:e>
                <m:r>
                  <m:rPr>
                    <m:sty m:val="p"/>
                  </m:rPr>
                  <w:rPr>
                    <w:rFonts w:ascii="Cambria Math" w:hAnsi="Cambria Math" w:cs="Times New Roman"/>
                  </w:rPr>
                  <m:t>β</m:t>
                </m:r>
              </m:e>
              <m:sub>
                <m:r>
                  <w:rPr>
                    <w:rFonts w:ascii="Cambria Math" w:hAnsi="Cambria Math" w:cs="Times New Roman"/>
                  </w:rPr>
                  <m:t>2</m:t>
                </m:r>
              </m:sub>
            </m:sSub>
            <m:r>
              <w:rPr>
                <w:rFonts w:ascii="Cambria Math" w:hAnsi="Cambria Math" w:cs="Times New Roman"/>
              </w:rPr>
              <m:t>SHPC</m:t>
            </m:r>
          </m:e>
          <m:sub>
            <m:r>
              <w:rPr>
                <w:rFonts w:ascii="Cambria Math" w:hAnsi="Cambria Math" w:cs="Times New Roman"/>
              </w:rPr>
              <m:t>t-1</m:t>
            </m:r>
          </m:sub>
        </m:sSub>
        <m:r>
          <w:rPr>
            <w:rFonts w:ascii="Cambria Math" w:eastAsia="SimSun" w:hAnsi="Cambria Math" w:cs="Times New Roman"/>
            <w:lang w:eastAsia="zh-CN"/>
          </w:rPr>
          <m:t>+γ21</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EXRV</m:t>
            </m:r>
          </m:e>
          <m:sub>
            <m:r>
              <w:rPr>
                <w:rFonts w:ascii="Cambria Math" w:hAnsi="Cambria Math" w:cs="Times New Roman"/>
              </w:rPr>
              <m:t>t</m:t>
            </m:r>
          </m:sub>
        </m:sSub>
        <m:r>
          <w:rPr>
            <w:rFonts w:ascii="Cambria Math" w:eastAsia="SimSun" w:hAnsi="Cambria Math" w:cs="Times New Roman"/>
            <w:lang w:eastAsia="zh-CN"/>
          </w:rPr>
          <m:t>+γ22</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IFR</m:t>
            </m:r>
          </m:e>
          <m:sub>
            <m:r>
              <w:rPr>
                <w:rFonts w:ascii="Cambria Math" w:hAnsi="Cambria Math" w:cs="Times New Roman"/>
              </w:rPr>
              <m:t>t</m:t>
            </m:r>
          </m:sub>
        </m:sSub>
        <m:r>
          <w:rPr>
            <w:rFonts w:ascii="Cambria Math" w:eastAsia="SimSun" w:hAnsi="Cambria Math" w:cs="Times New Roman"/>
            <w:lang w:eastAsia="zh-CN"/>
          </w:rPr>
          <m:t>+γ23</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TRF</m:t>
            </m:r>
          </m:e>
          <m:sub>
            <m:r>
              <w:rPr>
                <w:rFonts w:ascii="Cambria Math" w:hAnsi="Cambria Math" w:cs="Times New Roman"/>
              </w:rPr>
              <m:t>t</m:t>
            </m:r>
          </m:sub>
        </m:sSub>
        <m:r>
          <w:rPr>
            <w:rFonts w:ascii="Cambria Math" w:eastAsia="SimSun" w:hAnsi="Cambria Math" w:cs="Times New Roman"/>
            <w:lang w:eastAsia="zh-CN"/>
          </w:rPr>
          <m:t>+γ24</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LAB</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bCs/>
                <w:i/>
                <w:lang w:eastAsia="zh-CN"/>
              </w:rPr>
            </m:ctrlPr>
          </m:sSubPr>
          <m:e>
            <m:r>
              <w:rPr>
                <w:rStyle w:val="mord"/>
                <w:rFonts w:ascii="Cambria Math" w:hAnsi="Cambria Math" w:cs="Times New Roman"/>
              </w:rPr>
              <m:t>ε</m:t>
            </m:r>
          </m:e>
          <m:sub>
            <m:r>
              <w:rPr>
                <w:rFonts w:ascii="Cambria Math" w:hAnsi="Cambria Math" w:cs="Times New Roman"/>
              </w:rPr>
              <m:t>2t</m:t>
            </m:r>
          </m:sub>
        </m:sSub>
      </m:oMath>
      <w:r w:rsidR="005E5D25" w:rsidRPr="00EA38DE">
        <w:rPr>
          <w:rFonts w:ascii="Times New Roman" w:eastAsiaTheme="minorEastAsia" w:hAnsi="Times New Roman" w:cs="Times New Roman"/>
          <w:b/>
          <w:bCs/>
          <w:lang w:eastAsia="zh-CN"/>
        </w:rPr>
        <w:t xml:space="preserve">  </w:t>
      </w:r>
      <w:r w:rsidR="002A4629" w:rsidRPr="00EA38DE">
        <w:rPr>
          <w:rFonts w:ascii="Times New Roman" w:eastAsiaTheme="minorEastAsia" w:hAnsi="Times New Roman" w:cs="Times New Roman"/>
          <w:b/>
          <w:bCs/>
          <w:lang w:eastAsia="zh-CN"/>
        </w:rPr>
        <w:t xml:space="preserve">     </w:t>
      </w:r>
      <w:r w:rsidR="002A4629" w:rsidRPr="00EA38DE">
        <w:rPr>
          <w:rFonts w:ascii="Times New Roman" w:eastAsiaTheme="minorEastAsia" w:hAnsi="Times New Roman" w:cs="Times New Roman"/>
          <w:sz w:val="18"/>
          <w:szCs w:val="18"/>
          <w:lang w:eastAsia="zh-CN"/>
        </w:rPr>
        <w:t>(</w:t>
      </w:r>
      <w:r w:rsidR="00C72AF2" w:rsidRPr="00EA38DE">
        <w:rPr>
          <w:rFonts w:ascii="Times New Roman" w:eastAsiaTheme="minorEastAsia" w:hAnsi="Times New Roman" w:cs="Times New Roman"/>
          <w:sz w:val="18"/>
          <w:szCs w:val="18"/>
          <w:lang w:eastAsia="zh-CN"/>
        </w:rPr>
        <w:t>3.</w:t>
      </w:r>
      <w:r w:rsidR="000C5D62" w:rsidRPr="00EA38DE">
        <w:rPr>
          <w:rFonts w:ascii="Times New Roman" w:eastAsiaTheme="minorEastAsia" w:hAnsi="Times New Roman" w:cs="Times New Roman"/>
          <w:sz w:val="18"/>
          <w:szCs w:val="18"/>
          <w:lang w:eastAsia="zh-CN"/>
        </w:rPr>
        <w:t>32</w:t>
      </w:r>
      <w:r w:rsidR="002A4629" w:rsidRPr="00EA38DE">
        <w:rPr>
          <w:rFonts w:ascii="Times New Roman" w:eastAsiaTheme="minorEastAsia" w:hAnsi="Times New Roman" w:cs="Times New Roman"/>
          <w:lang w:eastAsia="zh-CN"/>
        </w:rPr>
        <w:t>)</w:t>
      </w:r>
    </w:p>
    <w:p w14:paraId="177CC0A0" w14:textId="377690A1" w:rsidR="0066195A" w:rsidRPr="00EA38DE" w:rsidRDefault="0066195A" w:rsidP="005B6E3E">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Model Three: Exchange rate </w:t>
      </w:r>
      <w:r w:rsidR="00FB0F60" w:rsidRPr="00EA38DE">
        <w:rPr>
          <w:rFonts w:ascii="Times New Roman" w:hAnsi="Times New Roman" w:cs="Times New Roman"/>
          <w:b/>
          <w:sz w:val="24"/>
          <w:szCs w:val="24"/>
        </w:rPr>
        <w:t>Volatility</w:t>
      </w:r>
      <w:r w:rsidRPr="00EA38DE">
        <w:rPr>
          <w:rFonts w:ascii="Times New Roman" w:hAnsi="Times New Roman" w:cs="Times New Roman"/>
          <w:b/>
          <w:sz w:val="24"/>
          <w:szCs w:val="24"/>
        </w:rPr>
        <w:t xml:space="preserve"> and POR</w:t>
      </w:r>
    </w:p>
    <w:p w14:paraId="0FAEBF66" w14:textId="7A62735E" w:rsidR="00EC7C2B" w:rsidRPr="00EA38DE" w:rsidRDefault="00BD75E9" w:rsidP="005B6E3E">
      <w:pPr>
        <w:shd w:val="clear" w:color="auto" w:fill="FFFFFF"/>
        <w:spacing w:after="0" w:line="480" w:lineRule="auto"/>
        <w:ind w:left="-113"/>
        <w:jc w:val="both"/>
        <w:rPr>
          <w:rFonts w:ascii="Times New Roman" w:hAnsi="Times New Roman" w:cs="Times New Roman"/>
          <w:b/>
          <w:sz w:val="24"/>
          <w:szCs w:val="24"/>
        </w:rPr>
      </w:pPr>
      <m:oMath>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POR</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r>
              <w:rPr>
                <w:rFonts w:ascii="Cambria Math" w:eastAsia="SimSun" w:hAnsi="Cambria Math" w:cs="Times New Roman"/>
                <w:sz w:val="24"/>
                <w:szCs w:val="24"/>
                <w:lang w:eastAsia="zh-CN"/>
              </w:rPr>
              <m:t>a</m:t>
            </m:r>
          </m:e>
          <m:sub>
            <m:r>
              <w:rPr>
                <w:rFonts w:ascii="Cambria Math" w:hAnsi="Cambria Math" w:cs="Times New Roman"/>
                <w:sz w:val="24"/>
                <w:szCs w:val="24"/>
              </w:rPr>
              <m:t>3</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β</m:t>
                </m:r>
              </m:e>
              <m:sub>
                <m:r>
                  <w:rPr>
                    <w:rFonts w:ascii="Cambria Math" w:hAnsi="Cambria Math" w:cs="Times New Roman"/>
                    <w:sz w:val="24"/>
                    <w:szCs w:val="24"/>
                  </w:rPr>
                  <m:t>3</m:t>
                </m:r>
              </m:sub>
            </m:sSub>
            <m:r>
              <w:rPr>
                <w:rFonts w:ascii="Cambria Math" w:hAnsi="Cambria Math" w:cs="Times New Roman"/>
                <w:sz w:val="24"/>
                <w:szCs w:val="24"/>
              </w:rPr>
              <m:t>POR</m:t>
            </m:r>
          </m:e>
          <m:sub>
            <m:r>
              <w:rPr>
                <w:rFonts w:ascii="Cambria Math" w:hAnsi="Cambria Math" w:cs="Times New Roman"/>
                <w:sz w:val="24"/>
                <w:szCs w:val="24"/>
              </w:rPr>
              <m:t>t-1</m:t>
            </m:r>
          </m:sub>
        </m:sSub>
        <m:r>
          <w:rPr>
            <w:rFonts w:ascii="Cambria Math" w:eastAsia="SimSun" w:hAnsi="Cambria Math" w:cs="Times New Roman"/>
            <w:sz w:val="24"/>
            <w:szCs w:val="24"/>
            <w:lang w:eastAsia="zh-CN"/>
          </w:rPr>
          <m:t>+γ31</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EXRV</m:t>
            </m:r>
          </m:e>
          <m:sub>
            <m:r>
              <w:rPr>
                <w:rFonts w:ascii="Cambria Math" w:hAnsi="Cambria Math" w:cs="Times New Roman"/>
                <w:sz w:val="24"/>
                <w:szCs w:val="24"/>
              </w:rPr>
              <m:t>t</m:t>
            </m:r>
          </m:sub>
        </m:sSub>
        <m:r>
          <w:rPr>
            <w:rFonts w:ascii="Cambria Math" w:eastAsia="SimSun" w:hAnsi="Cambria Math" w:cs="Times New Roman"/>
            <w:sz w:val="24"/>
            <w:szCs w:val="24"/>
            <w:lang w:eastAsia="zh-CN"/>
          </w:rPr>
          <m:t>+γ32</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IFR</m:t>
            </m:r>
          </m:e>
          <m:sub>
            <m:r>
              <w:rPr>
                <w:rFonts w:ascii="Cambria Math" w:hAnsi="Cambria Math" w:cs="Times New Roman"/>
                <w:sz w:val="24"/>
                <w:szCs w:val="24"/>
              </w:rPr>
              <m:t>t</m:t>
            </m:r>
          </m:sub>
        </m:sSub>
        <m:r>
          <w:rPr>
            <w:rFonts w:ascii="Cambria Math" w:eastAsia="SimSun" w:hAnsi="Cambria Math" w:cs="Times New Roman"/>
            <w:sz w:val="24"/>
            <w:szCs w:val="24"/>
            <w:lang w:eastAsia="zh-CN"/>
          </w:rPr>
          <m:t>+γ33</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TRF</m:t>
            </m:r>
          </m:e>
          <m:sub>
            <m:r>
              <w:rPr>
                <w:rFonts w:ascii="Cambria Math" w:hAnsi="Cambria Math" w:cs="Times New Roman"/>
                <w:sz w:val="24"/>
                <w:szCs w:val="24"/>
              </w:rPr>
              <m:t>t</m:t>
            </m:r>
          </m:sub>
        </m:sSub>
        <m:r>
          <w:rPr>
            <w:rFonts w:ascii="Cambria Math" w:eastAsia="SimSun" w:hAnsi="Cambria Math" w:cs="Times New Roman"/>
            <w:sz w:val="24"/>
            <w:szCs w:val="24"/>
            <w:lang w:eastAsia="zh-CN"/>
          </w:rPr>
          <m:t>+γ34</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LAB</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3t</m:t>
            </m:r>
          </m:sub>
        </m:sSub>
      </m:oMath>
      <w:r w:rsidR="0006098A" w:rsidRPr="00EA38DE">
        <w:rPr>
          <w:rFonts w:ascii="Times New Roman" w:eastAsiaTheme="minorEastAsia" w:hAnsi="Times New Roman" w:cs="Times New Roman"/>
          <w:b/>
          <w:bCs/>
          <w:sz w:val="24"/>
          <w:szCs w:val="24"/>
          <w:lang w:eastAsia="zh-CN"/>
        </w:rPr>
        <w:t xml:space="preserve"> </w:t>
      </w:r>
      <w:r w:rsidR="00C72AF2" w:rsidRPr="00EA38DE">
        <w:rPr>
          <w:rFonts w:ascii="Times New Roman" w:eastAsiaTheme="minorEastAsia" w:hAnsi="Times New Roman" w:cs="Times New Roman"/>
          <w:b/>
          <w:bCs/>
          <w:sz w:val="24"/>
          <w:szCs w:val="24"/>
          <w:lang w:eastAsia="zh-CN"/>
        </w:rPr>
        <w:t xml:space="preserve"> </w:t>
      </w:r>
      <w:r w:rsidR="002A4629" w:rsidRPr="00EA38DE">
        <w:rPr>
          <w:rFonts w:ascii="Times New Roman" w:eastAsiaTheme="minorEastAsia" w:hAnsi="Times New Roman" w:cs="Times New Roman"/>
          <w:sz w:val="19"/>
          <w:szCs w:val="19"/>
          <w:lang w:eastAsia="zh-CN"/>
        </w:rPr>
        <w:t>(</w:t>
      </w:r>
      <w:r w:rsidR="00C72AF2" w:rsidRPr="00EA38DE">
        <w:rPr>
          <w:rFonts w:ascii="Times New Roman" w:eastAsiaTheme="minorEastAsia" w:hAnsi="Times New Roman" w:cs="Times New Roman"/>
          <w:sz w:val="19"/>
          <w:szCs w:val="19"/>
          <w:lang w:eastAsia="zh-CN"/>
        </w:rPr>
        <w:t>3.</w:t>
      </w:r>
      <w:r w:rsidR="000C5D62" w:rsidRPr="00EA38DE">
        <w:rPr>
          <w:rFonts w:ascii="Times New Roman" w:eastAsiaTheme="minorEastAsia" w:hAnsi="Times New Roman" w:cs="Times New Roman"/>
          <w:sz w:val="19"/>
          <w:szCs w:val="19"/>
          <w:lang w:eastAsia="zh-CN"/>
        </w:rPr>
        <w:t>33</w:t>
      </w:r>
      <w:r w:rsidR="002A4629" w:rsidRPr="00EA38DE">
        <w:rPr>
          <w:rFonts w:ascii="Times New Roman" w:eastAsiaTheme="minorEastAsia" w:hAnsi="Times New Roman" w:cs="Times New Roman"/>
          <w:sz w:val="19"/>
          <w:szCs w:val="19"/>
          <w:lang w:eastAsia="zh-CN"/>
        </w:rPr>
        <w:t>)</w:t>
      </w:r>
    </w:p>
    <w:p w14:paraId="27F6728C" w14:textId="77777777" w:rsidR="0066195A" w:rsidRPr="00EA38DE" w:rsidRDefault="0066195A" w:rsidP="005B6E3E">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Four: FSH and CTP</w:t>
      </w:r>
    </w:p>
    <w:p w14:paraId="0E5D9F8C" w14:textId="3BC03BD7" w:rsidR="00EC7C2B" w:rsidRPr="00EA38DE" w:rsidRDefault="00BD75E9" w:rsidP="005B6E3E">
      <w:pPr>
        <w:shd w:val="clear" w:color="auto" w:fill="FFFFFF"/>
        <w:spacing w:after="0" w:line="480" w:lineRule="auto"/>
        <w:jc w:val="both"/>
        <w:rPr>
          <w:rFonts w:ascii="Times New Roman" w:hAnsi="Times New Roman" w:cs="Times New Roman"/>
          <w:b/>
          <w:sz w:val="24"/>
          <w:szCs w:val="24"/>
        </w:rPr>
      </w:pPr>
      <m:oMath>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CTP</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r>
              <w:rPr>
                <w:rFonts w:ascii="Cambria Math" w:eastAsia="SimSun" w:hAnsi="Cambria Math" w:cs="Times New Roman"/>
                <w:sz w:val="24"/>
                <w:szCs w:val="24"/>
                <w:lang w:eastAsia="zh-CN"/>
              </w:rPr>
              <m:t>a</m:t>
            </m:r>
          </m:e>
          <m:sub>
            <m:r>
              <w:rPr>
                <w:rFonts w:ascii="Cambria Math" w:hAnsi="Cambria Math" w:cs="Times New Roman"/>
                <w:sz w:val="24"/>
                <w:szCs w:val="24"/>
              </w:rPr>
              <m:t>4</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β</m:t>
                </m:r>
              </m:e>
              <m:sub>
                <m:r>
                  <w:rPr>
                    <w:rFonts w:ascii="Cambria Math" w:hAnsi="Cambria Math" w:cs="Times New Roman"/>
                    <w:sz w:val="24"/>
                    <w:szCs w:val="24"/>
                  </w:rPr>
                  <m:t>4</m:t>
                </m:r>
              </m:sub>
            </m:sSub>
            <m:r>
              <w:rPr>
                <w:rFonts w:ascii="Cambria Math" w:hAnsi="Cambria Math" w:cs="Times New Roman"/>
                <w:sz w:val="24"/>
                <w:szCs w:val="24"/>
              </w:rPr>
              <m:t>CTP</m:t>
            </m:r>
          </m:e>
          <m:sub>
            <m:r>
              <w:rPr>
                <w:rFonts w:ascii="Cambria Math" w:hAnsi="Cambria Math" w:cs="Times New Roman"/>
                <w:sz w:val="24"/>
                <w:szCs w:val="24"/>
              </w:rPr>
              <m:t>t-1</m:t>
            </m:r>
          </m:sub>
        </m:sSub>
        <m:r>
          <w:rPr>
            <w:rFonts w:ascii="Cambria Math" w:eastAsia="SimSun" w:hAnsi="Cambria Math" w:cs="Times New Roman"/>
            <w:sz w:val="24"/>
            <w:szCs w:val="24"/>
            <w:lang w:eastAsia="zh-CN"/>
          </w:rPr>
          <m:t>+γ41</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FSH</m:t>
            </m:r>
          </m:e>
          <m:sub>
            <m:r>
              <w:rPr>
                <w:rFonts w:ascii="Cambria Math" w:hAnsi="Cambria Math" w:cs="Times New Roman"/>
                <w:sz w:val="24"/>
                <w:szCs w:val="24"/>
              </w:rPr>
              <m:t>t</m:t>
            </m:r>
          </m:sub>
        </m:sSub>
        <m:r>
          <w:rPr>
            <w:rFonts w:ascii="Cambria Math" w:eastAsia="SimSun" w:hAnsi="Cambria Math" w:cs="Times New Roman"/>
            <w:sz w:val="24"/>
            <w:szCs w:val="24"/>
            <w:lang w:eastAsia="zh-CN"/>
          </w:rPr>
          <m:t>+γ42</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IFR</m:t>
            </m:r>
          </m:e>
          <m:sub>
            <m:r>
              <w:rPr>
                <w:rFonts w:ascii="Cambria Math" w:hAnsi="Cambria Math" w:cs="Times New Roman"/>
                <w:sz w:val="24"/>
                <w:szCs w:val="24"/>
              </w:rPr>
              <m:t>t</m:t>
            </m:r>
          </m:sub>
        </m:sSub>
        <m:r>
          <w:rPr>
            <w:rFonts w:ascii="Cambria Math" w:eastAsia="SimSun" w:hAnsi="Cambria Math" w:cs="Times New Roman"/>
            <w:sz w:val="24"/>
            <w:szCs w:val="24"/>
            <w:lang w:eastAsia="zh-CN"/>
          </w:rPr>
          <m:t>+γ43</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TRF</m:t>
            </m:r>
          </m:e>
          <m:sub>
            <m:r>
              <w:rPr>
                <w:rFonts w:ascii="Cambria Math" w:hAnsi="Cambria Math" w:cs="Times New Roman"/>
                <w:sz w:val="24"/>
                <w:szCs w:val="24"/>
              </w:rPr>
              <m:t>t</m:t>
            </m:r>
          </m:sub>
        </m:sSub>
        <m:r>
          <w:rPr>
            <w:rFonts w:ascii="Cambria Math" w:eastAsia="SimSun" w:hAnsi="Cambria Math" w:cs="Times New Roman"/>
            <w:sz w:val="24"/>
            <w:szCs w:val="24"/>
            <w:lang w:eastAsia="zh-CN"/>
          </w:rPr>
          <m:t>+γ44</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LAB</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4t</m:t>
            </m:r>
          </m:sub>
        </m:sSub>
      </m:oMath>
      <w:r w:rsidR="00C72AF2" w:rsidRPr="00EA38DE">
        <w:rPr>
          <w:rFonts w:ascii="Times New Roman" w:eastAsiaTheme="minorEastAsia" w:hAnsi="Times New Roman" w:cs="Times New Roman"/>
          <w:b/>
          <w:bCs/>
          <w:sz w:val="24"/>
          <w:szCs w:val="24"/>
          <w:lang w:eastAsia="zh-CN"/>
        </w:rPr>
        <w:t xml:space="preserve">  </w:t>
      </w:r>
      <w:r w:rsidR="002A4629" w:rsidRPr="00EA38DE">
        <w:rPr>
          <w:rFonts w:ascii="Times New Roman" w:eastAsiaTheme="minorEastAsia" w:hAnsi="Times New Roman" w:cs="Times New Roman"/>
          <w:sz w:val="24"/>
          <w:szCs w:val="24"/>
          <w:lang w:eastAsia="zh-CN"/>
        </w:rPr>
        <w:t>(</w:t>
      </w:r>
      <w:r w:rsidR="00C72AF2" w:rsidRPr="00EA38DE">
        <w:rPr>
          <w:rFonts w:ascii="Times New Roman" w:eastAsiaTheme="minorEastAsia" w:hAnsi="Times New Roman" w:cs="Times New Roman"/>
          <w:sz w:val="24"/>
          <w:szCs w:val="24"/>
          <w:lang w:eastAsia="zh-CN"/>
        </w:rPr>
        <w:t>3.3</w:t>
      </w:r>
      <w:r w:rsidR="000C5D62" w:rsidRPr="00EA38DE">
        <w:rPr>
          <w:rFonts w:ascii="Times New Roman" w:eastAsiaTheme="minorEastAsia" w:hAnsi="Times New Roman" w:cs="Times New Roman"/>
          <w:sz w:val="24"/>
          <w:szCs w:val="24"/>
          <w:lang w:eastAsia="zh-CN"/>
        </w:rPr>
        <w:t>4</w:t>
      </w:r>
      <w:r w:rsidR="002A4629" w:rsidRPr="00EA38DE">
        <w:rPr>
          <w:rFonts w:ascii="Times New Roman" w:eastAsiaTheme="minorEastAsia" w:hAnsi="Times New Roman" w:cs="Times New Roman"/>
          <w:sz w:val="24"/>
          <w:szCs w:val="24"/>
          <w:lang w:eastAsia="zh-CN"/>
        </w:rPr>
        <w:t>)</w:t>
      </w:r>
    </w:p>
    <w:p w14:paraId="5B489992" w14:textId="77777777" w:rsidR="0066195A" w:rsidRPr="00EA38DE" w:rsidRDefault="0066195A" w:rsidP="005B6E3E">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Five: FSH and SHPC</w:t>
      </w:r>
    </w:p>
    <w:p w14:paraId="5BEC5C41" w14:textId="77DF6F8C" w:rsidR="00EC7C2B" w:rsidRPr="00EA38DE" w:rsidRDefault="002A4629" w:rsidP="005B6E3E">
      <w:pPr>
        <w:shd w:val="clear" w:color="auto" w:fill="FFFFFF"/>
        <w:spacing w:after="0" w:line="480" w:lineRule="auto"/>
        <w:jc w:val="both"/>
        <w:rPr>
          <w:rFonts w:ascii="Times New Roman" w:hAnsi="Times New Roman" w:cs="Times New Roman"/>
          <w:b/>
          <w:szCs w:val="24"/>
        </w:rPr>
      </w:pPr>
      <w:r w:rsidRPr="00EA38DE">
        <w:rPr>
          <w:rFonts w:ascii="Times New Roman" w:eastAsiaTheme="minorEastAsia" w:hAnsi="Times New Roman" w:cs="Times New Roman"/>
          <w:szCs w:val="24"/>
          <w:lang w:eastAsia="zh-CN"/>
        </w:rPr>
        <w:t xml:space="preserve"> </w:t>
      </w:r>
      <m:oMath>
        <m:sSub>
          <m:sSubPr>
            <m:ctrlPr>
              <w:rPr>
                <w:rFonts w:ascii="Cambria Math" w:eastAsia="SimSun" w:hAnsi="Cambria Math" w:cs="Times New Roman"/>
                <w:szCs w:val="24"/>
                <w:lang w:eastAsia="zh-CN"/>
              </w:rPr>
            </m:ctrlPr>
          </m:sSubPr>
          <m:e>
            <m:r>
              <m:rPr>
                <m:sty m:val="p"/>
              </m:rPr>
              <w:rPr>
                <w:rFonts w:ascii="Cambria Math" w:hAnsi="Cambria Math" w:cs="Times New Roman"/>
                <w:szCs w:val="24"/>
              </w:rPr>
              <m:t>Δ</m:t>
            </m:r>
            <m:r>
              <w:rPr>
                <w:rFonts w:ascii="Cambria Math" w:hAnsi="Cambria Math" w:cs="Times New Roman"/>
                <w:szCs w:val="24"/>
              </w:rPr>
              <m:t>SHPC</m:t>
            </m:r>
          </m:e>
          <m:sub>
            <m:r>
              <w:rPr>
                <w:rFonts w:ascii="Cambria Math" w:hAnsi="Cambria Math" w:cs="Times New Roman"/>
                <w:szCs w:val="24"/>
              </w:rPr>
              <m:t>t</m:t>
            </m:r>
          </m:sub>
        </m:sSub>
        <m:r>
          <w:rPr>
            <w:rFonts w:ascii="Cambria Math" w:eastAsia="SimSun" w:hAnsi="Cambria Math" w:cs="Times New Roman"/>
            <w:szCs w:val="24"/>
            <w:lang w:eastAsia="zh-CN"/>
          </w:rPr>
          <m:t>=</m:t>
        </m:r>
        <m:sSub>
          <m:sSubPr>
            <m:ctrlPr>
              <w:rPr>
                <w:rFonts w:ascii="Cambria Math" w:eastAsia="SimSun" w:hAnsi="Cambria Math" w:cs="Times New Roman"/>
                <w:szCs w:val="24"/>
                <w:lang w:eastAsia="zh-CN"/>
              </w:rPr>
            </m:ctrlPr>
          </m:sSubPr>
          <m:e>
            <m:r>
              <w:rPr>
                <w:rFonts w:ascii="Cambria Math" w:eastAsia="SimSun" w:hAnsi="Cambria Math" w:cs="Times New Roman"/>
                <w:szCs w:val="24"/>
                <w:lang w:eastAsia="zh-CN"/>
              </w:rPr>
              <m:t>a</m:t>
            </m:r>
          </m:e>
          <m:sub>
            <m:r>
              <w:rPr>
                <w:rFonts w:ascii="Cambria Math" w:hAnsi="Cambria Math" w:cs="Times New Roman"/>
                <w:szCs w:val="24"/>
              </w:rPr>
              <m:t>5</m:t>
            </m:r>
          </m:sub>
        </m:sSub>
        <m:r>
          <w:rPr>
            <w:rFonts w:ascii="Cambria Math" w:eastAsia="SimSun" w:hAnsi="Cambria Math" w:cs="Times New Roman"/>
            <w:szCs w:val="24"/>
            <w:lang w:eastAsia="zh-CN"/>
          </w:rPr>
          <m:t>+</m:t>
        </m:r>
        <m:sSub>
          <m:sSubPr>
            <m:ctrlPr>
              <w:rPr>
                <w:rFonts w:ascii="Cambria Math" w:eastAsia="SimSun" w:hAnsi="Cambria Math" w:cs="Times New Roman"/>
                <w:szCs w:val="24"/>
                <w:lang w:eastAsia="zh-CN"/>
              </w:rPr>
            </m:ctrlPr>
          </m:sSubPr>
          <m:e>
            <m:sSub>
              <m:sSubPr>
                <m:ctrlPr>
                  <w:rPr>
                    <w:rFonts w:ascii="Cambria Math" w:eastAsia="SimSun" w:hAnsi="Cambria Math" w:cs="Times New Roman"/>
                    <w:szCs w:val="24"/>
                    <w:lang w:eastAsia="zh-CN"/>
                  </w:rPr>
                </m:ctrlPr>
              </m:sSubPr>
              <m:e>
                <m:r>
                  <m:rPr>
                    <m:sty m:val="p"/>
                  </m:rPr>
                  <w:rPr>
                    <w:rFonts w:ascii="Cambria Math" w:hAnsi="Cambria Math" w:cs="Times New Roman"/>
                    <w:szCs w:val="24"/>
                  </w:rPr>
                  <m:t>β</m:t>
                </m:r>
              </m:e>
              <m:sub>
                <m:r>
                  <w:rPr>
                    <w:rFonts w:ascii="Cambria Math" w:hAnsi="Cambria Math" w:cs="Times New Roman"/>
                    <w:szCs w:val="24"/>
                  </w:rPr>
                  <m:t>5</m:t>
                </m:r>
              </m:sub>
            </m:sSub>
            <m:r>
              <w:rPr>
                <w:rFonts w:ascii="Cambria Math" w:hAnsi="Cambria Math" w:cs="Times New Roman"/>
                <w:szCs w:val="24"/>
              </w:rPr>
              <m:t>SHPC</m:t>
            </m:r>
          </m:e>
          <m:sub>
            <m:r>
              <w:rPr>
                <w:rFonts w:ascii="Cambria Math" w:hAnsi="Cambria Math" w:cs="Times New Roman"/>
                <w:szCs w:val="24"/>
              </w:rPr>
              <m:t>t-1</m:t>
            </m:r>
          </m:sub>
        </m:sSub>
        <m:r>
          <w:rPr>
            <w:rFonts w:ascii="Cambria Math" w:eastAsia="SimSun" w:hAnsi="Cambria Math" w:cs="Times New Roman"/>
            <w:szCs w:val="24"/>
            <w:lang w:eastAsia="zh-CN"/>
          </w:rPr>
          <m:t>+γ51</m:t>
        </m:r>
        <m:sSub>
          <m:sSubPr>
            <m:ctrlPr>
              <w:rPr>
                <w:rFonts w:ascii="Cambria Math" w:eastAsia="SimSun" w:hAnsi="Cambria Math" w:cs="Times New Roman"/>
                <w:szCs w:val="24"/>
                <w:lang w:eastAsia="zh-CN"/>
              </w:rPr>
            </m:ctrlPr>
          </m:sSubPr>
          <m:e>
            <m:r>
              <m:rPr>
                <m:sty m:val="p"/>
              </m:rPr>
              <w:rPr>
                <w:rFonts w:ascii="Cambria Math" w:hAnsi="Cambria Math" w:cs="Times New Roman"/>
                <w:szCs w:val="24"/>
              </w:rPr>
              <m:t>Δ</m:t>
            </m:r>
            <m:r>
              <w:rPr>
                <w:rFonts w:ascii="Cambria Math" w:hAnsi="Cambria Math" w:cs="Times New Roman"/>
                <w:szCs w:val="24"/>
              </w:rPr>
              <m:t>FSH</m:t>
            </m:r>
          </m:e>
          <m:sub>
            <m:r>
              <w:rPr>
                <w:rFonts w:ascii="Cambria Math" w:hAnsi="Cambria Math" w:cs="Times New Roman"/>
                <w:szCs w:val="24"/>
              </w:rPr>
              <m:t>t</m:t>
            </m:r>
          </m:sub>
        </m:sSub>
        <m:r>
          <w:rPr>
            <w:rFonts w:ascii="Cambria Math" w:eastAsia="SimSun" w:hAnsi="Cambria Math" w:cs="Times New Roman"/>
            <w:szCs w:val="24"/>
            <w:lang w:eastAsia="zh-CN"/>
          </w:rPr>
          <m:t>+γ52</m:t>
        </m:r>
        <m:sSub>
          <m:sSubPr>
            <m:ctrlPr>
              <w:rPr>
                <w:rFonts w:ascii="Cambria Math" w:eastAsia="SimSun" w:hAnsi="Cambria Math" w:cs="Times New Roman"/>
                <w:szCs w:val="24"/>
                <w:lang w:eastAsia="zh-CN"/>
              </w:rPr>
            </m:ctrlPr>
          </m:sSubPr>
          <m:e>
            <m:r>
              <m:rPr>
                <m:sty m:val="p"/>
              </m:rPr>
              <w:rPr>
                <w:rFonts w:ascii="Cambria Math" w:hAnsi="Cambria Math" w:cs="Times New Roman"/>
                <w:szCs w:val="24"/>
              </w:rPr>
              <m:t>Δ</m:t>
            </m:r>
            <m:r>
              <w:rPr>
                <w:rFonts w:ascii="Cambria Math" w:hAnsi="Cambria Math" w:cs="Times New Roman"/>
                <w:szCs w:val="24"/>
              </w:rPr>
              <m:t>IFR</m:t>
            </m:r>
          </m:e>
          <m:sub>
            <m:r>
              <w:rPr>
                <w:rFonts w:ascii="Cambria Math" w:hAnsi="Cambria Math" w:cs="Times New Roman"/>
                <w:szCs w:val="24"/>
              </w:rPr>
              <m:t>t</m:t>
            </m:r>
          </m:sub>
        </m:sSub>
        <m:r>
          <w:rPr>
            <w:rFonts w:ascii="Cambria Math" w:eastAsia="SimSun" w:hAnsi="Cambria Math" w:cs="Times New Roman"/>
            <w:szCs w:val="24"/>
            <w:lang w:eastAsia="zh-CN"/>
          </w:rPr>
          <m:t>+γ53</m:t>
        </m:r>
        <m:sSub>
          <m:sSubPr>
            <m:ctrlPr>
              <w:rPr>
                <w:rFonts w:ascii="Cambria Math" w:eastAsia="SimSun" w:hAnsi="Cambria Math" w:cs="Times New Roman"/>
                <w:szCs w:val="24"/>
                <w:lang w:eastAsia="zh-CN"/>
              </w:rPr>
            </m:ctrlPr>
          </m:sSubPr>
          <m:e>
            <m:r>
              <m:rPr>
                <m:sty m:val="p"/>
              </m:rPr>
              <w:rPr>
                <w:rFonts w:ascii="Cambria Math" w:hAnsi="Cambria Math" w:cs="Times New Roman"/>
                <w:szCs w:val="24"/>
              </w:rPr>
              <m:t>Δ</m:t>
            </m:r>
            <m:r>
              <w:rPr>
                <w:rFonts w:ascii="Cambria Math" w:hAnsi="Cambria Math" w:cs="Times New Roman"/>
                <w:szCs w:val="24"/>
              </w:rPr>
              <m:t>TRF</m:t>
            </m:r>
          </m:e>
          <m:sub>
            <m:r>
              <w:rPr>
                <w:rFonts w:ascii="Cambria Math" w:hAnsi="Cambria Math" w:cs="Times New Roman"/>
                <w:szCs w:val="24"/>
              </w:rPr>
              <m:t>t</m:t>
            </m:r>
          </m:sub>
        </m:sSub>
        <m:r>
          <w:rPr>
            <w:rFonts w:ascii="Cambria Math" w:eastAsia="SimSun" w:hAnsi="Cambria Math" w:cs="Times New Roman"/>
            <w:szCs w:val="24"/>
            <w:lang w:eastAsia="zh-CN"/>
          </w:rPr>
          <m:t>+γ54</m:t>
        </m:r>
        <m:sSub>
          <m:sSubPr>
            <m:ctrlPr>
              <w:rPr>
                <w:rFonts w:ascii="Cambria Math" w:eastAsia="SimSun" w:hAnsi="Cambria Math" w:cs="Times New Roman"/>
                <w:szCs w:val="24"/>
                <w:lang w:eastAsia="zh-CN"/>
              </w:rPr>
            </m:ctrlPr>
          </m:sSubPr>
          <m:e>
            <m:r>
              <m:rPr>
                <m:sty m:val="p"/>
              </m:rPr>
              <w:rPr>
                <w:rFonts w:ascii="Cambria Math" w:hAnsi="Cambria Math" w:cs="Times New Roman"/>
                <w:szCs w:val="24"/>
              </w:rPr>
              <m:t>Δ</m:t>
            </m:r>
            <m:r>
              <w:rPr>
                <w:rFonts w:ascii="Cambria Math" w:hAnsi="Cambria Math" w:cs="Times New Roman"/>
                <w:szCs w:val="24"/>
              </w:rPr>
              <m:t>LAB</m:t>
            </m:r>
          </m:e>
          <m:sub>
            <m:r>
              <w:rPr>
                <w:rFonts w:ascii="Cambria Math" w:hAnsi="Cambria Math" w:cs="Times New Roman"/>
                <w:szCs w:val="24"/>
              </w:rPr>
              <m:t>t</m:t>
            </m:r>
          </m:sub>
        </m:sSub>
        <m:r>
          <w:rPr>
            <w:rFonts w:ascii="Cambria Math" w:eastAsia="SimSun" w:hAnsi="Cambria Math" w:cs="Times New Roman"/>
            <w:szCs w:val="24"/>
            <w:lang w:eastAsia="zh-CN"/>
          </w:rPr>
          <m:t>…+</m:t>
        </m:r>
        <m:sSub>
          <m:sSubPr>
            <m:ctrlPr>
              <w:rPr>
                <w:rFonts w:ascii="Cambria Math" w:eastAsia="SimSun" w:hAnsi="Cambria Math" w:cs="Times New Roman"/>
                <w:bCs/>
                <w:i/>
                <w:szCs w:val="24"/>
                <w:lang w:eastAsia="zh-CN"/>
              </w:rPr>
            </m:ctrlPr>
          </m:sSubPr>
          <m:e>
            <m:r>
              <w:rPr>
                <w:rStyle w:val="mord"/>
                <w:rFonts w:ascii="Cambria Math" w:hAnsi="Cambria Math" w:cs="Times New Roman"/>
                <w:szCs w:val="24"/>
              </w:rPr>
              <m:t>ε</m:t>
            </m:r>
          </m:e>
          <m:sub>
            <m:r>
              <w:rPr>
                <w:rFonts w:ascii="Cambria Math" w:hAnsi="Cambria Math" w:cs="Times New Roman"/>
                <w:szCs w:val="24"/>
              </w:rPr>
              <m:t>5t</m:t>
            </m:r>
          </m:sub>
        </m:sSub>
      </m:oMath>
      <w:r w:rsidR="00C72AF2" w:rsidRPr="00EA38DE">
        <w:rPr>
          <w:rFonts w:ascii="Times New Roman" w:eastAsiaTheme="minorEastAsia" w:hAnsi="Times New Roman" w:cs="Times New Roman"/>
          <w:bCs/>
          <w:szCs w:val="24"/>
          <w:lang w:eastAsia="zh-CN"/>
        </w:rPr>
        <w:t xml:space="preserve">      </w:t>
      </w:r>
      <w:r w:rsidR="00164181" w:rsidRPr="00EA38DE">
        <w:rPr>
          <w:rFonts w:ascii="Times New Roman" w:eastAsiaTheme="minorEastAsia" w:hAnsi="Times New Roman" w:cs="Times New Roman"/>
          <w:bCs/>
          <w:szCs w:val="24"/>
          <w:lang w:eastAsia="zh-CN"/>
        </w:rPr>
        <w:t xml:space="preserve">   </w:t>
      </w:r>
      <w:r w:rsidRPr="00EA38DE">
        <w:rPr>
          <w:rFonts w:ascii="Times New Roman" w:eastAsiaTheme="minorEastAsia" w:hAnsi="Times New Roman" w:cs="Times New Roman"/>
          <w:bCs/>
          <w:szCs w:val="24"/>
          <w:lang w:eastAsia="zh-CN"/>
        </w:rPr>
        <w:t>(</w:t>
      </w:r>
      <w:r w:rsidR="00C72AF2" w:rsidRPr="00EA38DE">
        <w:rPr>
          <w:rFonts w:ascii="Times New Roman" w:eastAsiaTheme="minorEastAsia" w:hAnsi="Times New Roman" w:cs="Times New Roman"/>
          <w:bCs/>
          <w:szCs w:val="24"/>
          <w:lang w:eastAsia="zh-CN"/>
        </w:rPr>
        <w:t>3.3</w:t>
      </w:r>
      <w:r w:rsidR="000C5D62" w:rsidRPr="00EA38DE">
        <w:rPr>
          <w:rFonts w:ascii="Times New Roman" w:eastAsiaTheme="minorEastAsia" w:hAnsi="Times New Roman" w:cs="Times New Roman"/>
          <w:bCs/>
          <w:szCs w:val="24"/>
          <w:lang w:eastAsia="zh-CN"/>
        </w:rPr>
        <w:t>5</w:t>
      </w:r>
      <w:r w:rsidRPr="00EA38DE">
        <w:rPr>
          <w:rFonts w:ascii="Times New Roman" w:eastAsiaTheme="minorEastAsia" w:hAnsi="Times New Roman" w:cs="Times New Roman"/>
          <w:bCs/>
          <w:szCs w:val="24"/>
          <w:lang w:eastAsia="zh-CN"/>
        </w:rPr>
        <w:t>)</w:t>
      </w:r>
    </w:p>
    <w:p w14:paraId="0C5445C8" w14:textId="2BAA199B" w:rsidR="0066195A" w:rsidRPr="00EA38DE" w:rsidRDefault="0066195A" w:rsidP="005B6E3E">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Six: FSH and POR</w:t>
      </w:r>
    </w:p>
    <w:p w14:paraId="18664CB6" w14:textId="13FB3E7C" w:rsidR="00097F60" w:rsidRPr="00EA38DE" w:rsidRDefault="00BD75E9" w:rsidP="005B6E3E">
      <w:pPr>
        <w:shd w:val="clear" w:color="auto" w:fill="FFFFFF"/>
        <w:spacing w:after="0" w:line="480" w:lineRule="auto"/>
        <w:ind w:left="-170"/>
        <w:jc w:val="both"/>
        <w:rPr>
          <w:rFonts w:ascii="Times New Roman" w:hAnsi="Times New Roman" w:cs="Times New Roman"/>
          <w:b/>
          <w:sz w:val="24"/>
          <w:szCs w:val="24"/>
        </w:rPr>
      </w:pPr>
      <m:oMath>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POR</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r>
              <w:rPr>
                <w:rFonts w:ascii="Cambria Math" w:eastAsia="SimSun" w:hAnsi="Cambria Math" w:cs="Times New Roman"/>
                <w:sz w:val="24"/>
                <w:szCs w:val="24"/>
                <w:lang w:eastAsia="zh-CN"/>
              </w:rPr>
              <m:t>a</m:t>
            </m:r>
          </m:e>
          <m:sub>
            <m:r>
              <w:rPr>
                <w:rFonts w:ascii="Cambria Math" w:hAnsi="Cambria Math" w:cs="Times New Roman"/>
                <w:sz w:val="24"/>
                <w:szCs w:val="24"/>
              </w:rPr>
              <m:t>6</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β</m:t>
                </m:r>
              </m:e>
              <m:sub>
                <m:r>
                  <w:rPr>
                    <w:rFonts w:ascii="Cambria Math" w:hAnsi="Cambria Math" w:cs="Times New Roman"/>
                    <w:sz w:val="24"/>
                    <w:szCs w:val="24"/>
                  </w:rPr>
                  <m:t>6</m:t>
                </m:r>
              </m:sub>
            </m:sSub>
            <m:r>
              <w:rPr>
                <w:rFonts w:ascii="Cambria Math" w:hAnsi="Cambria Math" w:cs="Times New Roman"/>
                <w:sz w:val="24"/>
                <w:szCs w:val="24"/>
              </w:rPr>
              <m:t>POR</m:t>
            </m:r>
          </m:e>
          <m:sub>
            <m:r>
              <w:rPr>
                <w:rFonts w:ascii="Cambria Math" w:hAnsi="Cambria Math" w:cs="Times New Roman"/>
                <w:sz w:val="24"/>
                <w:szCs w:val="24"/>
              </w:rPr>
              <m:t>t-1</m:t>
            </m:r>
          </m:sub>
        </m:sSub>
        <m:r>
          <w:rPr>
            <w:rFonts w:ascii="Cambria Math" w:eastAsia="SimSun" w:hAnsi="Cambria Math" w:cs="Times New Roman"/>
            <w:sz w:val="24"/>
            <w:szCs w:val="24"/>
            <w:lang w:eastAsia="zh-CN"/>
          </w:rPr>
          <m:t>+γ61</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FSH</m:t>
            </m:r>
          </m:e>
          <m:sub>
            <m:r>
              <w:rPr>
                <w:rFonts w:ascii="Cambria Math" w:hAnsi="Cambria Math" w:cs="Times New Roman"/>
                <w:sz w:val="24"/>
                <w:szCs w:val="24"/>
              </w:rPr>
              <m:t>t</m:t>
            </m:r>
          </m:sub>
        </m:sSub>
        <m:r>
          <w:rPr>
            <w:rFonts w:ascii="Cambria Math" w:eastAsia="SimSun" w:hAnsi="Cambria Math" w:cs="Times New Roman"/>
            <w:sz w:val="24"/>
            <w:szCs w:val="24"/>
            <w:lang w:eastAsia="zh-CN"/>
          </w:rPr>
          <m:t>+γ62</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IFR</m:t>
            </m:r>
          </m:e>
          <m:sub>
            <m:r>
              <w:rPr>
                <w:rFonts w:ascii="Cambria Math" w:hAnsi="Cambria Math" w:cs="Times New Roman"/>
                <w:sz w:val="24"/>
                <w:szCs w:val="24"/>
              </w:rPr>
              <m:t>t</m:t>
            </m:r>
          </m:sub>
        </m:sSub>
        <m:r>
          <w:rPr>
            <w:rFonts w:ascii="Cambria Math" w:eastAsia="SimSun" w:hAnsi="Cambria Math" w:cs="Times New Roman"/>
            <w:sz w:val="24"/>
            <w:szCs w:val="24"/>
            <w:lang w:eastAsia="zh-CN"/>
          </w:rPr>
          <m:t>+γ63</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TRF</m:t>
            </m:r>
          </m:e>
          <m:sub>
            <m:r>
              <w:rPr>
                <w:rFonts w:ascii="Cambria Math" w:hAnsi="Cambria Math" w:cs="Times New Roman"/>
                <w:sz w:val="24"/>
                <w:szCs w:val="24"/>
              </w:rPr>
              <m:t>t</m:t>
            </m:r>
          </m:sub>
        </m:sSub>
        <m:r>
          <w:rPr>
            <w:rFonts w:ascii="Cambria Math" w:eastAsia="SimSun" w:hAnsi="Cambria Math" w:cs="Times New Roman"/>
            <w:sz w:val="24"/>
            <w:szCs w:val="24"/>
            <w:lang w:eastAsia="zh-CN"/>
          </w:rPr>
          <m:t>+γ64</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LAB</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6t</m:t>
            </m:r>
          </m:sub>
        </m:sSub>
      </m:oMath>
      <w:r w:rsidR="0006098A" w:rsidRPr="00EA38DE">
        <w:rPr>
          <w:rFonts w:ascii="Times New Roman" w:eastAsiaTheme="minorEastAsia" w:hAnsi="Times New Roman" w:cs="Times New Roman"/>
          <w:bCs/>
          <w:sz w:val="24"/>
          <w:szCs w:val="24"/>
          <w:lang w:eastAsia="zh-CN"/>
        </w:rPr>
        <w:t xml:space="preserve"> </w:t>
      </w:r>
      <w:r w:rsidR="00C72AF2" w:rsidRPr="00EA38DE">
        <w:rPr>
          <w:rFonts w:ascii="Times New Roman" w:eastAsiaTheme="minorEastAsia" w:hAnsi="Times New Roman" w:cs="Times New Roman"/>
          <w:b/>
          <w:bCs/>
          <w:sz w:val="24"/>
          <w:szCs w:val="24"/>
          <w:lang w:eastAsia="zh-CN"/>
        </w:rPr>
        <w:t xml:space="preserve">     </w:t>
      </w:r>
      <w:r w:rsidR="002A4629" w:rsidRPr="00EA38DE">
        <w:rPr>
          <w:rFonts w:ascii="Times New Roman" w:eastAsiaTheme="minorEastAsia" w:hAnsi="Times New Roman" w:cs="Times New Roman"/>
          <w:sz w:val="24"/>
          <w:szCs w:val="24"/>
          <w:lang w:eastAsia="zh-CN"/>
        </w:rPr>
        <w:t>(</w:t>
      </w:r>
      <w:r w:rsidR="00C72AF2" w:rsidRPr="00EA38DE">
        <w:rPr>
          <w:rFonts w:ascii="Times New Roman" w:eastAsiaTheme="minorEastAsia" w:hAnsi="Times New Roman" w:cs="Times New Roman"/>
          <w:sz w:val="24"/>
          <w:szCs w:val="24"/>
          <w:lang w:eastAsia="zh-CN"/>
        </w:rPr>
        <w:t>3.3</w:t>
      </w:r>
      <w:r w:rsidR="000C5D62" w:rsidRPr="00EA38DE">
        <w:rPr>
          <w:rFonts w:ascii="Times New Roman" w:eastAsiaTheme="minorEastAsia" w:hAnsi="Times New Roman" w:cs="Times New Roman"/>
          <w:sz w:val="24"/>
          <w:szCs w:val="24"/>
          <w:lang w:eastAsia="zh-CN"/>
        </w:rPr>
        <w:t>6</w:t>
      </w:r>
      <w:r w:rsidR="002A4629" w:rsidRPr="00EA38DE">
        <w:rPr>
          <w:rFonts w:ascii="Times New Roman" w:eastAsiaTheme="minorEastAsia" w:hAnsi="Times New Roman" w:cs="Times New Roman"/>
          <w:sz w:val="24"/>
          <w:szCs w:val="24"/>
          <w:lang w:eastAsia="zh-CN"/>
        </w:rPr>
        <w:t>)</w:t>
      </w:r>
    </w:p>
    <w:p w14:paraId="304C667B" w14:textId="77777777" w:rsidR="0066195A" w:rsidRPr="00EA38DE" w:rsidRDefault="0066195A" w:rsidP="005B6E3E">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Model Seven: AQT and CTP  </w:t>
      </w:r>
    </w:p>
    <w:p w14:paraId="238FD9B9" w14:textId="35D9860C" w:rsidR="00097F60" w:rsidRPr="00EA38DE" w:rsidRDefault="00BD75E9" w:rsidP="005B6E3E">
      <w:pPr>
        <w:shd w:val="clear" w:color="auto" w:fill="FFFFFF"/>
        <w:spacing w:after="0" w:line="480" w:lineRule="auto"/>
        <w:ind w:left="-170"/>
        <w:jc w:val="both"/>
        <w:rPr>
          <w:rFonts w:ascii="Times New Roman" w:hAnsi="Times New Roman" w:cs="Times New Roman"/>
          <w:b/>
          <w:sz w:val="24"/>
          <w:szCs w:val="24"/>
        </w:rPr>
      </w:pPr>
      <m:oMath>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CTP</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r>
              <w:rPr>
                <w:rFonts w:ascii="Cambria Math" w:eastAsia="SimSun" w:hAnsi="Cambria Math" w:cs="Times New Roman"/>
                <w:sz w:val="24"/>
                <w:szCs w:val="24"/>
                <w:lang w:eastAsia="zh-CN"/>
              </w:rPr>
              <m:t>a</m:t>
            </m:r>
          </m:e>
          <m:sub>
            <m:r>
              <w:rPr>
                <w:rFonts w:ascii="Cambria Math" w:hAnsi="Cambria Math" w:cs="Times New Roman"/>
                <w:sz w:val="24"/>
                <w:szCs w:val="24"/>
              </w:rPr>
              <m:t>67</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β</m:t>
                </m:r>
              </m:e>
              <m:sub>
                <m:r>
                  <w:rPr>
                    <w:rFonts w:ascii="Cambria Math" w:hAnsi="Cambria Math" w:cs="Times New Roman"/>
                    <w:sz w:val="24"/>
                    <w:szCs w:val="24"/>
                  </w:rPr>
                  <m:t>7</m:t>
                </m:r>
              </m:sub>
            </m:sSub>
            <m:r>
              <w:rPr>
                <w:rFonts w:ascii="Cambria Math" w:hAnsi="Cambria Math" w:cs="Times New Roman"/>
                <w:sz w:val="24"/>
                <w:szCs w:val="24"/>
              </w:rPr>
              <m:t>CTP</m:t>
            </m:r>
          </m:e>
          <m:sub>
            <m:r>
              <w:rPr>
                <w:rFonts w:ascii="Cambria Math" w:hAnsi="Cambria Math" w:cs="Times New Roman"/>
                <w:sz w:val="24"/>
                <w:szCs w:val="24"/>
              </w:rPr>
              <m:t>t-1</m:t>
            </m:r>
          </m:sub>
        </m:sSub>
        <m:r>
          <w:rPr>
            <w:rFonts w:ascii="Cambria Math" w:eastAsia="SimSun" w:hAnsi="Cambria Math" w:cs="Times New Roman"/>
            <w:sz w:val="24"/>
            <w:szCs w:val="24"/>
            <w:lang w:eastAsia="zh-CN"/>
          </w:rPr>
          <m:t>+γ71</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AQT</m:t>
            </m:r>
          </m:e>
          <m:sub>
            <m:r>
              <w:rPr>
                <w:rFonts w:ascii="Cambria Math" w:hAnsi="Cambria Math" w:cs="Times New Roman"/>
                <w:sz w:val="24"/>
                <w:szCs w:val="24"/>
              </w:rPr>
              <m:t>t</m:t>
            </m:r>
          </m:sub>
        </m:sSub>
        <m:r>
          <w:rPr>
            <w:rFonts w:ascii="Cambria Math" w:eastAsia="SimSun" w:hAnsi="Cambria Math" w:cs="Times New Roman"/>
            <w:sz w:val="24"/>
            <w:szCs w:val="24"/>
            <w:lang w:eastAsia="zh-CN"/>
          </w:rPr>
          <m:t>+γ72</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IFR</m:t>
            </m:r>
          </m:e>
          <m:sub>
            <m:r>
              <w:rPr>
                <w:rFonts w:ascii="Cambria Math" w:hAnsi="Cambria Math" w:cs="Times New Roman"/>
                <w:sz w:val="24"/>
                <w:szCs w:val="24"/>
              </w:rPr>
              <m:t>t</m:t>
            </m:r>
          </m:sub>
        </m:sSub>
        <m:r>
          <w:rPr>
            <w:rFonts w:ascii="Cambria Math" w:eastAsia="SimSun" w:hAnsi="Cambria Math" w:cs="Times New Roman"/>
            <w:sz w:val="24"/>
            <w:szCs w:val="24"/>
            <w:lang w:eastAsia="zh-CN"/>
          </w:rPr>
          <m:t>+γ73</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TRF</m:t>
            </m:r>
          </m:e>
          <m:sub>
            <m:r>
              <w:rPr>
                <w:rFonts w:ascii="Cambria Math" w:hAnsi="Cambria Math" w:cs="Times New Roman"/>
                <w:sz w:val="24"/>
                <w:szCs w:val="24"/>
              </w:rPr>
              <m:t>t</m:t>
            </m:r>
          </m:sub>
        </m:sSub>
        <m:r>
          <w:rPr>
            <w:rFonts w:ascii="Cambria Math" w:eastAsia="SimSun" w:hAnsi="Cambria Math" w:cs="Times New Roman"/>
            <w:sz w:val="24"/>
            <w:szCs w:val="24"/>
            <w:lang w:eastAsia="zh-CN"/>
          </w:rPr>
          <m:t>+γ74</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LAB</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7t</m:t>
            </m:r>
          </m:sub>
        </m:sSub>
      </m:oMath>
      <w:r w:rsidR="00475979" w:rsidRPr="00EA38DE">
        <w:rPr>
          <w:rFonts w:ascii="Times New Roman" w:eastAsiaTheme="minorEastAsia" w:hAnsi="Times New Roman" w:cs="Times New Roman"/>
          <w:bCs/>
          <w:sz w:val="24"/>
          <w:szCs w:val="24"/>
          <w:lang w:eastAsia="zh-CN"/>
        </w:rPr>
        <w:t xml:space="preserve"> </w:t>
      </w:r>
      <w:r w:rsidR="00C72AF2" w:rsidRPr="00EA38DE">
        <w:rPr>
          <w:rFonts w:ascii="Times New Roman" w:eastAsiaTheme="minorEastAsia" w:hAnsi="Times New Roman" w:cs="Times New Roman"/>
          <w:b/>
          <w:bCs/>
          <w:sz w:val="24"/>
          <w:szCs w:val="24"/>
          <w:lang w:eastAsia="zh-CN"/>
        </w:rPr>
        <w:t xml:space="preserve">      </w:t>
      </w:r>
      <w:r w:rsidR="002A4629" w:rsidRPr="00EA38DE">
        <w:rPr>
          <w:rFonts w:ascii="Times New Roman" w:eastAsiaTheme="minorEastAsia" w:hAnsi="Times New Roman" w:cs="Times New Roman"/>
          <w:bCs/>
          <w:sz w:val="24"/>
          <w:szCs w:val="24"/>
          <w:lang w:eastAsia="zh-CN"/>
        </w:rPr>
        <w:t>(</w:t>
      </w:r>
      <w:r w:rsidR="00C72AF2" w:rsidRPr="00EA38DE">
        <w:rPr>
          <w:rFonts w:ascii="Times New Roman" w:eastAsiaTheme="minorEastAsia" w:hAnsi="Times New Roman" w:cs="Times New Roman"/>
          <w:bCs/>
          <w:sz w:val="24"/>
          <w:szCs w:val="24"/>
          <w:lang w:eastAsia="zh-CN"/>
        </w:rPr>
        <w:t>3.3</w:t>
      </w:r>
      <w:r w:rsidR="00780E5B" w:rsidRPr="00EA38DE">
        <w:rPr>
          <w:rFonts w:ascii="Times New Roman" w:eastAsiaTheme="minorEastAsia" w:hAnsi="Times New Roman" w:cs="Times New Roman"/>
          <w:bCs/>
          <w:sz w:val="24"/>
          <w:szCs w:val="24"/>
          <w:lang w:eastAsia="zh-CN"/>
        </w:rPr>
        <w:t>7</w:t>
      </w:r>
      <w:r w:rsidR="002A4629" w:rsidRPr="00EA38DE">
        <w:rPr>
          <w:rFonts w:ascii="Times New Roman" w:eastAsiaTheme="minorEastAsia" w:hAnsi="Times New Roman" w:cs="Times New Roman"/>
          <w:bCs/>
          <w:sz w:val="24"/>
          <w:szCs w:val="24"/>
          <w:lang w:eastAsia="zh-CN"/>
        </w:rPr>
        <w:t>)</w:t>
      </w:r>
    </w:p>
    <w:p w14:paraId="04FCE0F0" w14:textId="77777777" w:rsidR="0066195A" w:rsidRPr="00EA38DE" w:rsidRDefault="0066195A"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Eight: AQT and SHPC</w:t>
      </w:r>
    </w:p>
    <w:p w14:paraId="47771BDF" w14:textId="5563FCA0" w:rsidR="00097F60" w:rsidRPr="00EA38DE" w:rsidRDefault="00BD75E9" w:rsidP="00F07CE5">
      <w:pPr>
        <w:shd w:val="clear" w:color="auto" w:fill="FFFFFF"/>
        <w:spacing w:after="0" w:line="480" w:lineRule="auto"/>
        <w:ind w:left="-283"/>
        <w:jc w:val="both"/>
        <w:rPr>
          <w:rFonts w:ascii="Times New Roman" w:hAnsi="Times New Roman" w:cs="Times New Roman"/>
          <w:b/>
          <w:sz w:val="24"/>
          <w:szCs w:val="24"/>
        </w:rPr>
      </w:pPr>
      <m:oMathPara>
        <m:oMathParaPr>
          <m:jc m:val="left"/>
        </m:oMathParaPr>
        <m:oMath>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SHPC</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r>
                <w:rPr>
                  <w:rFonts w:ascii="Cambria Math" w:eastAsia="SimSun" w:hAnsi="Cambria Math" w:cs="Times New Roman"/>
                  <w:sz w:val="24"/>
                  <w:szCs w:val="24"/>
                  <w:lang w:eastAsia="zh-CN"/>
                </w:rPr>
                <m:t>a</m:t>
              </m:r>
            </m:e>
            <m:sub>
              <m:r>
                <w:rPr>
                  <w:rFonts w:ascii="Cambria Math" w:hAnsi="Cambria Math" w:cs="Times New Roman"/>
                  <w:sz w:val="24"/>
                  <w:szCs w:val="24"/>
                </w:rPr>
                <m:t>8</m:t>
              </m:r>
            </m:sub>
          </m:sSub>
          <m:r>
            <w:rPr>
              <w:rFonts w:ascii="Cambria Math" w:eastAsia="SimSun" w:hAnsi="Cambria Math" w:cs="Times New Roman"/>
              <w:sz w:val="24"/>
              <w:szCs w:val="24"/>
              <w:lang w:eastAsia="zh-CN"/>
            </w:rPr>
            <m:t>+</m:t>
          </m:r>
          <m:sSub>
            <m:sSubPr>
              <m:ctrlPr>
                <w:rPr>
                  <w:rFonts w:ascii="Cambria Math" w:eastAsia="SimSun" w:hAnsi="Cambria Math" w:cs="Times New Roman"/>
                  <w:sz w:val="24"/>
                  <w:szCs w:val="24"/>
                  <w:lang w:eastAsia="zh-CN"/>
                </w:rPr>
              </m:ctrlPr>
            </m:sSubPr>
            <m:e>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β</m:t>
                  </m:r>
                </m:e>
                <m:sub>
                  <m:r>
                    <w:rPr>
                      <w:rFonts w:ascii="Cambria Math" w:hAnsi="Cambria Math" w:cs="Times New Roman"/>
                      <w:sz w:val="24"/>
                      <w:szCs w:val="24"/>
                    </w:rPr>
                    <m:t>8</m:t>
                  </m:r>
                </m:sub>
              </m:sSub>
              <m:r>
                <w:rPr>
                  <w:rFonts w:ascii="Cambria Math" w:hAnsi="Cambria Math" w:cs="Times New Roman"/>
                  <w:sz w:val="24"/>
                  <w:szCs w:val="24"/>
                </w:rPr>
                <m:t>SHPC</m:t>
              </m:r>
            </m:e>
            <m:sub>
              <m:r>
                <w:rPr>
                  <w:rFonts w:ascii="Cambria Math" w:hAnsi="Cambria Math" w:cs="Times New Roman"/>
                  <w:sz w:val="24"/>
                  <w:szCs w:val="24"/>
                </w:rPr>
                <m:t>t-1</m:t>
              </m:r>
            </m:sub>
          </m:sSub>
          <m:r>
            <w:rPr>
              <w:rFonts w:ascii="Cambria Math" w:eastAsia="SimSun" w:hAnsi="Cambria Math" w:cs="Times New Roman"/>
              <w:sz w:val="24"/>
              <w:szCs w:val="24"/>
              <w:lang w:eastAsia="zh-CN"/>
            </w:rPr>
            <m:t>+γ81</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AQT</m:t>
              </m:r>
            </m:e>
            <m:sub>
              <m:r>
                <w:rPr>
                  <w:rFonts w:ascii="Cambria Math" w:hAnsi="Cambria Math" w:cs="Times New Roman"/>
                  <w:sz w:val="24"/>
                  <w:szCs w:val="24"/>
                </w:rPr>
                <m:t>t</m:t>
              </m:r>
            </m:sub>
          </m:sSub>
          <m:r>
            <w:rPr>
              <w:rFonts w:ascii="Cambria Math" w:eastAsia="SimSun" w:hAnsi="Cambria Math" w:cs="Times New Roman"/>
              <w:sz w:val="24"/>
              <w:szCs w:val="24"/>
              <w:lang w:eastAsia="zh-CN"/>
            </w:rPr>
            <m:t>+γ82</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IFR</m:t>
              </m:r>
            </m:e>
            <m:sub>
              <m:r>
                <w:rPr>
                  <w:rFonts w:ascii="Cambria Math" w:hAnsi="Cambria Math" w:cs="Times New Roman"/>
                  <w:sz w:val="24"/>
                  <w:szCs w:val="24"/>
                </w:rPr>
                <m:t>t</m:t>
              </m:r>
            </m:sub>
          </m:sSub>
          <m:r>
            <w:rPr>
              <w:rFonts w:ascii="Cambria Math" w:eastAsia="SimSun" w:hAnsi="Cambria Math" w:cs="Times New Roman"/>
              <w:sz w:val="24"/>
              <w:szCs w:val="24"/>
              <w:lang w:eastAsia="zh-CN"/>
            </w:rPr>
            <m:t>+γ83</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TRF</m:t>
              </m:r>
            </m:e>
            <m:sub>
              <m:r>
                <w:rPr>
                  <w:rFonts w:ascii="Cambria Math" w:hAnsi="Cambria Math" w:cs="Times New Roman"/>
                  <w:sz w:val="24"/>
                  <w:szCs w:val="24"/>
                </w:rPr>
                <m:t>t</m:t>
              </m:r>
            </m:sub>
          </m:sSub>
          <m:r>
            <w:rPr>
              <w:rFonts w:ascii="Cambria Math" w:eastAsia="SimSun" w:hAnsi="Cambria Math" w:cs="Times New Roman"/>
              <w:sz w:val="24"/>
              <w:szCs w:val="24"/>
              <w:lang w:eastAsia="zh-CN"/>
            </w:rPr>
            <m:t>+γ84</m:t>
          </m:r>
          <m:sSub>
            <m:sSubPr>
              <m:ctrlPr>
                <w:rPr>
                  <w:rFonts w:ascii="Cambria Math" w:eastAsia="SimSun" w:hAnsi="Cambria Math" w:cs="Times New Roman"/>
                  <w:sz w:val="24"/>
                  <w:szCs w:val="24"/>
                  <w:lang w:eastAsia="zh-CN"/>
                </w:rPr>
              </m:ctrlPr>
            </m:sSubPr>
            <m:e>
              <m:r>
                <m:rPr>
                  <m:sty m:val="p"/>
                </m:rPr>
                <w:rPr>
                  <w:rFonts w:ascii="Cambria Math" w:hAnsi="Cambria Math" w:cs="Times New Roman"/>
                  <w:sz w:val="24"/>
                  <w:szCs w:val="24"/>
                </w:rPr>
                <m:t>Δ</m:t>
              </m:r>
              <m:r>
                <w:rPr>
                  <w:rFonts w:ascii="Cambria Math" w:hAnsi="Cambria Math" w:cs="Times New Roman"/>
                  <w:sz w:val="24"/>
                  <w:szCs w:val="24"/>
                </w:rPr>
                <m:t>LAB</m:t>
              </m:r>
            </m:e>
            <m:sub>
              <m:r>
                <w:rPr>
                  <w:rFonts w:ascii="Cambria Math" w:hAnsi="Cambria Math" w:cs="Times New Roman"/>
                  <w:sz w:val="24"/>
                  <w:szCs w:val="24"/>
                </w:rPr>
                <m:t>t</m:t>
              </m:r>
            </m:sub>
          </m:sSub>
          <m:r>
            <w:rPr>
              <w:rFonts w:ascii="Cambria Math" w:eastAsia="SimSun" w:hAnsi="Cambria Math" w:cs="Times New Roman"/>
              <w:sz w:val="24"/>
              <w:szCs w:val="24"/>
              <w:lang w:eastAsia="zh-CN"/>
            </w:rPr>
            <m:t>+</m:t>
          </m:r>
          <m:sSub>
            <m:sSubPr>
              <m:ctrlPr>
                <w:rPr>
                  <w:rFonts w:ascii="Cambria Math" w:eastAsia="SimSun" w:hAnsi="Cambria Math" w:cs="Times New Roman"/>
                  <w:bCs/>
                  <w:i/>
                  <w:sz w:val="24"/>
                  <w:szCs w:val="24"/>
                  <w:lang w:eastAsia="zh-CN"/>
                </w:rPr>
              </m:ctrlPr>
            </m:sSubPr>
            <m:e>
              <m:r>
                <w:rPr>
                  <w:rStyle w:val="mord"/>
                  <w:rFonts w:ascii="Cambria Math" w:hAnsi="Cambria Math" w:cs="Times New Roman"/>
                  <w:sz w:val="24"/>
                  <w:szCs w:val="24"/>
                </w:rPr>
                <m:t>ε</m:t>
              </m:r>
            </m:e>
            <m:sub>
              <m:r>
                <w:rPr>
                  <w:rFonts w:ascii="Cambria Math" w:hAnsi="Cambria Math" w:cs="Times New Roman"/>
                  <w:sz w:val="24"/>
                  <w:szCs w:val="24"/>
                </w:rPr>
                <m:t>8t</m:t>
              </m:r>
            </m:sub>
          </m:sSub>
          <m:r>
            <m:rPr>
              <m:sty m:val="p"/>
            </m:rPr>
            <w:rPr>
              <w:rFonts w:ascii="Cambria Math" w:eastAsia="SimSun" w:hAnsi="Cambria Math" w:cs="Times New Roman"/>
              <w:sz w:val="24"/>
              <w:szCs w:val="24"/>
              <w:lang w:eastAsia="zh-CN"/>
            </w:rPr>
            <m:t xml:space="preserve">    (3.38)</m:t>
          </m:r>
        </m:oMath>
      </m:oMathPara>
    </w:p>
    <w:p w14:paraId="6F6F3F46" w14:textId="77777777" w:rsidR="0066195A" w:rsidRPr="00EA38DE" w:rsidRDefault="0066195A"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Nine: AQT and POR</w:t>
      </w:r>
    </w:p>
    <w:p w14:paraId="5E6DBB3C" w14:textId="638F4A37" w:rsidR="00097F60" w:rsidRPr="00EA38DE" w:rsidRDefault="00BD75E9" w:rsidP="001061C3">
      <w:pPr>
        <w:shd w:val="clear" w:color="auto" w:fill="FFFFFF"/>
        <w:spacing w:after="0" w:line="480" w:lineRule="auto"/>
        <w:ind w:left="-113"/>
        <w:jc w:val="both"/>
        <w:rPr>
          <w:rFonts w:ascii="Times New Roman" w:hAnsi="Times New Roman" w:cs="Times New Roman"/>
          <w:b/>
          <w:sz w:val="24"/>
          <w:szCs w:val="24"/>
        </w:rPr>
      </w:pPr>
      <m:oMath>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POR</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r>
              <w:rPr>
                <w:rFonts w:ascii="Cambria Math" w:eastAsia="SimSun" w:hAnsi="Cambria Math" w:cs="Times New Roman"/>
                <w:lang w:eastAsia="zh-CN"/>
              </w:rPr>
              <m:t>a</m:t>
            </m:r>
          </m:e>
          <m:sub>
            <m:r>
              <w:rPr>
                <w:rFonts w:ascii="Cambria Math" w:hAnsi="Cambria Math" w:cs="Times New Roman"/>
              </w:rPr>
              <m:t>9</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sSub>
              <m:sSubPr>
                <m:ctrlPr>
                  <w:rPr>
                    <w:rFonts w:ascii="Cambria Math" w:eastAsia="SimSun" w:hAnsi="Cambria Math" w:cs="Times New Roman"/>
                    <w:lang w:eastAsia="zh-CN"/>
                  </w:rPr>
                </m:ctrlPr>
              </m:sSubPr>
              <m:e>
                <m:r>
                  <m:rPr>
                    <m:sty m:val="p"/>
                  </m:rPr>
                  <w:rPr>
                    <w:rFonts w:ascii="Cambria Math" w:hAnsi="Cambria Math" w:cs="Times New Roman"/>
                  </w:rPr>
                  <m:t>β</m:t>
                </m:r>
              </m:e>
              <m:sub>
                <m:r>
                  <w:rPr>
                    <w:rFonts w:ascii="Cambria Math" w:hAnsi="Cambria Math" w:cs="Times New Roman"/>
                  </w:rPr>
                  <m:t>9</m:t>
                </m:r>
              </m:sub>
            </m:sSub>
            <m:r>
              <w:rPr>
                <w:rFonts w:ascii="Cambria Math" w:hAnsi="Cambria Math" w:cs="Times New Roman"/>
              </w:rPr>
              <m:t>POR</m:t>
            </m:r>
          </m:e>
          <m:sub>
            <m:r>
              <w:rPr>
                <w:rFonts w:ascii="Cambria Math" w:hAnsi="Cambria Math" w:cs="Times New Roman"/>
              </w:rPr>
              <m:t>t-1</m:t>
            </m:r>
          </m:sub>
        </m:sSub>
        <m:r>
          <w:rPr>
            <w:rFonts w:ascii="Cambria Math" w:eastAsia="SimSun" w:hAnsi="Cambria Math" w:cs="Times New Roman"/>
            <w:lang w:eastAsia="zh-CN"/>
          </w:rPr>
          <m:t>+γ91</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AQT</m:t>
            </m:r>
          </m:e>
          <m:sub>
            <m:r>
              <w:rPr>
                <w:rFonts w:ascii="Cambria Math" w:hAnsi="Cambria Math" w:cs="Times New Roman"/>
              </w:rPr>
              <m:t>t</m:t>
            </m:r>
          </m:sub>
        </m:sSub>
        <m:r>
          <w:rPr>
            <w:rFonts w:ascii="Cambria Math" w:eastAsia="SimSun" w:hAnsi="Cambria Math" w:cs="Times New Roman"/>
            <w:lang w:eastAsia="zh-CN"/>
          </w:rPr>
          <m:t>+γ92</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IFR</m:t>
            </m:r>
          </m:e>
          <m:sub>
            <m:r>
              <w:rPr>
                <w:rFonts w:ascii="Cambria Math" w:hAnsi="Cambria Math" w:cs="Times New Roman"/>
              </w:rPr>
              <m:t>t</m:t>
            </m:r>
          </m:sub>
        </m:sSub>
        <m:r>
          <w:rPr>
            <w:rFonts w:ascii="Cambria Math" w:eastAsia="SimSun" w:hAnsi="Cambria Math" w:cs="Times New Roman"/>
            <w:lang w:eastAsia="zh-CN"/>
          </w:rPr>
          <m:t>+γ93</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TRF</m:t>
            </m:r>
          </m:e>
          <m:sub>
            <m:r>
              <w:rPr>
                <w:rFonts w:ascii="Cambria Math" w:hAnsi="Cambria Math" w:cs="Times New Roman"/>
              </w:rPr>
              <m:t>t</m:t>
            </m:r>
          </m:sub>
        </m:sSub>
        <m:r>
          <w:rPr>
            <w:rFonts w:ascii="Cambria Math" w:eastAsia="SimSun" w:hAnsi="Cambria Math" w:cs="Times New Roman"/>
            <w:lang w:eastAsia="zh-CN"/>
          </w:rPr>
          <m:t>+γ94</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LAB</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bCs/>
                <w:i/>
                <w:lang w:eastAsia="zh-CN"/>
              </w:rPr>
            </m:ctrlPr>
          </m:sSubPr>
          <m:e>
            <m:r>
              <w:rPr>
                <w:rStyle w:val="mord"/>
                <w:rFonts w:ascii="Cambria Math" w:hAnsi="Cambria Math" w:cs="Times New Roman"/>
              </w:rPr>
              <m:t>ε</m:t>
            </m:r>
          </m:e>
          <m:sub>
            <m:r>
              <w:rPr>
                <w:rFonts w:ascii="Cambria Math" w:hAnsi="Cambria Math" w:cs="Times New Roman"/>
              </w:rPr>
              <m:t>9t</m:t>
            </m:r>
          </m:sub>
        </m:sSub>
      </m:oMath>
      <w:r w:rsidR="00C72AF2" w:rsidRPr="00EA38DE">
        <w:rPr>
          <w:rFonts w:ascii="Times New Roman" w:eastAsiaTheme="minorEastAsia" w:hAnsi="Times New Roman" w:cs="Times New Roman"/>
          <w:bCs/>
          <w:lang w:eastAsia="zh-CN"/>
        </w:rPr>
        <w:t xml:space="preserve"> </w:t>
      </w:r>
      <w:r w:rsidR="001061C3" w:rsidRPr="00EA38DE">
        <w:rPr>
          <w:rFonts w:ascii="Times New Roman" w:eastAsiaTheme="minorEastAsia" w:hAnsi="Times New Roman" w:cs="Times New Roman"/>
          <w:bCs/>
          <w:lang w:eastAsia="zh-CN"/>
        </w:rPr>
        <w:t xml:space="preserve">                   </w:t>
      </w:r>
      <w:r w:rsidR="00164181" w:rsidRPr="00EA38DE">
        <w:rPr>
          <w:rFonts w:ascii="Times New Roman" w:eastAsiaTheme="minorEastAsia" w:hAnsi="Times New Roman" w:cs="Times New Roman"/>
          <w:bCs/>
          <w:lang w:eastAsia="zh-CN"/>
        </w:rPr>
        <w:t xml:space="preserve">   </w:t>
      </w:r>
      <w:r w:rsidR="00F07CE5" w:rsidRPr="00EA38DE">
        <w:rPr>
          <w:rFonts w:ascii="Times New Roman" w:eastAsiaTheme="minorEastAsia" w:hAnsi="Times New Roman" w:cs="Times New Roman"/>
          <w:bCs/>
          <w:lang w:eastAsia="zh-CN"/>
        </w:rPr>
        <w:t>(</w:t>
      </w:r>
      <w:r w:rsidR="001061C3" w:rsidRPr="00EA38DE">
        <w:rPr>
          <w:rFonts w:ascii="Times New Roman" w:eastAsiaTheme="minorEastAsia" w:hAnsi="Times New Roman" w:cs="Times New Roman"/>
          <w:bCs/>
          <w:lang w:eastAsia="zh-CN"/>
        </w:rPr>
        <w:t>3.3</w:t>
      </w:r>
      <w:r w:rsidR="00780E5B" w:rsidRPr="00EA38DE">
        <w:rPr>
          <w:rFonts w:ascii="Times New Roman" w:eastAsiaTheme="minorEastAsia" w:hAnsi="Times New Roman" w:cs="Times New Roman"/>
          <w:bCs/>
          <w:lang w:eastAsia="zh-CN"/>
        </w:rPr>
        <w:t>9</w:t>
      </w:r>
      <w:r w:rsidR="00F07CE5" w:rsidRPr="00EA38DE">
        <w:rPr>
          <w:rFonts w:ascii="Times New Roman" w:eastAsiaTheme="minorEastAsia" w:hAnsi="Times New Roman" w:cs="Times New Roman"/>
          <w:bCs/>
          <w:lang w:eastAsia="zh-CN"/>
        </w:rPr>
        <w:t>)</w:t>
      </w:r>
    </w:p>
    <w:p w14:paraId="0F030504" w14:textId="77777777" w:rsidR="0066195A" w:rsidRPr="00EA38DE" w:rsidRDefault="0066195A"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 xml:space="preserve">Model Ten: DLNT and CTP  </w:t>
      </w:r>
    </w:p>
    <w:p w14:paraId="5C789D18" w14:textId="0B1EFD58" w:rsidR="00097F60" w:rsidRPr="00EA38DE" w:rsidRDefault="00BD75E9" w:rsidP="00F07CE5">
      <w:pPr>
        <w:shd w:val="clear" w:color="auto" w:fill="FFFFFF"/>
        <w:spacing w:after="0" w:line="480" w:lineRule="auto"/>
        <w:ind w:left="-113"/>
        <w:jc w:val="both"/>
        <w:rPr>
          <w:rFonts w:ascii="Times New Roman" w:hAnsi="Times New Roman" w:cs="Times New Roman"/>
          <w:b/>
        </w:rPr>
      </w:pPr>
      <m:oMathPara>
        <m:oMathParaPr>
          <m:jc m:val="left"/>
        </m:oMathParaPr>
        <m:oMath>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CTP</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r>
                <w:rPr>
                  <w:rFonts w:ascii="Cambria Math" w:eastAsia="SimSun" w:hAnsi="Cambria Math" w:cs="Times New Roman"/>
                  <w:lang w:eastAsia="zh-CN"/>
                </w:rPr>
                <m:t>a</m:t>
              </m:r>
            </m:e>
            <m:sub>
              <m:r>
                <w:rPr>
                  <w:rFonts w:ascii="Cambria Math" w:hAnsi="Cambria Math" w:cs="Times New Roman"/>
                </w:rPr>
                <m:t>10</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sSub>
                <m:sSubPr>
                  <m:ctrlPr>
                    <w:rPr>
                      <w:rFonts w:ascii="Cambria Math" w:eastAsia="SimSun" w:hAnsi="Cambria Math" w:cs="Times New Roman"/>
                      <w:lang w:eastAsia="zh-CN"/>
                    </w:rPr>
                  </m:ctrlPr>
                </m:sSubPr>
                <m:e>
                  <m:r>
                    <m:rPr>
                      <m:sty m:val="p"/>
                    </m:rPr>
                    <w:rPr>
                      <w:rFonts w:ascii="Cambria Math" w:hAnsi="Cambria Math" w:cs="Times New Roman"/>
                    </w:rPr>
                    <m:t>β</m:t>
                  </m:r>
                </m:e>
                <m:sub>
                  <m:r>
                    <w:rPr>
                      <w:rFonts w:ascii="Cambria Math" w:hAnsi="Cambria Math" w:cs="Times New Roman"/>
                    </w:rPr>
                    <m:t>10</m:t>
                  </m:r>
                </m:sub>
              </m:sSub>
              <m:r>
                <w:rPr>
                  <w:rFonts w:ascii="Cambria Math" w:hAnsi="Cambria Math" w:cs="Times New Roman"/>
                </w:rPr>
                <m:t>CTP</m:t>
              </m:r>
            </m:e>
            <m:sub>
              <m:r>
                <w:rPr>
                  <w:rFonts w:ascii="Cambria Math" w:hAnsi="Cambria Math" w:cs="Times New Roman"/>
                </w:rPr>
                <m:t>t-1</m:t>
              </m:r>
            </m:sub>
          </m:sSub>
          <m:r>
            <w:rPr>
              <w:rFonts w:ascii="Cambria Math" w:eastAsia="SimSun" w:hAnsi="Cambria Math" w:cs="Times New Roman"/>
              <w:lang w:eastAsia="zh-CN"/>
            </w:rPr>
            <m:t>+γ101</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DLNT</m:t>
              </m:r>
            </m:e>
            <m:sub>
              <m:r>
                <w:rPr>
                  <w:rFonts w:ascii="Cambria Math" w:hAnsi="Cambria Math" w:cs="Times New Roman"/>
                </w:rPr>
                <m:t>t</m:t>
              </m:r>
            </m:sub>
          </m:sSub>
          <m:r>
            <w:rPr>
              <w:rFonts w:ascii="Cambria Math" w:eastAsia="SimSun" w:hAnsi="Cambria Math" w:cs="Times New Roman"/>
              <w:lang w:eastAsia="zh-CN"/>
            </w:rPr>
            <m:t>+γ102</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IFR</m:t>
              </m:r>
            </m:e>
            <m:sub>
              <m:r>
                <w:rPr>
                  <w:rFonts w:ascii="Cambria Math" w:hAnsi="Cambria Math" w:cs="Times New Roman"/>
                </w:rPr>
                <m:t>t</m:t>
              </m:r>
            </m:sub>
          </m:sSub>
          <m:r>
            <w:rPr>
              <w:rFonts w:ascii="Cambria Math" w:eastAsia="SimSun" w:hAnsi="Cambria Math" w:cs="Times New Roman"/>
              <w:lang w:eastAsia="zh-CN"/>
            </w:rPr>
            <m:t>+γ103</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TRF</m:t>
              </m:r>
            </m:e>
            <m:sub>
              <m:r>
                <w:rPr>
                  <w:rFonts w:ascii="Cambria Math" w:hAnsi="Cambria Math" w:cs="Times New Roman"/>
                </w:rPr>
                <m:t>t</m:t>
              </m:r>
            </m:sub>
          </m:sSub>
          <m:r>
            <w:rPr>
              <w:rFonts w:ascii="Cambria Math" w:eastAsia="SimSun" w:hAnsi="Cambria Math" w:cs="Times New Roman"/>
              <w:lang w:eastAsia="zh-CN"/>
            </w:rPr>
            <m:t>+γ104</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LAB</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bCs/>
                  <w:i/>
                  <w:lang w:eastAsia="zh-CN"/>
                </w:rPr>
              </m:ctrlPr>
            </m:sSubPr>
            <m:e>
              <m:r>
                <w:rPr>
                  <w:rStyle w:val="mord"/>
                  <w:rFonts w:ascii="Cambria Math" w:hAnsi="Cambria Math" w:cs="Times New Roman"/>
                </w:rPr>
                <m:t>ε</m:t>
              </m:r>
            </m:e>
            <m:sub>
              <m:r>
                <w:rPr>
                  <w:rFonts w:ascii="Cambria Math" w:hAnsi="Cambria Math" w:cs="Times New Roman"/>
                </w:rPr>
                <m:t>10t</m:t>
              </m:r>
            </m:sub>
          </m:sSub>
          <m:r>
            <m:rPr>
              <m:sty m:val="p"/>
            </m:rPr>
            <w:rPr>
              <w:rFonts w:ascii="Cambria Math" w:eastAsia="SimSun" w:hAnsi="Cambria Math" w:cs="Times New Roman"/>
              <w:lang w:eastAsia="zh-CN"/>
            </w:rPr>
            <m:t xml:space="preserve">     (3.40)</m:t>
          </m:r>
        </m:oMath>
      </m:oMathPara>
    </w:p>
    <w:p w14:paraId="2A230531" w14:textId="1DC59272" w:rsidR="0066195A" w:rsidRPr="00EA38DE" w:rsidRDefault="0066195A" w:rsidP="00A45497">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Eleven: DLNT and SHPC</w:t>
      </w:r>
    </w:p>
    <w:p w14:paraId="20199100" w14:textId="15541087" w:rsidR="00097F60" w:rsidRPr="00EA38DE" w:rsidRDefault="00BD75E9" w:rsidP="00F07CE5">
      <w:pPr>
        <w:shd w:val="clear" w:color="auto" w:fill="FFFFFF"/>
        <w:spacing w:after="0" w:line="480" w:lineRule="auto"/>
        <w:ind w:left="-170"/>
        <w:jc w:val="both"/>
        <w:rPr>
          <w:rFonts w:ascii="Times New Roman" w:hAnsi="Times New Roman" w:cs="Times New Roman"/>
          <w:b/>
        </w:rPr>
      </w:pPr>
      <m:oMathPara>
        <m:oMathParaPr>
          <m:jc m:val="left"/>
        </m:oMathParaPr>
        <m:oMath>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SHPC</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r>
                <w:rPr>
                  <w:rFonts w:ascii="Cambria Math" w:eastAsia="SimSun" w:hAnsi="Cambria Math" w:cs="Times New Roman"/>
                  <w:lang w:eastAsia="zh-CN"/>
                </w:rPr>
                <m:t>a</m:t>
              </m:r>
            </m:e>
            <m:sub>
              <m:r>
                <w:rPr>
                  <w:rFonts w:ascii="Cambria Math" w:hAnsi="Cambria Math" w:cs="Times New Roman"/>
                </w:rPr>
                <m:t>11</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sSub>
                <m:sSubPr>
                  <m:ctrlPr>
                    <w:rPr>
                      <w:rFonts w:ascii="Cambria Math" w:eastAsia="SimSun" w:hAnsi="Cambria Math" w:cs="Times New Roman"/>
                      <w:lang w:eastAsia="zh-CN"/>
                    </w:rPr>
                  </m:ctrlPr>
                </m:sSubPr>
                <m:e>
                  <m:r>
                    <m:rPr>
                      <m:sty m:val="p"/>
                    </m:rPr>
                    <w:rPr>
                      <w:rFonts w:ascii="Cambria Math" w:hAnsi="Cambria Math" w:cs="Times New Roman"/>
                    </w:rPr>
                    <m:t>β</m:t>
                  </m:r>
                </m:e>
                <m:sub>
                  <m:r>
                    <w:rPr>
                      <w:rFonts w:ascii="Cambria Math" w:hAnsi="Cambria Math" w:cs="Times New Roman"/>
                    </w:rPr>
                    <m:t>11</m:t>
                  </m:r>
                </m:sub>
              </m:sSub>
              <m:r>
                <w:rPr>
                  <w:rFonts w:ascii="Cambria Math" w:hAnsi="Cambria Math" w:cs="Times New Roman"/>
                </w:rPr>
                <m:t>SHPC</m:t>
              </m:r>
            </m:e>
            <m:sub>
              <m:r>
                <w:rPr>
                  <w:rFonts w:ascii="Cambria Math" w:hAnsi="Cambria Math" w:cs="Times New Roman"/>
                </w:rPr>
                <m:t>t-1</m:t>
              </m:r>
            </m:sub>
          </m:sSub>
          <m:r>
            <w:rPr>
              <w:rFonts w:ascii="Cambria Math" w:eastAsia="SimSun" w:hAnsi="Cambria Math" w:cs="Times New Roman"/>
              <w:lang w:eastAsia="zh-CN"/>
            </w:rPr>
            <m:t>+γ111</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DLNT</m:t>
              </m:r>
            </m:e>
            <m:sub>
              <m:r>
                <w:rPr>
                  <w:rFonts w:ascii="Cambria Math" w:hAnsi="Cambria Math" w:cs="Times New Roman"/>
                </w:rPr>
                <m:t>t</m:t>
              </m:r>
            </m:sub>
          </m:sSub>
          <m:r>
            <w:rPr>
              <w:rFonts w:ascii="Cambria Math" w:eastAsia="SimSun" w:hAnsi="Cambria Math" w:cs="Times New Roman"/>
              <w:lang w:eastAsia="zh-CN"/>
            </w:rPr>
            <m:t>+γ112</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IFR</m:t>
              </m:r>
            </m:e>
            <m:sub>
              <m:r>
                <w:rPr>
                  <w:rFonts w:ascii="Cambria Math" w:hAnsi="Cambria Math" w:cs="Times New Roman"/>
                </w:rPr>
                <m:t>t</m:t>
              </m:r>
            </m:sub>
          </m:sSub>
          <m:r>
            <w:rPr>
              <w:rFonts w:ascii="Cambria Math" w:eastAsia="SimSun" w:hAnsi="Cambria Math" w:cs="Times New Roman"/>
              <w:lang w:eastAsia="zh-CN"/>
            </w:rPr>
            <m:t>+γ113</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TRF</m:t>
              </m:r>
            </m:e>
            <m:sub>
              <m:r>
                <w:rPr>
                  <w:rFonts w:ascii="Cambria Math" w:hAnsi="Cambria Math" w:cs="Times New Roman"/>
                </w:rPr>
                <m:t>t</m:t>
              </m:r>
            </m:sub>
          </m:sSub>
          <m:r>
            <w:rPr>
              <w:rFonts w:ascii="Cambria Math" w:eastAsia="SimSun" w:hAnsi="Cambria Math" w:cs="Times New Roman"/>
              <w:lang w:eastAsia="zh-CN"/>
            </w:rPr>
            <m:t>+γ114</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LAB</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bCs/>
                  <w:i/>
                  <w:lang w:eastAsia="zh-CN"/>
                </w:rPr>
              </m:ctrlPr>
            </m:sSubPr>
            <m:e>
              <m:r>
                <w:rPr>
                  <w:rStyle w:val="mord"/>
                  <w:rFonts w:ascii="Cambria Math" w:hAnsi="Cambria Math" w:cs="Times New Roman"/>
                </w:rPr>
                <m:t>ε</m:t>
              </m:r>
            </m:e>
            <m:sub>
              <m:r>
                <w:rPr>
                  <w:rFonts w:ascii="Cambria Math" w:hAnsi="Cambria Math" w:cs="Times New Roman"/>
                </w:rPr>
                <m:t>11t</m:t>
              </m:r>
            </m:sub>
          </m:sSub>
          <m:r>
            <m:rPr>
              <m:sty m:val="p"/>
            </m:rPr>
            <w:rPr>
              <w:rFonts w:ascii="Cambria Math" w:eastAsia="SimSun" w:hAnsi="Cambria Math" w:cs="Times New Roman"/>
              <w:lang w:eastAsia="zh-CN"/>
            </w:rPr>
            <m:t xml:space="preserve"> (3.41)</m:t>
          </m:r>
        </m:oMath>
      </m:oMathPara>
    </w:p>
    <w:p w14:paraId="18CF3A56" w14:textId="77777777" w:rsidR="0066195A" w:rsidRPr="00EA38DE" w:rsidRDefault="0066195A" w:rsidP="00CB10A8">
      <w:pPr>
        <w:shd w:val="clear" w:color="auto" w:fill="FFFFFF"/>
        <w:spacing w:after="0"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Model Twelve: DLNT and POR</w:t>
      </w:r>
    </w:p>
    <w:p w14:paraId="40F98BCB" w14:textId="1B667886" w:rsidR="0066195A" w:rsidRPr="00EA38DE" w:rsidRDefault="00BD75E9" w:rsidP="00087CB2">
      <w:pPr>
        <w:shd w:val="clear" w:color="auto" w:fill="FFFFFF"/>
        <w:spacing w:line="480" w:lineRule="auto"/>
        <w:ind w:left="-397"/>
        <w:jc w:val="both"/>
        <w:rPr>
          <w:rFonts w:ascii="Times New Roman" w:eastAsiaTheme="minorEastAsia" w:hAnsi="Times New Roman" w:cs="Times New Roman"/>
          <w:bCs/>
          <w:sz w:val="24"/>
          <w:szCs w:val="24"/>
          <w:lang w:eastAsia="zh-CN"/>
        </w:rPr>
      </w:pPr>
      <m:oMathPara>
        <m:oMath>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POR</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r>
                <w:rPr>
                  <w:rFonts w:ascii="Cambria Math" w:eastAsia="SimSun" w:hAnsi="Cambria Math" w:cs="Times New Roman"/>
                  <w:lang w:eastAsia="zh-CN"/>
                </w:rPr>
                <m:t>a</m:t>
              </m:r>
            </m:e>
            <m:sub>
              <m:r>
                <w:rPr>
                  <w:rFonts w:ascii="Cambria Math" w:hAnsi="Cambria Math" w:cs="Times New Roman"/>
                </w:rPr>
                <m:t>12</m:t>
              </m:r>
            </m:sub>
          </m:sSub>
          <m:r>
            <w:rPr>
              <w:rFonts w:ascii="Cambria Math" w:eastAsia="SimSun" w:hAnsi="Cambria Math" w:cs="Times New Roman"/>
              <w:lang w:eastAsia="zh-CN"/>
            </w:rPr>
            <m:t>+</m:t>
          </m:r>
          <m:sSub>
            <m:sSubPr>
              <m:ctrlPr>
                <w:rPr>
                  <w:rFonts w:ascii="Cambria Math" w:eastAsia="SimSun" w:hAnsi="Cambria Math" w:cs="Times New Roman"/>
                  <w:lang w:eastAsia="zh-CN"/>
                </w:rPr>
              </m:ctrlPr>
            </m:sSubPr>
            <m:e>
              <m:sSub>
                <m:sSubPr>
                  <m:ctrlPr>
                    <w:rPr>
                      <w:rFonts w:ascii="Cambria Math" w:eastAsia="SimSun" w:hAnsi="Cambria Math" w:cs="Times New Roman"/>
                      <w:lang w:eastAsia="zh-CN"/>
                    </w:rPr>
                  </m:ctrlPr>
                </m:sSubPr>
                <m:e>
                  <m:r>
                    <m:rPr>
                      <m:sty m:val="p"/>
                    </m:rPr>
                    <w:rPr>
                      <w:rFonts w:ascii="Cambria Math" w:hAnsi="Cambria Math" w:cs="Times New Roman"/>
                    </w:rPr>
                    <m:t>β</m:t>
                  </m:r>
                </m:e>
                <m:sub>
                  <m:r>
                    <w:rPr>
                      <w:rFonts w:ascii="Cambria Math" w:hAnsi="Cambria Math" w:cs="Times New Roman"/>
                    </w:rPr>
                    <m:t>12</m:t>
                  </m:r>
                </m:sub>
              </m:sSub>
              <m:r>
                <w:rPr>
                  <w:rFonts w:ascii="Cambria Math" w:hAnsi="Cambria Math" w:cs="Times New Roman"/>
                </w:rPr>
                <m:t>POR</m:t>
              </m:r>
            </m:e>
            <m:sub>
              <m:r>
                <w:rPr>
                  <w:rFonts w:ascii="Cambria Math" w:hAnsi="Cambria Math" w:cs="Times New Roman"/>
                </w:rPr>
                <m:t>t-1</m:t>
              </m:r>
            </m:sub>
          </m:sSub>
          <m:r>
            <w:rPr>
              <w:rFonts w:ascii="Cambria Math" w:eastAsia="SimSun" w:hAnsi="Cambria Math" w:cs="Times New Roman"/>
              <w:lang w:eastAsia="zh-CN"/>
            </w:rPr>
            <m:t>+γ121</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DLNT</m:t>
              </m:r>
            </m:e>
            <m:sub>
              <m:r>
                <w:rPr>
                  <w:rFonts w:ascii="Cambria Math" w:hAnsi="Cambria Math" w:cs="Times New Roman"/>
                </w:rPr>
                <m:t>t</m:t>
              </m:r>
            </m:sub>
          </m:sSub>
          <m:r>
            <w:rPr>
              <w:rFonts w:ascii="Cambria Math" w:eastAsia="SimSun" w:hAnsi="Cambria Math" w:cs="Times New Roman"/>
              <w:lang w:eastAsia="zh-CN"/>
            </w:rPr>
            <m:t>+γ122</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IFR</m:t>
              </m:r>
            </m:e>
            <m:sub>
              <m:r>
                <w:rPr>
                  <w:rFonts w:ascii="Cambria Math" w:hAnsi="Cambria Math" w:cs="Times New Roman"/>
                </w:rPr>
                <m:t>t</m:t>
              </m:r>
            </m:sub>
          </m:sSub>
          <m:r>
            <w:rPr>
              <w:rFonts w:ascii="Cambria Math" w:eastAsia="SimSun" w:hAnsi="Cambria Math" w:cs="Times New Roman"/>
              <w:lang w:eastAsia="zh-CN"/>
            </w:rPr>
            <m:t>+γ123</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TRF</m:t>
              </m:r>
            </m:e>
            <m:sub>
              <m:r>
                <w:rPr>
                  <w:rFonts w:ascii="Cambria Math" w:hAnsi="Cambria Math" w:cs="Times New Roman"/>
                </w:rPr>
                <m:t>t</m:t>
              </m:r>
            </m:sub>
          </m:sSub>
          <m:r>
            <w:rPr>
              <w:rFonts w:ascii="Cambria Math" w:eastAsia="SimSun" w:hAnsi="Cambria Math" w:cs="Times New Roman"/>
              <w:lang w:eastAsia="zh-CN"/>
            </w:rPr>
            <m:t>+γ124</m:t>
          </m:r>
          <m:sSub>
            <m:sSubPr>
              <m:ctrlPr>
                <w:rPr>
                  <w:rFonts w:ascii="Cambria Math" w:eastAsia="SimSun" w:hAnsi="Cambria Math" w:cs="Times New Roman"/>
                  <w:lang w:eastAsia="zh-CN"/>
                </w:rPr>
              </m:ctrlPr>
            </m:sSubPr>
            <m:e>
              <m:r>
                <m:rPr>
                  <m:sty m:val="p"/>
                </m:rPr>
                <w:rPr>
                  <w:rFonts w:ascii="Cambria Math" w:hAnsi="Cambria Math" w:cs="Times New Roman"/>
                </w:rPr>
                <m:t>Δ</m:t>
              </m:r>
              <m:r>
                <w:rPr>
                  <w:rFonts w:ascii="Cambria Math" w:hAnsi="Cambria Math" w:cs="Times New Roman"/>
                </w:rPr>
                <m:t>LAB</m:t>
              </m:r>
            </m:e>
            <m:sub>
              <m:r>
                <w:rPr>
                  <w:rFonts w:ascii="Cambria Math" w:hAnsi="Cambria Math" w:cs="Times New Roman"/>
                </w:rPr>
                <m:t>t</m:t>
              </m:r>
            </m:sub>
          </m:sSub>
          <m:r>
            <w:rPr>
              <w:rFonts w:ascii="Cambria Math" w:eastAsia="SimSun" w:hAnsi="Cambria Math" w:cs="Times New Roman"/>
              <w:lang w:eastAsia="zh-CN"/>
            </w:rPr>
            <m:t>…+</m:t>
          </m:r>
          <m:sSub>
            <m:sSubPr>
              <m:ctrlPr>
                <w:rPr>
                  <w:rFonts w:ascii="Cambria Math" w:eastAsia="SimSun" w:hAnsi="Cambria Math" w:cs="Times New Roman"/>
                  <w:bCs/>
                  <w:i/>
                  <w:lang w:eastAsia="zh-CN"/>
                </w:rPr>
              </m:ctrlPr>
            </m:sSubPr>
            <m:e>
              <m:r>
                <w:rPr>
                  <w:rStyle w:val="mord"/>
                  <w:rFonts w:ascii="Cambria Math" w:hAnsi="Cambria Math" w:cs="Times New Roman"/>
                </w:rPr>
                <m:t>ε</m:t>
              </m:r>
            </m:e>
            <m:sub>
              <m:r>
                <w:rPr>
                  <w:rFonts w:ascii="Cambria Math" w:hAnsi="Cambria Math" w:cs="Times New Roman"/>
                </w:rPr>
                <m:t>12t</m:t>
              </m:r>
            </m:sub>
          </m:sSub>
          <m:r>
            <m:rPr>
              <m:sty m:val="b"/>
            </m:rPr>
            <w:rPr>
              <w:rFonts w:ascii="Cambria Math" w:eastAsiaTheme="minorEastAsia" w:hAnsi="Cambria Math" w:cs="Times New Roman"/>
              <w:lang w:eastAsia="zh-CN"/>
            </w:rPr>
            <m:t>.</m:t>
          </m:r>
          <m:r>
            <m:rPr>
              <m:sty m:val="p"/>
            </m:rPr>
            <w:rPr>
              <w:rFonts w:ascii="Cambria Math" w:eastAsia="SimSun" w:hAnsi="Cambria Math" w:cs="Times New Roman"/>
              <w:lang w:eastAsia="zh-CN"/>
            </w:rPr>
            <m:t xml:space="preserve">  (3.42)</m:t>
          </m:r>
        </m:oMath>
      </m:oMathPara>
    </w:p>
    <w:p w14:paraId="36AC0E1B" w14:textId="77777777" w:rsidR="005B6E3E" w:rsidRDefault="005B6E3E" w:rsidP="00164181">
      <w:pPr>
        <w:spacing w:line="480" w:lineRule="auto"/>
        <w:rPr>
          <w:rFonts w:ascii="Times New Roman" w:hAnsi="Times New Roman" w:cs="Times New Roman"/>
          <w:bCs/>
          <w:sz w:val="24"/>
          <w:szCs w:val="24"/>
        </w:rPr>
      </w:pPr>
    </w:p>
    <w:p w14:paraId="6CF6D9B3" w14:textId="124D330C" w:rsidR="008A49BC" w:rsidRPr="00EA38DE" w:rsidRDefault="008A49BC" w:rsidP="00164181">
      <w:pPr>
        <w:spacing w:line="480" w:lineRule="auto"/>
        <w:rPr>
          <w:rFonts w:ascii="Times New Roman" w:hAnsi="Times New Roman" w:cs="Times New Roman"/>
          <w:bCs/>
          <w:sz w:val="24"/>
          <w:szCs w:val="24"/>
        </w:rPr>
      </w:pPr>
      <w:r w:rsidRPr="00EA38DE">
        <w:rPr>
          <w:rFonts w:ascii="Times New Roman" w:hAnsi="Times New Roman" w:cs="Times New Roman"/>
          <w:bCs/>
          <w:sz w:val="24"/>
          <w:szCs w:val="24"/>
        </w:rPr>
        <w:lastRenderedPageBreak/>
        <w:t>Where:</w:t>
      </w:r>
    </w:p>
    <w:tbl>
      <w:tblPr>
        <w:tblStyle w:val="TableGrid"/>
        <w:tblW w:w="0" w:type="auto"/>
        <w:tblLook w:val="04A0" w:firstRow="1" w:lastRow="0" w:firstColumn="1" w:lastColumn="0" w:noHBand="0" w:noVBand="1"/>
      </w:tblPr>
      <w:tblGrid>
        <w:gridCol w:w="990"/>
        <w:gridCol w:w="8360"/>
      </w:tblGrid>
      <w:tr w:rsidR="00EA38DE" w:rsidRPr="00EA38DE" w14:paraId="2033189D" w14:textId="77777777" w:rsidTr="009501B5">
        <w:tc>
          <w:tcPr>
            <w:tcW w:w="0" w:type="auto"/>
            <w:hideMark/>
          </w:tcPr>
          <w:p w14:paraId="71C3C556" w14:textId="77777777" w:rsidR="008A49BC" w:rsidRPr="00EA38DE" w:rsidRDefault="008A49BC" w:rsidP="009501B5">
            <w:pPr>
              <w:spacing w:line="480" w:lineRule="auto"/>
              <w:jc w:val="center"/>
              <w:rPr>
                <w:rFonts w:ascii="Times New Roman" w:hAnsi="Times New Roman"/>
                <w:bCs/>
                <w:sz w:val="24"/>
                <w:szCs w:val="24"/>
              </w:rPr>
            </w:pPr>
            <w:r w:rsidRPr="00EA38DE">
              <w:rPr>
                <w:rStyle w:val="Strong"/>
                <w:rFonts w:ascii="Times New Roman" w:hAnsi="Times New Roman"/>
                <w:sz w:val="24"/>
                <w:szCs w:val="24"/>
              </w:rPr>
              <w:t>Symbol</w:t>
            </w:r>
          </w:p>
        </w:tc>
        <w:tc>
          <w:tcPr>
            <w:tcW w:w="0" w:type="auto"/>
            <w:hideMark/>
          </w:tcPr>
          <w:p w14:paraId="7E766CA6" w14:textId="77777777" w:rsidR="008A49BC" w:rsidRPr="00EA38DE" w:rsidRDefault="008A49BC" w:rsidP="009501B5">
            <w:pPr>
              <w:spacing w:line="480" w:lineRule="auto"/>
              <w:jc w:val="center"/>
              <w:rPr>
                <w:rFonts w:ascii="Times New Roman" w:hAnsi="Times New Roman"/>
                <w:bCs/>
                <w:sz w:val="24"/>
                <w:szCs w:val="24"/>
              </w:rPr>
            </w:pPr>
            <w:r w:rsidRPr="00EA38DE">
              <w:rPr>
                <w:rStyle w:val="Strong"/>
                <w:rFonts w:ascii="Times New Roman" w:hAnsi="Times New Roman"/>
                <w:sz w:val="24"/>
                <w:szCs w:val="24"/>
              </w:rPr>
              <w:t>Meaning</w:t>
            </w:r>
          </w:p>
        </w:tc>
      </w:tr>
      <w:tr w:rsidR="00EA38DE" w:rsidRPr="00EA38DE" w14:paraId="3F5E797D" w14:textId="77777777" w:rsidTr="009501B5">
        <w:tc>
          <w:tcPr>
            <w:tcW w:w="0" w:type="auto"/>
            <w:hideMark/>
          </w:tcPr>
          <w:p w14:paraId="6343FFB2" w14:textId="77777777" w:rsidR="008A49BC" w:rsidRPr="00EA38DE" w:rsidRDefault="008A49BC" w:rsidP="009501B5">
            <w:pPr>
              <w:spacing w:line="480" w:lineRule="auto"/>
              <w:rPr>
                <w:rFonts w:ascii="Times New Roman" w:hAnsi="Times New Roman"/>
                <w:sz w:val="24"/>
                <w:szCs w:val="24"/>
              </w:rPr>
            </w:pPr>
            <w:r w:rsidRPr="00EA38DE">
              <w:rPr>
                <w:rStyle w:val="Strong"/>
                <w:rFonts w:ascii="Times New Roman" w:hAnsi="Times New Roman"/>
                <w:sz w:val="24"/>
                <w:szCs w:val="24"/>
              </w:rPr>
              <w:t>Δ</w:t>
            </w:r>
          </w:p>
        </w:tc>
        <w:tc>
          <w:tcPr>
            <w:tcW w:w="0" w:type="auto"/>
            <w:hideMark/>
          </w:tcPr>
          <w:p w14:paraId="42B54680" w14:textId="57A21A72" w:rsidR="008A49BC" w:rsidRPr="00EA38DE" w:rsidRDefault="008A49BC" w:rsidP="00C806C7">
            <w:pPr>
              <w:spacing w:line="480" w:lineRule="auto"/>
              <w:jc w:val="both"/>
              <w:rPr>
                <w:rFonts w:ascii="Times New Roman" w:hAnsi="Times New Roman"/>
                <w:sz w:val="24"/>
                <w:szCs w:val="24"/>
              </w:rPr>
            </w:pPr>
            <w:r w:rsidRPr="00EA38DE">
              <w:rPr>
                <w:rFonts w:ascii="Times New Roman" w:hAnsi="Times New Roman"/>
                <w:sz w:val="24"/>
                <w:szCs w:val="24"/>
              </w:rPr>
              <w:t>First difference operator. For example, ΔCTP</w:t>
            </w:r>
            <w:r w:rsidR="00087CB2" w:rsidRPr="00EA38DE">
              <w:rPr>
                <w:rStyle w:val="Strong"/>
                <w:rFonts w:ascii="Times New Roman" w:hAnsi="Times New Roman"/>
                <w:b w:val="0"/>
                <w:sz w:val="24"/>
                <w:szCs w:val="24"/>
                <w:vertAlign w:val="subscript"/>
              </w:rPr>
              <w:t>t</w:t>
            </w:r>
            <w:r w:rsidRPr="00EA38DE">
              <w:rPr>
                <w:rFonts w:ascii="Times New Roman" w:hAnsi="Times New Roman"/>
                <w:sz w:val="24"/>
                <w:szCs w:val="24"/>
              </w:rPr>
              <w:t xml:space="preserve"> = CTP</w:t>
            </w:r>
            <w:r w:rsidR="00087CB2" w:rsidRPr="00EA38DE">
              <w:rPr>
                <w:rStyle w:val="Strong"/>
                <w:rFonts w:ascii="Times New Roman" w:hAnsi="Times New Roman"/>
                <w:b w:val="0"/>
                <w:sz w:val="24"/>
                <w:szCs w:val="24"/>
                <w:vertAlign w:val="subscript"/>
              </w:rPr>
              <w:t>t</w:t>
            </w:r>
            <w:r w:rsidRPr="00EA38DE">
              <w:rPr>
                <w:rFonts w:ascii="Times New Roman" w:hAnsi="Times New Roman"/>
                <w:sz w:val="24"/>
                <w:szCs w:val="24"/>
              </w:rPr>
              <w:t xml:space="preserve"> − CTP</w:t>
            </w:r>
            <w:r w:rsidR="00087CB2" w:rsidRPr="00EA38DE">
              <w:rPr>
                <w:rStyle w:val="Strong"/>
                <w:rFonts w:ascii="Times New Roman" w:hAnsi="Times New Roman"/>
                <w:b w:val="0"/>
                <w:sz w:val="24"/>
                <w:szCs w:val="24"/>
                <w:vertAlign w:val="subscript"/>
              </w:rPr>
              <w:t>t</w:t>
            </w:r>
            <w:r w:rsidRPr="00EA38DE">
              <w:rPr>
                <w:rFonts w:ascii="Cambria Math" w:hAnsi="Cambria Math" w:cs="Cambria Math"/>
                <w:sz w:val="24"/>
                <w:szCs w:val="24"/>
              </w:rPr>
              <w:t>₋₁</w:t>
            </w:r>
            <w:r w:rsidRPr="00EA38DE">
              <w:rPr>
                <w:rFonts w:ascii="Times New Roman" w:hAnsi="Times New Roman"/>
                <w:sz w:val="24"/>
                <w:szCs w:val="24"/>
              </w:rPr>
              <w:t>. This is used to transform non-stationary variables into stationary ones.</w:t>
            </w:r>
          </w:p>
        </w:tc>
      </w:tr>
      <w:tr w:rsidR="00EA38DE" w:rsidRPr="00EA38DE" w14:paraId="07B3ABD2" w14:textId="77777777" w:rsidTr="009501B5">
        <w:tc>
          <w:tcPr>
            <w:tcW w:w="0" w:type="auto"/>
            <w:hideMark/>
          </w:tcPr>
          <w:p w14:paraId="266773D9" w14:textId="6E746338" w:rsidR="008A49BC" w:rsidRPr="00EA38DE" w:rsidRDefault="008A49BC" w:rsidP="00087CB2">
            <w:pPr>
              <w:spacing w:line="480" w:lineRule="auto"/>
              <w:rPr>
                <w:rFonts w:ascii="Times New Roman" w:hAnsi="Times New Roman"/>
                <w:b/>
                <w:sz w:val="24"/>
                <w:szCs w:val="24"/>
              </w:rPr>
            </w:pPr>
            <w:r w:rsidRPr="00EA38DE">
              <w:rPr>
                <w:rStyle w:val="Strong"/>
                <w:rFonts w:ascii="Times New Roman" w:hAnsi="Times New Roman"/>
                <w:b w:val="0"/>
                <w:sz w:val="24"/>
                <w:szCs w:val="24"/>
              </w:rPr>
              <w:t>CTP</w:t>
            </w:r>
            <w:r w:rsidR="00087CB2" w:rsidRPr="00EA38DE">
              <w:rPr>
                <w:rStyle w:val="Strong"/>
                <w:rFonts w:ascii="Times New Roman" w:hAnsi="Times New Roman"/>
                <w:b w:val="0"/>
                <w:sz w:val="24"/>
                <w:szCs w:val="24"/>
                <w:vertAlign w:val="subscript"/>
              </w:rPr>
              <w:t>t</w:t>
            </w:r>
          </w:p>
        </w:tc>
        <w:tc>
          <w:tcPr>
            <w:tcW w:w="0" w:type="auto"/>
            <w:hideMark/>
          </w:tcPr>
          <w:p w14:paraId="69D41197" w14:textId="77777777" w:rsidR="008A49BC" w:rsidRPr="00EA38DE" w:rsidRDefault="008A49BC" w:rsidP="009501B5">
            <w:pPr>
              <w:spacing w:line="480" w:lineRule="auto"/>
              <w:rPr>
                <w:rFonts w:ascii="Times New Roman" w:hAnsi="Times New Roman"/>
                <w:sz w:val="24"/>
                <w:szCs w:val="24"/>
              </w:rPr>
            </w:pPr>
            <w:r w:rsidRPr="00EA38DE">
              <w:rPr>
                <w:rFonts w:ascii="Times New Roman" w:hAnsi="Times New Roman"/>
                <w:sz w:val="24"/>
                <w:szCs w:val="24"/>
              </w:rPr>
              <w:t xml:space="preserve">Container Throughput Revenue </w:t>
            </w:r>
          </w:p>
        </w:tc>
      </w:tr>
      <w:tr w:rsidR="00EA38DE" w:rsidRPr="00EA38DE" w14:paraId="1CCDCD3B" w14:textId="77777777" w:rsidTr="009501B5">
        <w:tc>
          <w:tcPr>
            <w:tcW w:w="0" w:type="auto"/>
          </w:tcPr>
          <w:p w14:paraId="12D3423A" w14:textId="4AD0D602" w:rsidR="008A49BC" w:rsidRPr="00EA38DE" w:rsidRDefault="008A49BC" w:rsidP="00087CB2">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EXRV</w:t>
            </w:r>
            <w:r w:rsidR="00087CB2" w:rsidRPr="00EA38DE">
              <w:rPr>
                <w:rStyle w:val="Strong"/>
                <w:rFonts w:ascii="Times New Roman" w:hAnsi="Times New Roman"/>
                <w:b w:val="0"/>
                <w:sz w:val="24"/>
                <w:szCs w:val="24"/>
                <w:vertAlign w:val="subscript"/>
              </w:rPr>
              <w:t>t</w:t>
            </w:r>
          </w:p>
        </w:tc>
        <w:tc>
          <w:tcPr>
            <w:tcW w:w="0" w:type="auto"/>
          </w:tcPr>
          <w:p w14:paraId="4DA0619E"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Exchange Rate Volatility</w:t>
            </w:r>
          </w:p>
        </w:tc>
      </w:tr>
      <w:tr w:rsidR="00EA38DE" w:rsidRPr="00EA38DE" w14:paraId="4D8E511F" w14:textId="77777777" w:rsidTr="009501B5">
        <w:tc>
          <w:tcPr>
            <w:tcW w:w="0" w:type="auto"/>
          </w:tcPr>
          <w:p w14:paraId="1E471A51" w14:textId="3FDF1DB8" w:rsidR="008A49BC" w:rsidRPr="00EA38DE" w:rsidRDefault="00087CB2" w:rsidP="009501B5">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CTP</w:t>
            </w:r>
            <w:r w:rsidRPr="00EA38DE">
              <w:rPr>
                <w:rStyle w:val="Strong"/>
                <w:rFonts w:ascii="Times New Roman" w:hAnsi="Times New Roman"/>
                <w:b w:val="0"/>
                <w:sz w:val="24"/>
                <w:szCs w:val="24"/>
                <w:vertAlign w:val="subscript"/>
              </w:rPr>
              <w:t>t</w:t>
            </w:r>
          </w:p>
        </w:tc>
        <w:tc>
          <w:tcPr>
            <w:tcW w:w="0" w:type="auto"/>
          </w:tcPr>
          <w:p w14:paraId="28C94CA6"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Container Throughput Revenue</w:t>
            </w:r>
          </w:p>
        </w:tc>
      </w:tr>
      <w:tr w:rsidR="00EA38DE" w:rsidRPr="00EA38DE" w14:paraId="6CC7D4BC" w14:textId="77777777" w:rsidTr="009501B5">
        <w:tc>
          <w:tcPr>
            <w:tcW w:w="0" w:type="auto"/>
          </w:tcPr>
          <w:p w14:paraId="67CB03C7" w14:textId="774A70B7" w:rsidR="008A49BC" w:rsidRPr="00EA38DE" w:rsidRDefault="008A49BC" w:rsidP="00087CB2">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SHPC</w:t>
            </w:r>
            <w:r w:rsidR="00087CB2" w:rsidRPr="00EA38DE">
              <w:rPr>
                <w:rStyle w:val="Strong"/>
                <w:rFonts w:ascii="Times New Roman" w:hAnsi="Times New Roman"/>
                <w:b w:val="0"/>
                <w:sz w:val="24"/>
                <w:szCs w:val="24"/>
                <w:vertAlign w:val="subscript"/>
              </w:rPr>
              <w:t>t</w:t>
            </w:r>
          </w:p>
        </w:tc>
        <w:tc>
          <w:tcPr>
            <w:tcW w:w="0" w:type="auto"/>
          </w:tcPr>
          <w:p w14:paraId="725CCA3F"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Shipping Cost</w:t>
            </w:r>
          </w:p>
        </w:tc>
      </w:tr>
      <w:tr w:rsidR="00EA38DE" w:rsidRPr="00EA38DE" w14:paraId="59CB8145" w14:textId="77777777" w:rsidTr="009501B5">
        <w:tc>
          <w:tcPr>
            <w:tcW w:w="0" w:type="auto"/>
          </w:tcPr>
          <w:p w14:paraId="49392842" w14:textId="491EED75" w:rsidR="008A49BC" w:rsidRPr="00EA38DE" w:rsidRDefault="00087CB2" w:rsidP="009501B5">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POR</w:t>
            </w:r>
            <w:r w:rsidRPr="00EA38DE">
              <w:rPr>
                <w:rStyle w:val="Strong"/>
                <w:rFonts w:ascii="Times New Roman" w:hAnsi="Times New Roman"/>
                <w:b w:val="0"/>
                <w:sz w:val="24"/>
                <w:szCs w:val="24"/>
                <w:vertAlign w:val="subscript"/>
              </w:rPr>
              <w:t>t</w:t>
            </w:r>
          </w:p>
        </w:tc>
        <w:tc>
          <w:tcPr>
            <w:tcW w:w="0" w:type="auto"/>
          </w:tcPr>
          <w:p w14:paraId="30CA3E79"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Port Revenue</w:t>
            </w:r>
          </w:p>
        </w:tc>
      </w:tr>
      <w:tr w:rsidR="00EA38DE" w:rsidRPr="00EA38DE" w14:paraId="089BF352" w14:textId="77777777" w:rsidTr="009501B5">
        <w:tc>
          <w:tcPr>
            <w:tcW w:w="0" w:type="auto"/>
          </w:tcPr>
          <w:p w14:paraId="6F2B21AF" w14:textId="09F644E0" w:rsidR="008A49BC" w:rsidRPr="00EA38DE" w:rsidRDefault="008A49BC" w:rsidP="00087CB2">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FSH</w:t>
            </w:r>
            <w:r w:rsidR="00087CB2" w:rsidRPr="00EA38DE">
              <w:rPr>
                <w:rStyle w:val="Strong"/>
                <w:rFonts w:ascii="Times New Roman" w:hAnsi="Times New Roman"/>
                <w:b w:val="0"/>
                <w:sz w:val="24"/>
                <w:szCs w:val="24"/>
                <w:vertAlign w:val="subscript"/>
              </w:rPr>
              <w:t>t</w:t>
            </w:r>
          </w:p>
        </w:tc>
        <w:tc>
          <w:tcPr>
            <w:tcW w:w="0" w:type="auto"/>
          </w:tcPr>
          <w:p w14:paraId="64B82CCF"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Fisheries</w:t>
            </w:r>
          </w:p>
        </w:tc>
      </w:tr>
      <w:tr w:rsidR="00EA38DE" w:rsidRPr="00EA38DE" w14:paraId="722BD47D" w14:textId="77777777" w:rsidTr="009501B5">
        <w:tc>
          <w:tcPr>
            <w:tcW w:w="0" w:type="auto"/>
          </w:tcPr>
          <w:p w14:paraId="61D23667" w14:textId="38DCE6C5" w:rsidR="008A49BC" w:rsidRPr="00EA38DE" w:rsidRDefault="008A49BC" w:rsidP="00087CB2">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AQT</w:t>
            </w:r>
            <w:r w:rsidR="00087CB2" w:rsidRPr="00EA38DE">
              <w:rPr>
                <w:rStyle w:val="Strong"/>
                <w:rFonts w:ascii="Times New Roman" w:hAnsi="Times New Roman"/>
                <w:b w:val="0"/>
                <w:sz w:val="24"/>
                <w:szCs w:val="24"/>
                <w:vertAlign w:val="subscript"/>
              </w:rPr>
              <w:t>t</w:t>
            </w:r>
          </w:p>
        </w:tc>
        <w:tc>
          <w:tcPr>
            <w:tcW w:w="0" w:type="auto"/>
          </w:tcPr>
          <w:p w14:paraId="587DEE4D"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Aquaculture</w:t>
            </w:r>
          </w:p>
        </w:tc>
      </w:tr>
      <w:tr w:rsidR="00EA38DE" w:rsidRPr="00EA38DE" w14:paraId="2F7B9E23" w14:textId="77777777" w:rsidTr="009501B5">
        <w:tc>
          <w:tcPr>
            <w:tcW w:w="0" w:type="auto"/>
          </w:tcPr>
          <w:p w14:paraId="1683BB6B" w14:textId="1A748DF6" w:rsidR="008A49BC" w:rsidRPr="00EA38DE" w:rsidRDefault="008A49BC" w:rsidP="00087CB2">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DLNT</w:t>
            </w:r>
            <w:r w:rsidR="00087CB2" w:rsidRPr="00EA38DE">
              <w:rPr>
                <w:rStyle w:val="Strong"/>
                <w:rFonts w:ascii="Times New Roman" w:hAnsi="Times New Roman"/>
                <w:b w:val="0"/>
                <w:sz w:val="24"/>
                <w:szCs w:val="24"/>
                <w:vertAlign w:val="subscript"/>
              </w:rPr>
              <w:t>t</w:t>
            </w:r>
          </w:p>
        </w:tc>
        <w:tc>
          <w:tcPr>
            <w:tcW w:w="0" w:type="auto"/>
          </w:tcPr>
          <w:p w14:paraId="56B9C306"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Desalination</w:t>
            </w:r>
          </w:p>
        </w:tc>
      </w:tr>
      <w:tr w:rsidR="00EA38DE" w:rsidRPr="00EA38DE" w14:paraId="4003D9F6" w14:textId="77777777" w:rsidTr="009501B5">
        <w:tc>
          <w:tcPr>
            <w:tcW w:w="0" w:type="auto"/>
          </w:tcPr>
          <w:p w14:paraId="346E8034" w14:textId="2090465F" w:rsidR="008A49BC" w:rsidRPr="00EA38DE" w:rsidRDefault="00087CB2" w:rsidP="009501B5">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IFR</w:t>
            </w:r>
            <w:r w:rsidRPr="00EA38DE">
              <w:rPr>
                <w:rStyle w:val="Strong"/>
                <w:rFonts w:ascii="Times New Roman" w:hAnsi="Times New Roman"/>
                <w:b w:val="0"/>
                <w:sz w:val="24"/>
                <w:szCs w:val="24"/>
                <w:vertAlign w:val="subscript"/>
              </w:rPr>
              <w:t>t</w:t>
            </w:r>
          </w:p>
        </w:tc>
        <w:tc>
          <w:tcPr>
            <w:tcW w:w="0" w:type="auto"/>
          </w:tcPr>
          <w:p w14:paraId="0E391C6A"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Inflation Rate</w:t>
            </w:r>
          </w:p>
        </w:tc>
      </w:tr>
      <w:tr w:rsidR="00EA38DE" w:rsidRPr="00EA38DE" w14:paraId="57E5267B" w14:textId="77777777" w:rsidTr="009501B5">
        <w:tc>
          <w:tcPr>
            <w:tcW w:w="0" w:type="auto"/>
          </w:tcPr>
          <w:p w14:paraId="6ECD88D5" w14:textId="77777777" w:rsidR="008A49BC" w:rsidRPr="00EA38DE" w:rsidRDefault="008A49BC" w:rsidP="009501B5">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LAB</w:t>
            </w:r>
          </w:p>
        </w:tc>
        <w:tc>
          <w:tcPr>
            <w:tcW w:w="0" w:type="auto"/>
          </w:tcPr>
          <w:p w14:paraId="5E0744BE"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Labour Force</w:t>
            </w:r>
          </w:p>
        </w:tc>
      </w:tr>
      <w:tr w:rsidR="00EA38DE" w:rsidRPr="00EA38DE" w14:paraId="6EF63B7B" w14:textId="77777777" w:rsidTr="009501B5">
        <w:tc>
          <w:tcPr>
            <w:tcW w:w="0" w:type="auto"/>
          </w:tcPr>
          <w:p w14:paraId="0D022763" w14:textId="77777777" w:rsidR="008A49BC" w:rsidRPr="00EA38DE" w:rsidRDefault="008A49BC" w:rsidP="009501B5">
            <w:pPr>
              <w:spacing w:line="480" w:lineRule="auto"/>
              <w:rPr>
                <w:rStyle w:val="Strong"/>
                <w:rFonts w:ascii="Times New Roman" w:hAnsi="Times New Roman"/>
                <w:sz w:val="24"/>
                <w:szCs w:val="24"/>
              </w:rPr>
            </w:pPr>
            <w:r w:rsidRPr="00EA38DE">
              <w:rPr>
                <w:rFonts w:ascii="Times New Roman" w:eastAsia="Times New Roman" w:hAnsi="Times New Roman"/>
                <w:bCs/>
                <w:sz w:val="24"/>
                <w:szCs w:val="24"/>
              </w:rPr>
              <w:t>TRF</w:t>
            </w:r>
          </w:p>
        </w:tc>
        <w:tc>
          <w:tcPr>
            <w:tcW w:w="0" w:type="auto"/>
          </w:tcPr>
          <w:p w14:paraId="26ADA741" w14:textId="77777777" w:rsidR="008A49BC" w:rsidRPr="00EA38DE" w:rsidRDefault="008A49BC" w:rsidP="009501B5">
            <w:pPr>
              <w:spacing w:line="480" w:lineRule="auto"/>
              <w:rPr>
                <w:rFonts w:ascii="Times New Roman" w:hAnsi="Times New Roman"/>
                <w:sz w:val="24"/>
                <w:szCs w:val="24"/>
              </w:rPr>
            </w:pPr>
            <w:r w:rsidRPr="00EA38DE">
              <w:rPr>
                <w:rFonts w:ascii="Times New Roman" w:eastAsia="Times New Roman" w:hAnsi="Times New Roman"/>
                <w:sz w:val="24"/>
                <w:szCs w:val="24"/>
              </w:rPr>
              <w:t>Trade Freedom</w:t>
            </w:r>
          </w:p>
        </w:tc>
      </w:tr>
      <w:tr w:rsidR="00EA38DE" w:rsidRPr="00EA38DE" w14:paraId="67CCE4F4" w14:textId="77777777" w:rsidTr="009501B5">
        <w:tc>
          <w:tcPr>
            <w:tcW w:w="0" w:type="auto"/>
            <w:hideMark/>
          </w:tcPr>
          <w:p w14:paraId="7754D9D6" w14:textId="77777777" w:rsidR="008A49BC" w:rsidRPr="00EA38DE" w:rsidRDefault="008A49BC" w:rsidP="009501B5">
            <w:pPr>
              <w:spacing w:line="480" w:lineRule="auto"/>
              <w:rPr>
                <w:rFonts w:ascii="Times New Roman" w:hAnsi="Times New Roman"/>
                <w:sz w:val="24"/>
                <w:szCs w:val="24"/>
              </w:rPr>
            </w:pPr>
            <w:r w:rsidRPr="00EA38DE">
              <w:rPr>
                <w:rStyle w:val="Strong"/>
                <w:rFonts w:ascii="Times New Roman" w:hAnsi="Times New Roman"/>
                <w:sz w:val="24"/>
                <w:szCs w:val="24"/>
              </w:rPr>
              <w:t>a₁</w:t>
            </w:r>
          </w:p>
        </w:tc>
        <w:tc>
          <w:tcPr>
            <w:tcW w:w="0" w:type="auto"/>
            <w:hideMark/>
          </w:tcPr>
          <w:p w14:paraId="0D35E633" w14:textId="77777777" w:rsidR="008A49BC" w:rsidRPr="00EA38DE" w:rsidRDefault="008A49BC" w:rsidP="009501B5">
            <w:pPr>
              <w:spacing w:line="480" w:lineRule="auto"/>
              <w:rPr>
                <w:rFonts w:ascii="Times New Roman" w:hAnsi="Times New Roman"/>
                <w:sz w:val="24"/>
                <w:szCs w:val="24"/>
              </w:rPr>
            </w:pPr>
            <w:r w:rsidRPr="00EA38DE">
              <w:rPr>
                <w:rFonts w:ascii="Times New Roman" w:hAnsi="Times New Roman"/>
                <w:sz w:val="24"/>
                <w:szCs w:val="24"/>
              </w:rPr>
              <w:t>Constant term (intercept) for Model One.</w:t>
            </w:r>
          </w:p>
        </w:tc>
      </w:tr>
      <w:tr w:rsidR="00EA38DE" w:rsidRPr="00EA38DE" w14:paraId="61851EC7" w14:textId="77777777" w:rsidTr="009501B5">
        <w:tc>
          <w:tcPr>
            <w:tcW w:w="0" w:type="auto"/>
            <w:hideMark/>
          </w:tcPr>
          <w:p w14:paraId="3A7847D9" w14:textId="77777777" w:rsidR="008A49BC" w:rsidRPr="00EA38DE" w:rsidRDefault="008A49BC" w:rsidP="00C806C7">
            <w:pPr>
              <w:spacing w:line="480" w:lineRule="auto"/>
              <w:jc w:val="both"/>
              <w:rPr>
                <w:rFonts w:ascii="Times New Roman" w:hAnsi="Times New Roman"/>
                <w:sz w:val="24"/>
                <w:szCs w:val="24"/>
              </w:rPr>
            </w:pPr>
            <w:r w:rsidRPr="00EA38DE">
              <w:rPr>
                <w:rStyle w:val="Strong"/>
                <w:rFonts w:ascii="Times New Roman" w:hAnsi="Times New Roman"/>
                <w:sz w:val="24"/>
                <w:szCs w:val="24"/>
              </w:rPr>
              <w:t>β</w:t>
            </w:r>
            <w:r w:rsidRPr="00EA38DE">
              <w:rPr>
                <w:rStyle w:val="Strong"/>
                <w:rFonts w:ascii="Cambria Math" w:hAnsi="Cambria Math" w:cs="Cambria Math"/>
                <w:sz w:val="24"/>
                <w:szCs w:val="24"/>
              </w:rPr>
              <w:t>₁</w:t>
            </w:r>
          </w:p>
        </w:tc>
        <w:tc>
          <w:tcPr>
            <w:tcW w:w="0" w:type="auto"/>
            <w:hideMark/>
          </w:tcPr>
          <w:p w14:paraId="33691631" w14:textId="48DD384C" w:rsidR="008A49BC" w:rsidRPr="00EA38DE" w:rsidRDefault="008A49BC" w:rsidP="00087CB2">
            <w:pPr>
              <w:spacing w:line="480" w:lineRule="auto"/>
              <w:rPr>
                <w:rFonts w:ascii="Times New Roman" w:hAnsi="Times New Roman"/>
                <w:sz w:val="24"/>
                <w:szCs w:val="24"/>
              </w:rPr>
            </w:pPr>
            <w:r w:rsidRPr="00EA38DE">
              <w:rPr>
                <w:rFonts w:ascii="Times New Roman" w:hAnsi="Times New Roman"/>
                <w:sz w:val="24"/>
                <w:szCs w:val="24"/>
              </w:rPr>
              <w:t>Coefficient of the lagged dependent variable (CTP</w:t>
            </w:r>
            <w:r w:rsidR="00087CB2" w:rsidRPr="00EA38DE">
              <w:rPr>
                <w:rStyle w:val="Strong"/>
                <w:rFonts w:ascii="Times New Roman" w:hAnsi="Times New Roman"/>
                <w:b w:val="0"/>
                <w:sz w:val="24"/>
                <w:szCs w:val="24"/>
                <w:vertAlign w:val="subscript"/>
              </w:rPr>
              <w:t>t</w:t>
            </w:r>
            <w:r w:rsidRPr="00EA38DE">
              <w:rPr>
                <w:rFonts w:ascii="Cambria Math" w:hAnsi="Cambria Math" w:cs="Cambria Math"/>
                <w:sz w:val="24"/>
                <w:szCs w:val="24"/>
              </w:rPr>
              <w:t>₋₁</w:t>
            </w:r>
            <w:r w:rsidRPr="00EA38DE">
              <w:rPr>
                <w:rFonts w:ascii="Times New Roman" w:hAnsi="Times New Roman"/>
                <w:sz w:val="24"/>
                <w:szCs w:val="24"/>
              </w:rPr>
              <w:t>), representing how past values of container throughput revenue influence current changes.</w:t>
            </w:r>
          </w:p>
        </w:tc>
      </w:tr>
      <w:tr w:rsidR="00EA38DE" w:rsidRPr="00EA38DE" w14:paraId="5918CC2E" w14:textId="77777777" w:rsidTr="009501B5">
        <w:tc>
          <w:tcPr>
            <w:tcW w:w="0" w:type="auto"/>
            <w:hideMark/>
          </w:tcPr>
          <w:p w14:paraId="4AFAB559" w14:textId="58777A05" w:rsidR="008A49BC" w:rsidRPr="00EA38DE" w:rsidRDefault="00BD75E9" w:rsidP="00C806C7">
            <w:pPr>
              <w:spacing w:line="480" w:lineRule="auto"/>
              <w:jc w:val="both"/>
              <w:rPr>
                <w:rFonts w:ascii="Times New Roman" w:hAnsi="Times New Roman"/>
                <w:b/>
                <w:sz w:val="24"/>
                <w:szCs w:val="24"/>
              </w:rPr>
            </w:pPr>
            <m:oMath>
              <m:sSub>
                <m:sSubPr>
                  <m:ctrlPr>
                    <w:rPr>
                      <w:rFonts w:ascii="Cambria Math" w:hAnsi="Cambria Math"/>
                      <w:b/>
                      <w:bCs/>
                      <w:i/>
                      <w:lang w:eastAsia="zh-CN"/>
                    </w:rPr>
                  </m:ctrlPr>
                </m:sSubPr>
                <m:e>
                  <m:r>
                    <m:rPr>
                      <m:sty m:val="bi"/>
                    </m:rPr>
                    <w:rPr>
                      <w:rStyle w:val="mord"/>
                      <w:rFonts w:ascii="Cambria Math" w:hAnsi="Cambria Math"/>
                    </w:rPr>
                    <m:t>ε</m:t>
                  </m:r>
                </m:e>
                <m:sub>
                  <m:r>
                    <m:rPr>
                      <m:sty m:val="bi"/>
                    </m:rPr>
                    <w:rPr>
                      <w:rFonts w:ascii="Cambria Math" w:hAnsi="Cambria Math"/>
                    </w:rPr>
                    <m:t>1</m:t>
                  </m:r>
                  <m:r>
                    <m:rPr>
                      <m:sty m:val="bi"/>
                    </m:rPr>
                    <w:rPr>
                      <w:rFonts w:ascii="Cambria Math" w:hAnsi="Cambria Math"/>
                    </w:rPr>
                    <m:t xml:space="preserve">t </m:t>
                  </m:r>
                </m:sub>
              </m:sSub>
            </m:oMath>
            <w:r w:rsidR="00C806C7" w:rsidRPr="00EA38DE">
              <w:rPr>
                <w:rFonts w:ascii="Times New Roman" w:hAnsi="Times New Roman"/>
                <w:b/>
                <w:sz w:val="24"/>
                <w:szCs w:val="24"/>
              </w:rPr>
              <w:t xml:space="preserve"> </w:t>
            </w:r>
          </w:p>
        </w:tc>
        <w:tc>
          <w:tcPr>
            <w:tcW w:w="0" w:type="auto"/>
            <w:hideMark/>
          </w:tcPr>
          <w:p w14:paraId="0F0BF73E" w14:textId="34FC743D" w:rsidR="008A49BC" w:rsidRPr="00EA38DE" w:rsidRDefault="008A49BC" w:rsidP="00087CB2">
            <w:pPr>
              <w:spacing w:line="480" w:lineRule="auto"/>
              <w:rPr>
                <w:rFonts w:ascii="Times New Roman" w:hAnsi="Times New Roman"/>
                <w:sz w:val="24"/>
                <w:szCs w:val="24"/>
              </w:rPr>
            </w:pPr>
            <w:r w:rsidRPr="00EA38DE">
              <w:rPr>
                <w:rFonts w:ascii="Times New Roman" w:hAnsi="Times New Roman"/>
                <w:sz w:val="24"/>
                <w:szCs w:val="24"/>
              </w:rPr>
              <w:t>Error term (random disturbance) for Model One. Captures all other factors affecting ΔCTP</w:t>
            </w:r>
            <w:r w:rsidR="00087CB2" w:rsidRPr="00EA38DE">
              <w:rPr>
                <w:rStyle w:val="Strong"/>
                <w:rFonts w:ascii="Times New Roman" w:hAnsi="Times New Roman"/>
                <w:b w:val="0"/>
                <w:sz w:val="24"/>
                <w:szCs w:val="24"/>
                <w:vertAlign w:val="subscript"/>
              </w:rPr>
              <w:t>t</w:t>
            </w:r>
            <w:r w:rsidRPr="00EA38DE">
              <w:rPr>
                <w:rFonts w:ascii="Times New Roman" w:hAnsi="Times New Roman"/>
                <w:sz w:val="24"/>
                <w:szCs w:val="24"/>
              </w:rPr>
              <w:t xml:space="preserve"> that are not included in the model.</w:t>
            </w:r>
          </w:p>
        </w:tc>
      </w:tr>
      <w:tr w:rsidR="00EA38DE" w:rsidRPr="00EA38DE" w14:paraId="2B810C83" w14:textId="77777777" w:rsidTr="009501B5">
        <w:tc>
          <w:tcPr>
            <w:tcW w:w="0" w:type="auto"/>
            <w:hideMark/>
          </w:tcPr>
          <w:p w14:paraId="275DE591" w14:textId="331BB0EA" w:rsidR="008A49BC" w:rsidRPr="00EA38DE" w:rsidRDefault="008A49BC" w:rsidP="00C806C7">
            <w:pPr>
              <w:spacing w:line="480" w:lineRule="auto"/>
              <w:jc w:val="both"/>
              <w:rPr>
                <w:rFonts w:ascii="Times New Roman" w:hAnsi="Times New Roman"/>
                <w:sz w:val="24"/>
                <w:szCs w:val="24"/>
              </w:rPr>
            </w:pPr>
            <w:r w:rsidRPr="00EA38DE">
              <w:rPr>
                <w:rStyle w:val="Strong"/>
                <w:rFonts w:ascii="Times New Roman" w:hAnsi="Times New Roman"/>
                <w:sz w:val="24"/>
                <w:szCs w:val="24"/>
              </w:rPr>
              <w:lastRenderedPageBreak/>
              <w:t>γ</w:t>
            </w:r>
            <w:r w:rsidR="00087CB2" w:rsidRPr="00EA38DE">
              <w:rPr>
                <w:rStyle w:val="Strong"/>
                <w:rFonts w:ascii="Times New Roman" w:hAnsi="Times New Roman"/>
                <w:sz w:val="24"/>
                <w:szCs w:val="24"/>
                <w:vertAlign w:val="subscript"/>
              </w:rPr>
              <w:t>11</w:t>
            </w:r>
          </w:p>
        </w:tc>
        <w:tc>
          <w:tcPr>
            <w:tcW w:w="0" w:type="auto"/>
            <w:hideMark/>
          </w:tcPr>
          <w:p w14:paraId="583CB1E2" w14:textId="36F3DFFA" w:rsidR="008A49BC" w:rsidRPr="00EA38DE" w:rsidRDefault="008A49BC" w:rsidP="00C806C7">
            <w:pPr>
              <w:spacing w:line="480" w:lineRule="auto"/>
              <w:rPr>
                <w:rFonts w:ascii="Times New Roman" w:hAnsi="Times New Roman"/>
                <w:sz w:val="24"/>
                <w:szCs w:val="24"/>
              </w:rPr>
            </w:pPr>
            <w:r w:rsidRPr="00EA38DE">
              <w:rPr>
                <w:rFonts w:ascii="Times New Roman" w:hAnsi="Times New Roman"/>
                <w:sz w:val="24"/>
                <w:szCs w:val="24"/>
              </w:rPr>
              <w:t xml:space="preserve">The coefficient of the change in </w:t>
            </w:r>
            <w:r w:rsidRPr="00EA38DE">
              <w:rPr>
                <w:rStyle w:val="Strong"/>
                <w:rFonts w:ascii="Times New Roman" w:hAnsi="Times New Roman"/>
                <w:b w:val="0"/>
                <w:bCs w:val="0"/>
                <w:sz w:val="24"/>
                <w:szCs w:val="24"/>
              </w:rPr>
              <w:t>Exchange Rate Volatility (ΔEXRV</w:t>
            </w:r>
            <w:r w:rsidR="00C806C7" w:rsidRPr="00EA38DE">
              <w:rPr>
                <w:rStyle w:val="Strong"/>
                <w:rFonts w:ascii="Times New Roman" w:hAnsi="Times New Roman"/>
                <w:b w:val="0"/>
                <w:sz w:val="24"/>
                <w:szCs w:val="24"/>
                <w:vertAlign w:val="subscript"/>
              </w:rPr>
              <w:t>t</w:t>
            </w:r>
            <w:r w:rsidRPr="00EA38DE">
              <w:rPr>
                <w:rStyle w:val="Strong"/>
                <w:rFonts w:ascii="Times New Roman" w:hAnsi="Times New Roman"/>
                <w:b w:val="0"/>
                <w:bCs w:val="0"/>
                <w:sz w:val="24"/>
                <w:szCs w:val="24"/>
              </w:rPr>
              <w:t>)</w:t>
            </w:r>
            <w:r w:rsidRPr="00EA38DE">
              <w:rPr>
                <w:rFonts w:ascii="Times New Roman" w:hAnsi="Times New Roman"/>
                <w:sz w:val="24"/>
                <w:szCs w:val="24"/>
              </w:rPr>
              <w:t xml:space="preserve"> in </w:t>
            </w:r>
            <w:r w:rsidRPr="00EA38DE">
              <w:rPr>
                <w:rStyle w:val="Strong"/>
                <w:rFonts w:ascii="Times New Roman" w:hAnsi="Times New Roman"/>
                <w:b w:val="0"/>
                <w:bCs w:val="0"/>
                <w:sz w:val="24"/>
                <w:szCs w:val="24"/>
              </w:rPr>
              <w:t>Model One</w:t>
            </w:r>
            <w:r w:rsidRPr="00EA38DE">
              <w:rPr>
                <w:rFonts w:ascii="Times New Roman" w:hAnsi="Times New Roman"/>
                <w:sz w:val="24"/>
                <w:szCs w:val="24"/>
              </w:rPr>
              <w:t>. The first "1" indicates the model number (Model One), and the second "1" indicates it corresponds to the first explanatory variable (EXRV).</w:t>
            </w:r>
          </w:p>
        </w:tc>
      </w:tr>
      <w:tr w:rsidR="00EA38DE" w:rsidRPr="00EA38DE" w14:paraId="274D40CA" w14:textId="77777777" w:rsidTr="009501B5">
        <w:tc>
          <w:tcPr>
            <w:tcW w:w="0" w:type="auto"/>
            <w:hideMark/>
          </w:tcPr>
          <w:p w14:paraId="10C9B62A" w14:textId="28E51267" w:rsidR="008A49BC" w:rsidRPr="00EA38DE" w:rsidRDefault="00087CB2" w:rsidP="00C806C7">
            <w:pPr>
              <w:spacing w:line="480" w:lineRule="auto"/>
              <w:jc w:val="both"/>
              <w:rPr>
                <w:rFonts w:ascii="Times New Roman" w:hAnsi="Times New Roman"/>
                <w:sz w:val="24"/>
                <w:szCs w:val="24"/>
              </w:rPr>
            </w:pPr>
            <w:r w:rsidRPr="00EA38DE">
              <w:rPr>
                <w:rStyle w:val="Strong"/>
                <w:rFonts w:ascii="Times New Roman" w:hAnsi="Times New Roman"/>
                <w:sz w:val="24"/>
                <w:szCs w:val="24"/>
              </w:rPr>
              <w:t>γ</w:t>
            </w:r>
            <w:r w:rsidRPr="00EA38DE">
              <w:rPr>
                <w:rStyle w:val="Strong"/>
                <w:rFonts w:ascii="Times New Roman" w:hAnsi="Times New Roman"/>
                <w:sz w:val="24"/>
                <w:szCs w:val="24"/>
                <w:vertAlign w:val="subscript"/>
              </w:rPr>
              <w:t>12</w:t>
            </w:r>
          </w:p>
        </w:tc>
        <w:tc>
          <w:tcPr>
            <w:tcW w:w="0" w:type="auto"/>
            <w:hideMark/>
          </w:tcPr>
          <w:p w14:paraId="255E220E" w14:textId="03BE2ADA" w:rsidR="008A49BC" w:rsidRPr="00EA38DE" w:rsidRDefault="008A49BC" w:rsidP="00C806C7">
            <w:pPr>
              <w:spacing w:line="480" w:lineRule="auto"/>
              <w:rPr>
                <w:rFonts w:ascii="Times New Roman" w:hAnsi="Times New Roman"/>
                <w:sz w:val="24"/>
                <w:szCs w:val="24"/>
              </w:rPr>
            </w:pPr>
            <w:r w:rsidRPr="00EA38DE">
              <w:rPr>
                <w:rFonts w:ascii="Times New Roman" w:hAnsi="Times New Roman"/>
                <w:sz w:val="24"/>
                <w:szCs w:val="24"/>
              </w:rPr>
              <w:t xml:space="preserve">Coefficient for the change in </w:t>
            </w:r>
            <w:r w:rsidRPr="00EA38DE">
              <w:rPr>
                <w:rStyle w:val="Strong"/>
                <w:rFonts w:ascii="Times New Roman" w:hAnsi="Times New Roman"/>
                <w:b w:val="0"/>
                <w:bCs w:val="0"/>
                <w:sz w:val="24"/>
                <w:szCs w:val="24"/>
              </w:rPr>
              <w:t>Inflation Rate (ΔIFR</w:t>
            </w:r>
            <w:r w:rsidR="00C806C7" w:rsidRPr="00EA38DE">
              <w:rPr>
                <w:rStyle w:val="Strong"/>
                <w:rFonts w:ascii="Times New Roman" w:hAnsi="Times New Roman"/>
                <w:b w:val="0"/>
                <w:sz w:val="24"/>
                <w:szCs w:val="24"/>
                <w:vertAlign w:val="subscript"/>
              </w:rPr>
              <w:t>t</w:t>
            </w:r>
            <w:r w:rsidRPr="00EA38DE">
              <w:rPr>
                <w:rStyle w:val="Strong"/>
                <w:rFonts w:ascii="Times New Roman" w:hAnsi="Times New Roman"/>
                <w:b w:val="0"/>
                <w:bCs w:val="0"/>
                <w:sz w:val="24"/>
                <w:szCs w:val="24"/>
              </w:rPr>
              <w:t>)</w:t>
            </w:r>
            <w:r w:rsidRPr="00EA38DE">
              <w:rPr>
                <w:rFonts w:ascii="Times New Roman" w:hAnsi="Times New Roman"/>
                <w:sz w:val="24"/>
                <w:szCs w:val="24"/>
              </w:rPr>
              <w:t xml:space="preserve"> in Model One. The "1" is the model, and "2" is the second explanatory variable.</w:t>
            </w:r>
          </w:p>
        </w:tc>
      </w:tr>
      <w:tr w:rsidR="00EA38DE" w:rsidRPr="00EA38DE" w14:paraId="6BD52361" w14:textId="77777777" w:rsidTr="009501B5">
        <w:tc>
          <w:tcPr>
            <w:tcW w:w="0" w:type="auto"/>
            <w:hideMark/>
          </w:tcPr>
          <w:p w14:paraId="59BB46B8" w14:textId="35CAA9DF" w:rsidR="008A49BC" w:rsidRPr="00EA38DE" w:rsidRDefault="00087CB2" w:rsidP="00C806C7">
            <w:pPr>
              <w:spacing w:line="480" w:lineRule="auto"/>
              <w:jc w:val="both"/>
              <w:rPr>
                <w:rFonts w:ascii="Times New Roman" w:hAnsi="Times New Roman"/>
                <w:sz w:val="24"/>
                <w:szCs w:val="24"/>
              </w:rPr>
            </w:pPr>
            <w:r w:rsidRPr="00EA38DE">
              <w:rPr>
                <w:rStyle w:val="Strong"/>
                <w:rFonts w:ascii="Times New Roman" w:hAnsi="Times New Roman"/>
                <w:sz w:val="24"/>
                <w:szCs w:val="24"/>
              </w:rPr>
              <w:t>γ</w:t>
            </w:r>
            <w:r w:rsidRPr="00EA38DE">
              <w:rPr>
                <w:rStyle w:val="Strong"/>
                <w:rFonts w:ascii="Times New Roman" w:hAnsi="Times New Roman"/>
                <w:sz w:val="24"/>
                <w:szCs w:val="24"/>
                <w:vertAlign w:val="subscript"/>
              </w:rPr>
              <w:t>13</w:t>
            </w:r>
          </w:p>
        </w:tc>
        <w:tc>
          <w:tcPr>
            <w:tcW w:w="0" w:type="auto"/>
            <w:hideMark/>
          </w:tcPr>
          <w:p w14:paraId="0094E9AC" w14:textId="5F5755A4" w:rsidR="008A49BC" w:rsidRPr="00EA38DE" w:rsidRDefault="008A49BC" w:rsidP="00C806C7">
            <w:pPr>
              <w:spacing w:line="480" w:lineRule="auto"/>
              <w:rPr>
                <w:rFonts w:ascii="Times New Roman" w:hAnsi="Times New Roman"/>
                <w:sz w:val="24"/>
                <w:szCs w:val="24"/>
              </w:rPr>
            </w:pPr>
            <w:r w:rsidRPr="00EA38DE">
              <w:rPr>
                <w:rFonts w:ascii="Times New Roman" w:hAnsi="Times New Roman"/>
                <w:sz w:val="24"/>
                <w:szCs w:val="24"/>
              </w:rPr>
              <w:t xml:space="preserve">Coefficient for the change in </w:t>
            </w:r>
            <w:r w:rsidRPr="00EA38DE">
              <w:rPr>
                <w:rStyle w:val="Strong"/>
                <w:rFonts w:ascii="Times New Roman" w:hAnsi="Times New Roman"/>
                <w:b w:val="0"/>
                <w:bCs w:val="0"/>
                <w:sz w:val="24"/>
                <w:szCs w:val="24"/>
              </w:rPr>
              <w:t>Trade Freedom (ΔTRF</w:t>
            </w:r>
            <w:r w:rsidR="00C806C7" w:rsidRPr="00EA38DE">
              <w:rPr>
                <w:rStyle w:val="Strong"/>
                <w:rFonts w:ascii="Times New Roman" w:hAnsi="Times New Roman"/>
                <w:b w:val="0"/>
                <w:sz w:val="24"/>
                <w:szCs w:val="24"/>
                <w:vertAlign w:val="subscript"/>
              </w:rPr>
              <w:t>t</w:t>
            </w:r>
            <w:r w:rsidRPr="00EA38DE">
              <w:rPr>
                <w:rStyle w:val="Strong"/>
                <w:rFonts w:ascii="Times New Roman" w:hAnsi="Times New Roman"/>
                <w:b w:val="0"/>
                <w:bCs w:val="0"/>
                <w:sz w:val="24"/>
                <w:szCs w:val="24"/>
              </w:rPr>
              <w:t>)</w:t>
            </w:r>
            <w:r w:rsidRPr="00EA38DE">
              <w:rPr>
                <w:rFonts w:ascii="Times New Roman" w:hAnsi="Times New Roman"/>
                <w:sz w:val="24"/>
                <w:szCs w:val="24"/>
              </w:rPr>
              <w:t xml:space="preserve"> in Model One.</w:t>
            </w:r>
          </w:p>
        </w:tc>
      </w:tr>
      <w:tr w:rsidR="00EA38DE" w:rsidRPr="00EA38DE" w14:paraId="429D0E53" w14:textId="77777777" w:rsidTr="009501B5">
        <w:tc>
          <w:tcPr>
            <w:tcW w:w="0" w:type="auto"/>
            <w:hideMark/>
          </w:tcPr>
          <w:p w14:paraId="6ABB2D68" w14:textId="1F9ADEFE" w:rsidR="008A49BC" w:rsidRPr="00EA38DE" w:rsidRDefault="00087CB2" w:rsidP="00C806C7">
            <w:pPr>
              <w:spacing w:line="480" w:lineRule="auto"/>
              <w:jc w:val="both"/>
              <w:rPr>
                <w:rFonts w:ascii="Times New Roman" w:hAnsi="Times New Roman"/>
                <w:sz w:val="24"/>
                <w:szCs w:val="24"/>
              </w:rPr>
            </w:pPr>
            <w:r w:rsidRPr="00EA38DE">
              <w:rPr>
                <w:rStyle w:val="Strong"/>
                <w:rFonts w:ascii="Times New Roman" w:hAnsi="Times New Roman"/>
                <w:sz w:val="24"/>
                <w:szCs w:val="24"/>
              </w:rPr>
              <w:t>γ</w:t>
            </w:r>
            <w:r w:rsidRPr="00EA38DE">
              <w:rPr>
                <w:rStyle w:val="Strong"/>
                <w:rFonts w:ascii="Times New Roman" w:hAnsi="Times New Roman"/>
                <w:sz w:val="24"/>
                <w:szCs w:val="24"/>
                <w:vertAlign w:val="subscript"/>
              </w:rPr>
              <w:t>1</w:t>
            </w:r>
            <w:r w:rsidR="00C806C7" w:rsidRPr="00EA38DE">
              <w:rPr>
                <w:rStyle w:val="Strong"/>
                <w:rFonts w:ascii="Times New Roman" w:hAnsi="Times New Roman"/>
                <w:sz w:val="24"/>
                <w:szCs w:val="24"/>
                <w:vertAlign w:val="subscript"/>
              </w:rPr>
              <w:t>4</w:t>
            </w:r>
          </w:p>
        </w:tc>
        <w:tc>
          <w:tcPr>
            <w:tcW w:w="0" w:type="auto"/>
            <w:hideMark/>
          </w:tcPr>
          <w:p w14:paraId="29C9ED30" w14:textId="48F950BB" w:rsidR="008A49BC" w:rsidRPr="00EA38DE" w:rsidRDefault="008A49BC" w:rsidP="00C806C7">
            <w:pPr>
              <w:spacing w:line="480" w:lineRule="auto"/>
              <w:rPr>
                <w:rFonts w:ascii="Times New Roman" w:hAnsi="Times New Roman"/>
                <w:sz w:val="24"/>
                <w:szCs w:val="24"/>
              </w:rPr>
            </w:pPr>
            <w:r w:rsidRPr="00EA38DE">
              <w:rPr>
                <w:rFonts w:ascii="Times New Roman" w:hAnsi="Times New Roman"/>
                <w:sz w:val="24"/>
                <w:szCs w:val="24"/>
              </w:rPr>
              <w:t xml:space="preserve">Coefficient for the change in </w:t>
            </w:r>
            <w:r w:rsidRPr="00EA38DE">
              <w:rPr>
                <w:rStyle w:val="Strong"/>
                <w:rFonts w:ascii="Times New Roman" w:hAnsi="Times New Roman"/>
                <w:b w:val="0"/>
                <w:bCs w:val="0"/>
                <w:sz w:val="24"/>
                <w:szCs w:val="24"/>
              </w:rPr>
              <w:t>Labour Force (ΔLAB</w:t>
            </w:r>
            <w:r w:rsidR="00C806C7" w:rsidRPr="00EA38DE">
              <w:rPr>
                <w:rStyle w:val="Strong"/>
                <w:rFonts w:ascii="Times New Roman" w:hAnsi="Times New Roman"/>
                <w:b w:val="0"/>
                <w:sz w:val="24"/>
                <w:szCs w:val="24"/>
                <w:vertAlign w:val="subscript"/>
              </w:rPr>
              <w:t>t</w:t>
            </w:r>
            <w:r w:rsidRPr="00EA38DE">
              <w:rPr>
                <w:rStyle w:val="Strong"/>
                <w:rFonts w:ascii="Times New Roman" w:hAnsi="Times New Roman"/>
                <w:b w:val="0"/>
                <w:bCs w:val="0"/>
                <w:sz w:val="24"/>
                <w:szCs w:val="24"/>
              </w:rPr>
              <w:t>)</w:t>
            </w:r>
            <w:r w:rsidRPr="00EA38DE">
              <w:rPr>
                <w:rFonts w:ascii="Times New Roman" w:hAnsi="Times New Roman"/>
                <w:sz w:val="24"/>
                <w:szCs w:val="24"/>
              </w:rPr>
              <w:t xml:space="preserve"> in Model One.</w:t>
            </w:r>
          </w:p>
        </w:tc>
      </w:tr>
    </w:tbl>
    <w:p w14:paraId="1E3B4F5C" w14:textId="77777777" w:rsidR="008A49BC" w:rsidRPr="00EA38DE" w:rsidRDefault="008A49BC" w:rsidP="008A49BC">
      <w:pPr>
        <w:pStyle w:val="NormalWeb"/>
        <w:spacing w:before="0" w:beforeAutospacing="0" w:after="0" w:afterAutospacing="0" w:line="480" w:lineRule="auto"/>
        <w:rPr>
          <w:b/>
          <w:bCs/>
        </w:rPr>
      </w:pPr>
      <w:r w:rsidRPr="00EA38DE">
        <w:rPr>
          <w:b/>
          <w:bCs/>
        </w:rPr>
        <w:t>Note:</w:t>
      </w:r>
    </w:p>
    <w:p w14:paraId="646041A7" w14:textId="3014F242" w:rsidR="008A49BC" w:rsidRPr="00EA38DE" w:rsidRDefault="008A49BC" w:rsidP="008A49BC">
      <w:pPr>
        <w:pStyle w:val="NormalWeb"/>
        <w:spacing w:before="0" w:beforeAutospacing="0" w:after="0" w:afterAutospacing="0" w:line="480" w:lineRule="auto"/>
      </w:pPr>
      <w:r w:rsidRPr="00EA38DE">
        <w:rPr>
          <w:rFonts w:hAnsi="Symbol"/>
        </w:rPr>
        <w:t></w:t>
      </w:r>
      <w:r w:rsidR="00C806C7" w:rsidRPr="00EA38DE">
        <w:t xml:space="preserve"> </w:t>
      </w:r>
      <w:r w:rsidRPr="00EA38DE">
        <w:t xml:space="preserve">The </w:t>
      </w:r>
      <w:r w:rsidRPr="00EA38DE">
        <w:rPr>
          <w:bCs/>
        </w:rPr>
        <w:t>first digit</w:t>
      </w:r>
      <w:r w:rsidRPr="00EA38DE">
        <w:t xml:space="preserve"> in</w:t>
      </w:r>
      <w:r w:rsidR="00C806C7" w:rsidRPr="00EA38DE">
        <w:t xml:space="preserve"> </w:t>
      </w:r>
      <w:r w:rsidR="00C806C7" w:rsidRPr="00EA38DE">
        <w:rPr>
          <w:rStyle w:val="Strong"/>
          <w:b w:val="0"/>
        </w:rPr>
        <w:t>γ</w:t>
      </w:r>
      <w:r w:rsidR="00C806C7" w:rsidRPr="00EA38DE">
        <w:rPr>
          <w:rStyle w:val="Strong"/>
          <w:b w:val="0"/>
          <w:vertAlign w:val="subscript"/>
        </w:rPr>
        <w:t xml:space="preserve">11, </w:t>
      </w:r>
      <w:r w:rsidR="00C806C7" w:rsidRPr="00EA38DE">
        <w:rPr>
          <w:rStyle w:val="Strong"/>
          <w:b w:val="0"/>
        </w:rPr>
        <w:t>γ</w:t>
      </w:r>
      <w:r w:rsidR="00C806C7" w:rsidRPr="00EA38DE">
        <w:rPr>
          <w:rStyle w:val="Strong"/>
          <w:b w:val="0"/>
          <w:vertAlign w:val="subscript"/>
        </w:rPr>
        <w:t>12</w:t>
      </w:r>
      <w:r w:rsidRPr="00EA38DE">
        <w:t xml:space="preserve">, etc., refers to the </w:t>
      </w:r>
      <w:r w:rsidRPr="00EA38DE">
        <w:rPr>
          <w:bCs/>
        </w:rPr>
        <w:t>model number</w:t>
      </w:r>
      <w:r w:rsidRPr="00EA38DE">
        <w:t xml:space="preserve"> (Model One).</w:t>
      </w:r>
    </w:p>
    <w:p w14:paraId="5BC39D93" w14:textId="70AFAE25" w:rsidR="008A49BC" w:rsidRPr="00EA38DE" w:rsidRDefault="00F10AAC" w:rsidP="00C806C7">
      <w:pPr>
        <w:spacing w:line="480" w:lineRule="auto"/>
        <w:rPr>
          <w:rFonts w:ascii="Times New Roman" w:eastAsia="Times New Roman" w:hAnsi="Times New Roman" w:cs="Times New Roman"/>
          <w:sz w:val="24"/>
          <w:szCs w:val="24"/>
        </w:rPr>
      </w:pPr>
      <w:r w:rsidRPr="00EA38DE">
        <w:rPr>
          <w:rFonts w:ascii="Times New Roman" w:eastAsia="Times New Roman" w:hAnsi="Symbol" w:cs="Times New Roman"/>
          <w:sz w:val="24"/>
          <w:szCs w:val="24"/>
        </w:rPr>
        <w:t></w:t>
      </w:r>
      <w:r w:rsidR="00C806C7"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The</w:t>
      </w:r>
      <w:r w:rsidR="008A49BC" w:rsidRPr="00EA38DE">
        <w:rPr>
          <w:rFonts w:ascii="Times New Roman" w:eastAsia="Times New Roman" w:hAnsi="Times New Roman" w:cs="Times New Roman"/>
          <w:sz w:val="24"/>
          <w:szCs w:val="24"/>
        </w:rPr>
        <w:t xml:space="preserve"> </w:t>
      </w:r>
      <w:r w:rsidR="008A49BC" w:rsidRPr="00EA38DE">
        <w:rPr>
          <w:rFonts w:ascii="Times New Roman" w:eastAsia="Times New Roman" w:hAnsi="Times New Roman" w:cs="Times New Roman"/>
          <w:bCs/>
          <w:sz w:val="24"/>
          <w:szCs w:val="24"/>
        </w:rPr>
        <w:t>second digit</w:t>
      </w:r>
      <w:r w:rsidR="008A49BC" w:rsidRPr="00EA38DE">
        <w:rPr>
          <w:rFonts w:ascii="Times New Roman" w:eastAsia="Times New Roman" w:hAnsi="Times New Roman" w:cs="Times New Roman"/>
          <w:sz w:val="24"/>
          <w:szCs w:val="24"/>
        </w:rPr>
        <w:t xml:space="preserve"> refers to the </w:t>
      </w:r>
      <w:r w:rsidR="008A49BC" w:rsidRPr="00EA38DE">
        <w:rPr>
          <w:rFonts w:ascii="Times New Roman" w:eastAsia="Times New Roman" w:hAnsi="Times New Roman" w:cs="Times New Roman"/>
          <w:bCs/>
          <w:sz w:val="24"/>
          <w:szCs w:val="24"/>
        </w:rPr>
        <w:t>position/order</w:t>
      </w:r>
      <w:r w:rsidR="008A49BC" w:rsidRPr="00EA38DE">
        <w:rPr>
          <w:rFonts w:ascii="Times New Roman" w:eastAsia="Times New Roman" w:hAnsi="Times New Roman" w:cs="Times New Roman"/>
          <w:sz w:val="24"/>
          <w:szCs w:val="24"/>
        </w:rPr>
        <w:t xml:space="preserve"> of the explanatory variable in that model.</w:t>
      </w:r>
    </w:p>
    <w:p w14:paraId="2CB0BB56" w14:textId="10E30127" w:rsidR="00B21884" w:rsidRPr="00EA38DE" w:rsidRDefault="00B21884" w:rsidP="00C806C7">
      <w:pPr>
        <w:spacing w:line="480" w:lineRule="auto"/>
        <w:rPr>
          <w:rFonts w:ascii="Times New Roman" w:hAnsi="Times New Roman" w:cs="Times New Roman"/>
          <w:b/>
          <w:bCs/>
          <w:sz w:val="24"/>
          <w:szCs w:val="24"/>
        </w:rPr>
      </w:pPr>
      <w:r w:rsidRPr="00EA38DE">
        <w:rPr>
          <w:rFonts w:ascii="Times New Roman" w:hAnsi="Times New Roman" w:cs="Times New Roman"/>
          <w:b/>
          <w:bCs/>
          <w:sz w:val="24"/>
          <w:szCs w:val="24"/>
        </w:rPr>
        <w:t>3.</w:t>
      </w:r>
      <w:r w:rsidR="000F5D19" w:rsidRPr="00EA38DE">
        <w:rPr>
          <w:rFonts w:ascii="Times New Roman" w:hAnsi="Times New Roman" w:cs="Times New Roman"/>
          <w:b/>
          <w:bCs/>
          <w:sz w:val="24"/>
          <w:szCs w:val="24"/>
        </w:rPr>
        <w:t>8</w:t>
      </w:r>
      <w:r w:rsidR="00A15C92" w:rsidRPr="00EA38DE">
        <w:rPr>
          <w:rFonts w:ascii="Times New Roman" w:hAnsi="Times New Roman" w:cs="Times New Roman"/>
          <w:b/>
          <w:bCs/>
          <w:sz w:val="24"/>
          <w:szCs w:val="24"/>
        </w:rPr>
        <w:tab/>
      </w:r>
      <w:r w:rsidRPr="00EA38DE">
        <w:rPr>
          <w:rFonts w:ascii="Times New Roman" w:hAnsi="Times New Roman" w:cs="Times New Roman"/>
          <w:b/>
          <w:bCs/>
          <w:sz w:val="24"/>
          <w:szCs w:val="24"/>
        </w:rPr>
        <w:t xml:space="preserve">Measurement of </w:t>
      </w:r>
      <w:r w:rsidR="00A45497" w:rsidRPr="00EA38DE">
        <w:rPr>
          <w:rFonts w:ascii="Times New Roman" w:hAnsi="Times New Roman" w:cs="Times New Roman"/>
          <w:b/>
          <w:bCs/>
          <w:sz w:val="24"/>
          <w:szCs w:val="24"/>
        </w:rPr>
        <w:t>Variables</w:t>
      </w:r>
    </w:p>
    <w:p w14:paraId="130F9F32" w14:textId="77777777" w:rsidR="00B21884" w:rsidRPr="00EA38DE" w:rsidRDefault="00B21884" w:rsidP="00C806C7">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Table 3.1 highlights the variables, their measurement and various sources of data.</w:t>
      </w:r>
    </w:p>
    <w:p w14:paraId="595B098B" w14:textId="2E9EAC63" w:rsidR="00B21884" w:rsidRPr="00EA38DE" w:rsidRDefault="00B21884" w:rsidP="00164181">
      <w:pPr>
        <w:spacing w:after="0" w:line="24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Table 3.1</w:t>
      </w:r>
      <w:r w:rsidR="00C806C7" w:rsidRPr="00EA38DE">
        <w:rPr>
          <w:rFonts w:ascii="Times New Roman" w:hAnsi="Times New Roman" w:cs="Times New Roman"/>
          <w:b/>
          <w:bCs/>
          <w:sz w:val="24"/>
          <w:szCs w:val="24"/>
        </w:rPr>
        <w:t>:</w:t>
      </w:r>
      <w:r w:rsidRPr="00EA38DE">
        <w:rPr>
          <w:rFonts w:ascii="Times New Roman" w:hAnsi="Times New Roman" w:cs="Times New Roman"/>
          <w:b/>
          <w:bCs/>
          <w:sz w:val="24"/>
          <w:szCs w:val="24"/>
        </w:rPr>
        <w:t xml:space="preserve"> Variables, Measurement and Source of Data</w:t>
      </w:r>
    </w:p>
    <w:tbl>
      <w:tblPr>
        <w:tblStyle w:val="TableGrid"/>
        <w:tblW w:w="0" w:type="auto"/>
        <w:tblLook w:val="04A0" w:firstRow="1" w:lastRow="0" w:firstColumn="1" w:lastColumn="0" w:noHBand="0" w:noVBand="1"/>
      </w:tblPr>
      <w:tblGrid>
        <w:gridCol w:w="456"/>
        <w:gridCol w:w="1919"/>
        <w:gridCol w:w="2883"/>
        <w:gridCol w:w="2411"/>
        <w:gridCol w:w="1681"/>
      </w:tblGrid>
      <w:tr w:rsidR="00EA38DE" w:rsidRPr="00EA38DE" w14:paraId="2BCEBC8A" w14:textId="62A8579C" w:rsidTr="00CC4337">
        <w:tc>
          <w:tcPr>
            <w:tcW w:w="2375" w:type="dxa"/>
            <w:gridSpan w:val="2"/>
          </w:tcPr>
          <w:p w14:paraId="253A101D" w14:textId="3F88EF0B" w:rsidR="0032713F" w:rsidRPr="00EA38DE" w:rsidRDefault="00CC4337" w:rsidP="0032713F">
            <w:pPr>
              <w:spacing w:line="276" w:lineRule="auto"/>
              <w:rPr>
                <w:rFonts w:ascii="Times New Roman" w:hAnsi="Times New Roman"/>
                <w:b/>
                <w:bCs/>
                <w:sz w:val="24"/>
                <w:szCs w:val="24"/>
              </w:rPr>
            </w:pPr>
            <w:r w:rsidRPr="00EA38DE">
              <w:rPr>
                <w:rFonts w:ascii="Times New Roman" w:hAnsi="Times New Roman"/>
                <w:b/>
                <w:bCs/>
                <w:sz w:val="24"/>
                <w:szCs w:val="24"/>
              </w:rPr>
              <w:t xml:space="preserve">S/N </w:t>
            </w:r>
            <w:r w:rsidR="0032713F" w:rsidRPr="00EA38DE">
              <w:rPr>
                <w:rFonts w:ascii="Times New Roman" w:hAnsi="Times New Roman"/>
                <w:b/>
                <w:bCs/>
                <w:sz w:val="24"/>
                <w:szCs w:val="24"/>
              </w:rPr>
              <w:t xml:space="preserve">  </w:t>
            </w:r>
            <w:r w:rsidRPr="00EA38DE">
              <w:rPr>
                <w:rFonts w:ascii="Times New Roman" w:hAnsi="Times New Roman"/>
                <w:b/>
                <w:bCs/>
                <w:sz w:val="24"/>
                <w:szCs w:val="24"/>
              </w:rPr>
              <w:t>/</w:t>
            </w:r>
            <w:r w:rsidR="0032713F" w:rsidRPr="00EA38DE">
              <w:rPr>
                <w:rFonts w:ascii="Times New Roman" w:hAnsi="Times New Roman"/>
                <w:b/>
                <w:bCs/>
                <w:sz w:val="24"/>
                <w:szCs w:val="24"/>
              </w:rPr>
              <w:t xml:space="preserve">    </w:t>
            </w:r>
            <w:r w:rsidRPr="00EA38DE">
              <w:rPr>
                <w:rFonts w:ascii="Times New Roman" w:hAnsi="Times New Roman"/>
                <w:b/>
                <w:bCs/>
                <w:sz w:val="24"/>
                <w:szCs w:val="24"/>
              </w:rPr>
              <w:t xml:space="preserve"> Study </w:t>
            </w:r>
            <w:r w:rsidR="0032713F" w:rsidRPr="00EA38DE">
              <w:rPr>
                <w:rFonts w:ascii="Times New Roman" w:hAnsi="Times New Roman"/>
                <w:b/>
                <w:bCs/>
                <w:sz w:val="24"/>
                <w:szCs w:val="24"/>
              </w:rPr>
              <w:t xml:space="preserve">     </w:t>
            </w:r>
          </w:p>
          <w:p w14:paraId="148A052C" w14:textId="03474FEB" w:rsidR="00CC4337" w:rsidRPr="00EA38DE" w:rsidRDefault="0032713F" w:rsidP="0032713F">
            <w:pPr>
              <w:spacing w:line="276" w:lineRule="auto"/>
              <w:rPr>
                <w:rFonts w:ascii="Times New Roman" w:hAnsi="Times New Roman"/>
                <w:b/>
                <w:bCs/>
                <w:sz w:val="24"/>
                <w:szCs w:val="24"/>
              </w:rPr>
            </w:pPr>
            <w:r w:rsidRPr="00EA38DE">
              <w:rPr>
                <w:rFonts w:ascii="Times New Roman" w:hAnsi="Times New Roman"/>
                <w:b/>
                <w:bCs/>
                <w:sz w:val="24"/>
                <w:szCs w:val="24"/>
              </w:rPr>
              <w:t xml:space="preserve">             </w:t>
            </w:r>
            <w:r w:rsidR="00CC4337" w:rsidRPr="00EA38DE">
              <w:rPr>
                <w:rFonts w:ascii="Times New Roman" w:hAnsi="Times New Roman"/>
                <w:b/>
                <w:bCs/>
                <w:sz w:val="24"/>
                <w:szCs w:val="24"/>
              </w:rPr>
              <w:t>Variables</w:t>
            </w:r>
          </w:p>
        </w:tc>
        <w:tc>
          <w:tcPr>
            <w:tcW w:w="2883" w:type="dxa"/>
          </w:tcPr>
          <w:p w14:paraId="0DF51D23" w14:textId="77777777" w:rsidR="00CC4337" w:rsidRPr="00EA38DE" w:rsidRDefault="00CC4337" w:rsidP="00CB10A8">
            <w:pPr>
              <w:spacing w:line="276" w:lineRule="auto"/>
              <w:jc w:val="both"/>
              <w:rPr>
                <w:rFonts w:ascii="Times New Roman" w:hAnsi="Times New Roman"/>
                <w:b/>
                <w:bCs/>
                <w:sz w:val="24"/>
                <w:szCs w:val="24"/>
              </w:rPr>
            </w:pPr>
            <w:r w:rsidRPr="00EA38DE">
              <w:rPr>
                <w:rFonts w:ascii="Times New Roman" w:hAnsi="Times New Roman"/>
                <w:b/>
                <w:bCs/>
                <w:sz w:val="24"/>
                <w:szCs w:val="24"/>
              </w:rPr>
              <w:t>Description/Measurement</w:t>
            </w:r>
          </w:p>
        </w:tc>
        <w:tc>
          <w:tcPr>
            <w:tcW w:w="2411" w:type="dxa"/>
          </w:tcPr>
          <w:p w14:paraId="0F6B8B61" w14:textId="77777777" w:rsidR="00CC4337" w:rsidRPr="00EA38DE" w:rsidRDefault="00CC4337" w:rsidP="00CB10A8">
            <w:pPr>
              <w:spacing w:line="276" w:lineRule="auto"/>
              <w:jc w:val="both"/>
              <w:rPr>
                <w:rFonts w:ascii="Times New Roman" w:hAnsi="Times New Roman"/>
                <w:b/>
                <w:bCs/>
                <w:sz w:val="24"/>
                <w:szCs w:val="24"/>
              </w:rPr>
            </w:pPr>
            <w:r w:rsidRPr="00EA38DE">
              <w:rPr>
                <w:rFonts w:ascii="Times New Roman" w:hAnsi="Times New Roman"/>
                <w:b/>
                <w:bCs/>
                <w:sz w:val="24"/>
                <w:szCs w:val="24"/>
              </w:rPr>
              <w:t>Sources of Data</w:t>
            </w:r>
          </w:p>
        </w:tc>
        <w:tc>
          <w:tcPr>
            <w:tcW w:w="1681" w:type="dxa"/>
          </w:tcPr>
          <w:p w14:paraId="6F35EED6" w14:textId="6075EAA7" w:rsidR="00CC4337" w:rsidRPr="00EA38DE" w:rsidRDefault="004167ED" w:rsidP="00CB10A8">
            <w:pPr>
              <w:spacing w:line="276" w:lineRule="auto"/>
              <w:jc w:val="both"/>
              <w:rPr>
                <w:rFonts w:ascii="Times New Roman" w:hAnsi="Times New Roman"/>
                <w:b/>
                <w:bCs/>
                <w:sz w:val="24"/>
                <w:szCs w:val="24"/>
              </w:rPr>
            </w:pPr>
            <w:r w:rsidRPr="00EA38DE">
              <w:rPr>
                <w:rFonts w:ascii="Times New Roman" w:hAnsi="Times New Roman"/>
                <w:b/>
                <w:bCs/>
                <w:sz w:val="24"/>
                <w:szCs w:val="24"/>
              </w:rPr>
              <w:t>Research Studies that have used the Measurement</w:t>
            </w:r>
          </w:p>
        </w:tc>
      </w:tr>
      <w:tr w:rsidR="00EA38DE" w:rsidRPr="00EA38DE" w14:paraId="394B975B" w14:textId="0318688E" w:rsidTr="00CC4337">
        <w:tc>
          <w:tcPr>
            <w:tcW w:w="7669" w:type="dxa"/>
            <w:gridSpan w:val="4"/>
          </w:tcPr>
          <w:p w14:paraId="3523CBBB" w14:textId="77777777" w:rsidR="00CC4337" w:rsidRPr="00EA38DE" w:rsidRDefault="00CC4337" w:rsidP="00CB10A8">
            <w:pPr>
              <w:spacing w:line="276" w:lineRule="auto"/>
              <w:jc w:val="both"/>
              <w:rPr>
                <w:rFonts w:ascii="Times New Roman" w:hAnsi="Times New Roman"/>
                <w:b/>
                <w:bCs/>
                <w:sz w:val="24"/>
                <w:szCs w:val="24"/>
              </w:rPr>
            </w:pPr>
            <w:r w:rsidRPr="00EA38DE">
              <w:rPr>
                <w:rFonts w:ascii="Times New Roman" w:hAnsi="Times New Roman"/>
                <w:b/>
                <w:bCs/>
                <w:sz w:val="24"/>
                <w:szCs w:val="24"/>
              </w:rPr>
              <w:t>Dependent Variables</w:t>
            </w:r>
          </w:p>
        </w:tc>
        <w:tc>
          <w:tcPr>
            <w:tcW w:w="1681" w:type="dxa"/>
          </w:tcPr>
          <w:p w14:paraId="5A6FB6C6" w14:textId="77777777" w:rsidR="00CC4337" w:rsidRPr="00EA38DE" w:rsidRDefault="00CC4337" w:rsidP="00CB10A8">
            <w:pPr>
              <w:spacing w:line="276" w:lineRule="auto"/>
              <w:jc w:val="both"/>
              <w:rPr>
                <w:rFonts w:ascii="Times New Roman" w:hAnsi="Times New Roman"/>
                <w:b/>
                <w:bCs/>
                <w:sz w:val="24"/>
                <w:szCs w:val="24"/>
              </w:rPr>
            </w:pPr>
          </w:p>
        </w:tc>
      </w:tr>
      <w:tr w:rsidR="00EA38DE" w:rsidRPr="00EA38DE" w14:paraId="54EB7128" w14:textId="0AC3A3B3" w:rsidTr="00CC4337">
        <w:tc>
          <w:tcPr>
            <w:tcW w:w="7669" w:type="dxa"/>
            <w:gridSpan w:val="4"/>
          </w:tcPr>
          <w:p w14:paraId="23FA5068" w14:textId="77777777" w:rsidR="00CC4337" w:rsidRPr="00EA38DE" w:rsidRDefault="00CC4337" w:rsidP="00CB10A8">
            <w:pPr>
              <w:spacing w:line="276" w:lineRule="auto"/>
              <w:jc w:val="both"/>
              <w:rPr>
                <w:rFonts w:ascii="Times New Roman" w:hAnsi="Times New Roman"/>
                <w:b/>
                <w:bCs/>
                <w:sz w:val="24"/>
                <w:szCs w:val="24"/>
              </w:rPr>
            </w:pPr>
            <w:r w:rsidRPr="00EA38DE">
              <w:rPr>
                <w:rFonts w:ascii="Times New Roman" w:hAnsi="Times New Roman"/>
                <w:b/>
                <w:bCs/>
                <w:sz w:val="24"/>
                <w:szCs w:val="24"/>
              </w:rPr>
              <w:t>Financial Performance of Shipping Industry</w:t>
            </w:r>
          </w:p>
        </w:tc>
        <w:tc>
          <w:tcPr>
            <w:tcW w:w="1681" w:type="dxa"/>
          </w:tcPr>
          <w:p w14:paraId="0E6BC560" w14:textId="77777777" w:rsidR="00CC4337" w:rsidRPr="00EA38DE" w:rsidRDefault="00CC4337" w:rsidP="00CB10A8">
            <w:pPr>
              <w:spacing w:line="276" w:lineRule="auto"/>
              <w:jc w:val="both"/>
              <w:rPr>
                <w:rFonts w:ascii="Times New Roman" w:hAnsi="Times New Roman"/>
                <w:b/>
                <w:bCs/>
                <w:sz w:val="24"/>
                <w:szCs w:val="24"/>
              </w:rPr>
            </w:pPr>
          </w:p>
        </w:tc>
      </w:tr>
      <w:tr w:rsidR="00EA38DE" w:rsidRPr="00EA38DE" w14:paraId="75136E42" w14:textId="577FA1F4" w:rsidTr="00CC4337">
        <w:tc>
          <w:tcPr>
            <w:tcW w:w="456" w:type="dxa"/>
          </w:tcPr>
          <w:p w14:paraId="67610164"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1</w:t>
            </w:r>
          </w:p>
        </w:tc>
        <w:tc>
          <w:tcPr>
            <w:tcW w:w="1919" w:type="dxa"/>
          </w:tcPr>
          <w:p w14:paraId="0F7F4ED2" w14:textId="6CC16FAE" w:rsidR="00CC4337" w:rsidRPr="00EA38DE" w:rsidRDefault="00CC4337" w:rsidP="00B41791">
            <w:pPr>
              <w:spacing w:line="276" w:lineRule="auto"/>
              <w:rPr>
                <w:rFonts w:ascii="Times New Roman" w:hAnsi="Times New Roman"/>
                <w:sz w:val="24"/>
                <w:szCs w:val="24"/>
              </w:rPr>
            </w:pPr>
            <w:r w:rsidRPr="00EA38DE">
              <w:rPr>
                <w:rFonts w:ascii="Times New Roman" w:hAnsi="Times New Roman"/>
                <w:sz w:val="24"/>
                <w:szCs w:val="24"/>
              </w:rPr>
              <w:t xml:space="preserve">Container through put </w:t>
            </w:r>
            <w:r w:rsidR="003B2DEC" w:rsidRPr="00EA38DE">
              <w:rPr>
                <w:rFonts w:ascii="Times New Roman" w:hAnsi="Times New Roman"/>
                <w:sz w:val="24"/>
                <w:szCs w:val="24"/>
              </w:rPr>
              <w:t>revenue (CTP)</w:t>
            </w:r>
          </w:p>
        </w:tc>
        <w:tc>
          <w:tcPr>
            <w:tcW w:w="2883" w:type="dxa"/>
          </w:tcPr>
          <w:p w14:paraId="21FF7A93" w14:textId="03FF1550"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Total Throughput = Total Containers Handled</w:t>
            </w:r>
            <w:r w:rsidR="005074D6" w:rsidRPr="00EA38DE">
              <w:rPr>
                <w:rFonts w:ascii="Times New Roman" w:hAnsi="Times New Roman"/>
                <w:sz w:val="24"/>
                <w:szCs w:val="24"/>
              </w:rPr>
              <w:t>.</w:t>
            </w:r>
            <w:r w:rsidRPr="00EA38DE">
              <w:rPr>
                <w:rFonts w:ascii="Times New Roman" w:hAnsi="Times New Roman"/>
                <w:sz w:val="24"/>
                <w:szCs w:val="24"/>
              </w:rPr>
              <w:t xml:space="preserve"> </w:t>
            </w:r>
          </w:p>
        </w:tc>
        <w:tc>
          <w:tcPr>
            <w:tcW w:w="2411" w:type="dxa"/>
          </w:tcPr>
          <w:p w14:paraId="610E1A4A" w14:textId="2F9BC833" w:rsidR="00CC4337" w:rsidRPr="00EA38DE" w:rsidRDefault="00643999" w:rsidP="00B41791">
            <w:pPr>
              <w:spacing w:line="276" w:lineRule="auto"/>
              <w:rPr>
                <w:rFonts w:ascii="Times New Roman" w:hAnsi="Times New Roman"/>
                <w:sz w:val="24"/>
                <w:szCs w:val="24"/>
              </w:rPr>
            </w:pPr>
            <w:r w:rsidRPr="00EA38DE">
              <w:rPr>
                <w:rFonts w:ascii="Times New Roman" w:hAnsi="Times New Roman"/>
                <w:sz w:val="24"/>
                <w:szCs w:val="24"/>
              </w:rPr>
              <w:t xml:space="preserve">World Bank Development Indicator. </w:t>
            </w:r>
          </w:p>
        </w:tc>
        <w:tc>
          <w:tcPr>
            <w:tcW w:w="1681" w:type="dxa"/>
          </w:tcPr>
          <w:p w14:paraId="567502AD" w14:textId="48790A4C" w:rsidR="00CC4337" w:rsidRPr="00EA38DE" w:rsidRDefault="004167ED" w:rsidP="0032713F">
            <w:pPr>
              <w:spacing w:line="276" w:lineRule="auto"/>
              <w:rPr>
                <w:rFonts w:ascii="Times New Roman" w:hAnsi="Times New Roman"/>
                <w:sz w:val="24"/>
                <w:szCs w:val="24"/>
              </w:rPr>
            </w:pPr>
            <w:r w:rsidRPr="00EA38DE">
              <w:rPr>
                <w:rFonts w:ascii="Times New Roman" w:hAnsi="Times New Roman"/>
                <w:sz w:val="24"/>
                <w:szCs w:val="24"/>
              </w:rPr>
              <w:t xml:space="preserve">Allen &amp; McAleer, </w:t>
            </w:r>
            <w:r w:rsidR="006759AD" w:rsidRPr="00EA38DE">
              <w:rPr>
                <w:rFonts w:ascii="Times New Roman" w:hAnsi="Times New Roman"/>
                <w:sz w:val="24"/>
                <w:szCs w:val="24"/>
              </w:rPr>
              <w:t>(</w:t>
            </w:r>
            <w:r w:rsidRPr="00EA38DE">
              <w:rPr>
                <w:rFonts w:ascii="Times New Roman" w:hAnsi="Times New Roman"/>
                <w:sz w:val="24"/>
                <w:szCs w:val="24"/>
              </w:rPr>
              <w:t>2020)</w:t>
            </w:r>
          </w:p>
        </w:tc>
      </w:tr>
      <w:tr w:rsidR="00EA38DE" w:rsidRPr="00EA38DE" w14:paraId="1D1075DE" w14:textId="61F49C69" w:rsidTr="00CC4337">
        <w:tc>
          <w:tcPr>
            <w:tcW w:w="456" w:type="dxa"/>
          </w:tcPr>
          <w:p w14:paraId="0579D0F7"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2</w:t>
            </w:r>
          </w:p>
        </w:tc>
        <w:tc>
          <w:tcPr>
            <w:tcW w:w="1919" w:type="dxa"/>
          </w:tcPr>
          <w:p w14:paraId="2D52584B" w14:textId="590B6F52" w:rsidR="00CC4337" w:rsidRPr="00EA38DE" w:rsidRDefault="00CC4337" w:rsidP="00B41791">
            <w:pPr>
              <w:spacing w:line="276" w:lineRule="auto"/>
              <w:rPr>
                <w:rFonts w:ascii="Times New Roman" w:hAnsi="Times New Roman"/>
                <w:sz w:val="24"/>
                <w:szCs w:val="24"/>
              </w:rPr>
            </w:pPr>
            <w:r w:rsidRPr="00EA38DE">
              <w:rPr>
                <w:rFonts w:ascii="Times New Roman" w:hAnsi="Times New Roman"/>
                <w:sz w:val="24"/>
                <w:szCs w:val="24"/>
              </w:rPr>
              <w:t>Shipping Cost</w:t>
            </w:r>
            <w:r w:rsidR="003C7BE9" w:rsidRPr="00EA38DE">
              <w:rPr>
                <w:rFonts w:ascii="Times New Roman" w:hAnsi="Times New Roman"/>
                <w:sz w:val="24"/>
                <w:szCs w:val="24"/>
              </w:rPr>
              <w:t xml:space="preserve"> (SHP)</w:t>
            </w:r>
          </w:p>
        </w:tc>
        <w:tc>
          <w:tcPr>
            <w:tcW w:w="2883" w:type="dxa"/>
          </w:tcPr>
          <w:p w14:paraId="4B11F070" w14:textId="6BE13F8E"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 xml:space="preserve">Total Shipping Cost/ </w:t>
            </w:r>
            <w:r w:rsidR="003C7BE9" w:rsidRPr="00EA38DE">
              <w:rPr>
                <w:rFonts w:ascii="Times New Roman" w:hAnsi="Times New Roman"/>
                <w:sz w:val="24"/>
                <w:szCs w:val="24"/>
              </w:rPr>
              <w:t>Total Shipped</w:t>
            </w:r>
            <w:r w:rsidR="005074D6" w:rsidRPr="00EA38DE">
              <w:rPr>
                <w:rFonts w:ascii="Times New Roman" w:hAnsi="Times New Roman"/>
                <w:sz w:val="24"/>
                <w:szCs w:val="24"/>
              </w:rPr>
              <w:t>.</w:t>
            </w:r>
          </w:p>
        </w:tc>
        <w:tc>
          <w:tcPr>
            <w:tcW w:w="2411" w:type="dxa"/>
          </w:tcPr>
          <w:p w14:paraId="0A41E590" w14:textId="4AA9A5F4" w:rsidR="00CC4337" w:rsidRPr="00EA38DE" w:rsidRDefault="00CC4337" w:rsidP="00B41791">
            <w:pPr>
              <w:spacing w:line="276" w:lineRule="auto"/>
              <w:rPr>
                <w:rFonts w:ascii="Times New Roman" w:hAnsi="Times New Roman"/>
                <w:sz w:val="24"/>
                <w:szCs w:val="24"/>
              </w:rPr>
            </w:pPr>
            <w:r w:rsidRPr="00EA38DE">
              <w:rPr>
                <w:rFonts w:ascii="Times New Roman" w:hAnsi="Times New Roman"/>
                <w:sz w:val="24"/>
                <w:szCs w:val="24"/>
              </w:rPr>
              <w:t xml:space="preserve">Drewry Shipping Consultants (Drewry’s World Container Index) Freights (digital freight forwarding platforms also provide this data) </w:t>
            </w:r>
            <w:r w:rsidRPr="00EA38DE">
              <w:rPr>
                <w:rFonts w:ascii="Times New Roman" w:hAnsi="Times New Roman"/>
                <w:sz w:val="24"/>
                <w:szCs w:val="24"/>
              </w:rPr>
              <w:lastRenderedPageBreak/>
              <w:t>BIMCO (International Shipping Association)</w:t>
            </w:r>
            <w:r w:rsidRPr="00EA38DE">
              <w:rPr>
                <w:rFonts w:ascii="Times New Roman" w:eastAsia="Times New Roman" w:hAnsi="Times New Roman"/>
                <w:sz w:val="24"/>
                <w:szCs w:val="24"/>
              </w:rPr>
              <w:t xml:space="preserve"> </w:t>
            </w:r>
          </w:p>
        </w:tc>
        <w:tc>
          <w:tcPr>
            <w:tcW w:w="1681" w:type="dxa"/>
          </w:tcPr>
          <w:p w14:paraId="002141C3" w14:textId="35F2F877" w:rsidR="00CC4337" w:rsidRPr="00EA38DE" w:rsidRDefault="004167ED" w:rsidP="0032713F">
            <w:pPr>
              <w:spacing w:line="276" w:lineRule="auto"/>
              <w:rPr>
                <w:rFonts w:ascii="Times New Roman" w:hAnsi="Times New Roman"/>
                <w:sz w:val="24"/>
                <w:szCs w:val="24"/>
              </w:rPr>
            </w:pPr>
            <w:r w:rsidRPr="00EA38DE">
              <w:rPr>
                <w:rFonts w:ascii="Times New Roman" w:hAnsi="Times New Roman"/>
                <w:sz w:val="24"/>
                <w:szCs w:val="24"/>
              </w:rPr>
              <w:lastRenderedPageBreak/>
              <w:t xml:space="preserve">Allen &amp; McAleer, </w:t>
            </w:r>
            <w:r w:rsidR="006759AD" w:rsidRPr="00EA38DE">
              <w:rPr>
                <w:rFonts w:ascii="Times New Roman" w:hAnsi="Times New Roman"/>
                <w:sz w:val="24"/>
                <w:szCs w:val="24"/>
              </w:rPr>
              <w:t>(</w:t>
            </w:r>
            <w:r w:rsidRPr="00EA38DE">
              <w:rPr>
                <w:rFonts w:ascii="Times New Roman" w:hAnsi="Times New Roman"/>
                <w:sz w:val="24"/>
                <w:szCs w:val="24"/>
              </w:rPr>
              <w:t>2020)</w:t>
            </w:r>
          </w:p>
        </w:tc>
      </w:tr>
      <w:tr w:rsidR="00EA38DE" w:rsidRPr="00EA38DE" w14:paraId="3A07EEA9" w14:textId="16E4929C" w:rsidTr="00CC4337">
        <w:tc>
          <w:tcPr>
            <w:tcW w:w="456" w:type="dxa"/>
          </w:tcPr>
          <w:p w14:paraId="1B86941A"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3</w:t>
            </w:r>
          </w:p>
        </w:tc>
        <w:tc>
          <w:tcPr>
            <w:tcW w:w="1919" w:type="dxa"/>
          </w:tcPr>
          <w:p w14:paraId="14EC63BE" w14:textId="729E0091" w:rsidR="00CC4337" w:rsidRPr="00EA38DE" w:rsidRDefault="00CC4337" w:rsidP="00B41791">
            <w:pPr>
              <w:spacing w:line="276" w:lineRule="auto"/>
              <w:rPr>
                <w:rFonts w:ascii="Times New Roman" w:hAnsi="Times New Roman"/>
                <w:sz w:val="24"/>
                <w:szCs w:val="24"/>
              </w:rPr>
            </w:pPr>
            <w:r w:rsidRPr="00EA38DE">
              <w:rPr>
                <w:rFonts w:ascii="Times New Roman" w:hAnsi="Times New Roman"/>
                <w:sz w:val="24"/>
                <w:szCs w:val="24"/>
              </w:rPr>
              <w:t>Port revenue</w:t>
            </w:r>
            <w:r w:rsidR="003C7BE9" w:rsidRPr="00EA38DE">
              <w:rPr>
                <w:rFonts w:ascii="Times New Roman" w:hAnsi="Times New Roman"/>
                <w:sz w:val="24"/>
                <w:szCs w:val="24"/>
              </w:rPr>
              <w:t xml:space="preserve"> (POR)</w:t>
            </w:r>
          </w:p>
        </w:tc>
        <w:tc>
          <w:tcPr>
            <w:tcW w:w="2883" w:type="dxa"/>
          </w:tcPr>
          <w:p w14:paraId="4BBB2FA3" w14:textId="3B500BD8" w:rsidR="00CC4337" w:rsidRPr="00EA38DE" w:rsidRDefault="00CC4337" w:rsidP="00CB10A8">
            <w:pPr>
              <w:spacing w:line="276" w:lineRule="auto"/>
              <w:jc w:val="both"/>
              <w:rPr>
                <w:rFonts w:ascii="Times New Roman" w:hAnsi="Times New Roman"/>
                <w:sz w:val="24"/>
                <w:szCs w:val="24"/>
              </w:rPr>
            </w:pPr>
            <w:r w:rsidRPr="00EA38DE">
              <w:rPr>
                <w:rFonts w:ascii="Times New Roman" w:eastAsia="Times New Roman" w:hAnsi="Times New Roman"/>
                <w:sz w:val="24"/>
                <w:szCs w:val="24"/>
              </w:rPr>
              <w:t xml:space="preserve">Number of </w:t>
            </w:r>
            <w:r w:rsidR="00C65EE8" w:rsidRPr="00EA38DE">
              <w:rPr>
                <w:rFonts w:ascii="Times New Roman" w:eastAsia="Times New Roman" w:hAnsi="Times New Roman"/>
                <w:sz w:val="24"/>
                <w:szCs w:val="24"/>
              </w:rPr>
              <w:t>c</w:t>
            </w:r>
            <w:r w:rsidRPr="00EA38DE">
              <w:rPr>
                <w:rFonts w:ascii="Times New Roman" w:eastAsia="Times New Roman" w:hAnsi="Times New Roman"/>
                <w:sz w:val="24"/>
                <w:szCs w:val="24"/>
              </w:rPr>
              <w:t>ontainer ships calling at the ports</w:t>
            </w:r>
            <w:r w:rsidR="005074D6" w:rsidRPr="00EA38DE">
              <w:rPr>
                <w:rFonts w:ascii="Times New Roman" w:eastAsia="Times New Roman" w:hAnsi="Times New Roman"/>
                <w:sz w:val="24"/>
                <w:szCs w:val="24"/>
              </w:rPr>
              <w:t>.</w:t>
            </w:r>
          </w:p>
        </w:tc>
        <w:tc>
          <w:tcPr>
            <w:tcW w:w="2411" w:type="dxa"/>
          </w:tcPr>
          <w:p w14:paraId="671F6238" w14:textId="3815C62D" w:rsidR="00CC4337" w:rsidRPr="00EA38DE" w:rsidRDefault="00CC4337" w:rsidP="00B41791">
            <w:pPr>
              <w:spacing w:line="276" w:lineRule="auto"/>
              <w:rPr>
                <w:rFonts w:ascii="Times New Roman" w:hAnsi="Times New Roman"/>
                <w:sz w:val="24"/>
                <w:szCs w:val="24"/>
              </w:rPr>
            </w:pPr>
            <w:r w:rsidRPr="00EA38DE">
              <w:rPr>
                <w:rFonts w:ascii="Times New Roman" w:eastAsia="Times New Roman" w:hAnsi="Times New Roman"/>
                <w:bCs/>
                <w:sz w:val="24"/>
                <w:szCs w:val="24"/>
              </w:rPr>
              <w:t>UNCTAD</w:t>
            </w:r>
            <w:r w:rsidRPr="00EA38DE">
              <w:rPr>
                <w:rFonts w:ascii="Times New Roman" w:eastAsia="Times New Roman" w:hAnsi="Times New Roman"/>
                <w:sz w:val="24"/>
                <w:szCs w:val="24"/>
              </w:rPr>
              <w:t xml:space="preserve"> (United Nations Conference on Trade and Development).</w:t>
            </w:r>
            <w:r w:rsidRPr="00EA38DE">
              <w:rPr>
                <w:rFonts w:ascii="Times New Roman" w:eastAsia="Times New Roman" w:hAnsi="Times New Roman"/>
                <w:bCs/>
                <w:sz w:val="24"/>
                <w:szCs w:val="24"/>
              </w:rPr>
              <w:t xml:space="preserve"> </w:t>
            </w:r>
          </w:p>
        </w:tc>
        <w:tc>
          <w:tcPr>
            <w:tcW w:w="1681" w:type="dxa"/>
          </w:tcPr>
          <w:p w14:paraId="59D92A10" w14:textId="6260C859" w:rsidR="00CC4337" w:rsidRPr="00EA38DE" w:rsidRDefault="004167ED" w:rsidP="0032713F">
            <w:pPr>
              <w:spacing w:line="276" w:lineRule="auto"/>
              <w:rPr>
                <w:rFonts w:ascii="Times New Roman" w:eastAsia="Times New Roman" w:hAnsi="Times New Roman"/>
                <w:bCs/>
                <w:sz w:val="24"/>
                <w:szCs w:val="24"/>
              </w:rPr>
            </w:pPr>
            <w:r w:rsidRPr="00EA38DE">
              <w:rPr>
                <w:rFonts w:ascii="Times New Roman" w:hAnsi="Times New Roman"/>
                <w:sz w:val="24"/>
                <w:szCs w:val="24"/>
              </w:rPr>
              <w:t xml:space="preserve">Kanu &amp; Nwadiubu, </w:t>
            </w:r>
            <w:r w:rsidR="006759AD" w:rsidRPr="00EA38DE">
              <w:rPr>
                <w:rFonts w:ascii="Times New Roman" w:hAnsi="Times New Roman"/>
                <w:sz w:val="24"/>
                <w:szCs w:val="24"/>
              </w:rPr>
              <w:t>(</w:t>
            </w:r>
            <w:r w:rsidRPr="00EA38DE">
              <w:rPr>
                <w:rFonts w:ascii="Times New Roman" w:hAnsi="Times New Roman"/>
                <w:sz w:val="24"/>
                <w:szCs w:val="24"/>
              </w:rPr>
              <w:t>2020)</w:t>
            </w:r>
          </w:p>
        </w:tc>
      </w:tr>
      <w:tr w:rsidR="00EA38DE" w:rsidRPr="00EA38DE" w14:paraId="59642959" w14:textId="7B2F8347" w:rsidTr="00CC4337">
        <w:tc>
          <w:tcPr>
            <w:tcW w:w="456" w:type="dxa"/>
          </w:tcPr>
          <w:p w14:paraId="5D5BADF2" w14:textId="77777777" w:rsidR="00CC4337" w:rsidRPr="00EA38DE" w:rsidRDefault="00CC4337" w:rsidP="00CB10A8">
            <w:pPr>
              <w:spacing w:line="276" w:lineRule="auto"/>
              <w:jc w:val="both"/>
              <w:rPr>
                <w:rFonts w:ascii="Times New Roman" w:hAnsi="Times New Roman"/>
                <w:sz w:val="24"/>
                <w:szCs w:val="24"/>
              </w:rPr>
            </w:pPr>
          </w:p>
        </w:tc>
        <w:tc>
          <w:tcPr>
            <w:tcW w:w="7213" w:type="dxa"/>
            <w:gridSpan w:val="3"/>
          </w:tcPr>
          <w:p w14:paraId="212D13FA" w14:textId="77777777" w:rsidR="00CC4337" w:rsidRPr="00EA38DE" w:rsidRDefault="00CC4337" w:rsidP="00CB10A8">
            <w:pPr>
              <w:spacing w:line="276" w:lineRule="auto"/>
              <w:jc w:val="both"/>
              <w:rPr>
                <w:rFonts w:ascii="Times New Roman" w:hAnsi="Times New Roman"/>
                <w:b/>
                <w:bCs/>
                <w:sz w:val="24"/>
                <w:szCs w:val="24"/>
              </w:rPr>
            </w:pPr>
            <w:r w:rsidRPr="00EA38DE">
              <w:rPr>
                <w:rFonts w:ascii="Times New Roman" w:hAnsi="Times New Roman"/>
                <w:b/>
                <w:bCs/>
                <w:sz w:val="24"/>
                <w:szCs w:val="24"/>
              </w:rPr>
              <w:t>Independent Variables</w:t>
            </w:r>
          </w:p>
        </w:tc>
        <w:tc>
          <w:tcPr>
            <w:tcW w:w="1681" w:type="dxa"/>
          </w:tcPr>
          <w:p w14:paraId="68CC3A8B" w14:textId="77777777" w:rsidR="00CC4337" w:rsidRPr="00EA38DE" w:rsidRDefault="00CC4337" w:rsidP="00CB10A8">
            <w:pPr>
              <w:spacing w:line="276" w:lineRule="auto"/>
              <w:jc w:val="both"/>
              <w:rPr>
                <w:rFonts w:ascii="Times New Roman" w:hAnsi="Times New Roman"/>
                <w:b/>
                <w:bCs/>
                <w:sz w:val="24"/>
                <w:szCs w:val="24"/>
              </w:rPr>
            </w:pPr>
          </w:p>
        </w:tc>
      </w:tr>
      <w:tr w:rsidR="00EA38DE" w:rsidRPr="00EA38DE" w14:paraId="36F98353" w14:textId="7DEEDB28" w:rsidTr="00CC4337">
        <w:tc>
          <w:tcPr>
            <w:tcW w:w="456" w:type="dxa"/>
          </w:tcPr>
          <w:p w14:paraId="729318C4" w14:textId="77777777" w:rsidR="00CC4337" w:rsidRPr="00EA38DE" w:rsidRDefault="00CC4337" w:rsidP="00CB10A8">
            <w:pPr>
              <w:spacing w:line="276" w:lineRule="auto"/>
              <w:jc w:val="both"/>
              <w:rPr>
                <w:rFonts w:ascii="Times New Roman" w:hAnsi="Times New Roman"/>
                <w:sz w:val="24"/>
                <w:szCs w:val="24"/>
              </w:rPr>
            </w:pPr>
          </w:p>
        </w:tc>
        <w:tc>
          <w:tcPr>
            <w:tcW w:w="7213" w:type="dxa"/>
            <w:gridSpan w:val="3"/>
          </w:tcPr>
          <w:p w14:paraId="102A0474" w14:textId="77777777" w:rsidR="00CC4337" w:rsidRPr="00EA38DE" w:rsidRDefault="00CC4337" w:rsidP="00CB10A8">
            <w:pPr>
              <w:spacing w:line="276" w:lineRule="auto"/>
              <w:jc w:val="both"/>
              <w:rPr>
                <w:rFonts w:ascii="Times New Roman" w:hAnsi="Times New Roman"/>
                <w:b/>
                <w:bCs/>
                <w:sz w:val="24"/>
                <w:szCs w:val="24"/>
              </w:rPr>
            </w:pPr>
            <w:r w:rsidRPr="00EA38DE">
              <w:rPr>
                <w:rFonts w:ascii="Times New Roman" w:hAnsi="Times New Roman"/>
                <w:b/>
                <w:bCs/>
                <w:sz w:val="24"/>
                <w:szCs w:val="24"/>
              </w:rPr>
              <w:t>Blue Economy</w:t>
            </w:r>
          </w:p>
        </w:tc>
        <w:tc>
          <w:tcPr>
            <w:tcW w:w="1681" w:type="dxa"/>
          </w:tcPr>
          <w:p w14:paraId="4F5A869D" w14:textId="77777777" w:rsidR="00CC4337" w:rsidRPr="00EA38DE" w:rsidRDefault="00CC4337" w:rsidP="00CB10A8">
            <w:pPr>
              <w:spacing w:line="276" w:lineRule="auto"/>
              <w:jc w:val="both"/>
              <w:rPr>
                <w:rFonts w:ascii="Times New Roman" w:hAnsi="Times New Roman"/>
                <w:b/>
                <w:bCs/>
                <w:sz w:val="24"/>
                <w:szCs w:val="24"/>
              </w:rPr>
            </w:pPr>
          </w:p>
        </w:tc>
      </w:tr>
      <w:tr w:rsidR="00EA38DE" w:rsidRPr="00EA38DE" w14:paraId="69467023" w14:textId="5EEB2341" w:rsidTr="00CC4337">
        <w:tc>
          <w:tcPr>
            <w:tcW w:w="456" w:type="dxa"/>
          </w:tcPr>
          <w:p w14:paraId="1D2FCEF0"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4</w:t>
            </w:r>
          </w:p>
        </w:tc>
        <w:tc>
          <w:tcPr>
            <w:tcW w:w="1919" w:type="dxa"/>
          </w:tcPr>
          <w:p w14:paraId="4E22811D" w14:textId="3A2C1AA6"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Fisheries</w:t>
            </w:r>
            <w:r w:rsidR="003C7BE9" w:rsidRPr="00EA38DE">
              <w:rPr>
                <w:rFonts w:ascii="Times New Roman" w:hAnsi="Times New Roman"/>
                <w:sz w:val="24"/>
                <w:szCs w:val="24"/>
              </w:rPr>
              <w:t xml:space="preserve"> (FSH)</w:t>
            </w:r>
          </w:p>
        </w:tc>
        <w:tc>
          <w:tcPr>
            <w:tcW w:w="2883" w:type="dxa"/>
          </w:tcPr>
          <w:p w14:paraId="1CC00AA8" w14:textId="08E32E9F"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Total fisheries production (Metric ton)</w:t>
            </w:r>
            <w:r w:rsidR="005074D6" w:rsidRPr="00EA38DE">
              <w:rPr>
                <w:rFonts w:ascii="Times New Roman" w:hAnsi="Times New Roman"/>
                <w:sz w:val="24"/>
                <w:szCs w:val="24"/>
              </w:rPr>
              <w:t>.</w:t>
            </w:r>
          </w:p>
        </w:tc>
        <w:tc>
          <w:tcPr>
            <w:tcW w:w="2411" w:type="dxa"/>
          </w:tcPr>
          <w:p w14:paraId="0E658FB3" w14:textId="19E10B53" w:rsidR="00CC4337" w:rsidRPr="00EA38DE" w:rsidRDefault="00CC4337" w:rsidP="00164181">
            <w:pPr>
              <w:spacing w:line="276" w:lineRule="auto"/>
              <w:rPr>
                <w:rFonts w:ascii="Times New Roman" w:hAnsi="Times New Roman"/>
                <w:sz w:val="24"/>
                <w:szCs w:val="24"/>
              </w:rPr>
            </w:pPr>
            <w:r w:rsidRPr="00EA38DE">
              <w:rPr>
                <w:rFonts w:ascii="Times New Roman" w:eastAsia="Times New Roman" w:hAnsi="Times New Roman"/>
                <w:bCs/>
                <w:sz w:val="24"/>
                <w:szCs w:val="24"/>
              </w:rPr>
              <w:t xml:space="preserve">World </w:t>
            </w:r>
            <w:r w:rsidR="000D4651" w:rsidRPr="00EA38DE">
              <w:rPr>
                <w:rFonts w:ascii="Times New Roman" w:eastAsia="Times New Roman" w:hAnsi="Times New Roman"/>
                <w:bCs/>
                <w:sz w:val="24"/>
                <w:szCs w:val="24"/>
              </w:rPr>
              <w:t>B</w:t>
            </w:r>
            <w:r w:rsidRPr="00EA38DE">
              <w:rPr>
                <w:rFonts w:ascii="Times New Roman" w:eastAsia="Times New Roman" w:hAnsi="Times New Roman"/>
                <w:bCs/>
                <w:sz w:val="24"/>
                <w:szCs w:val="24"/>
              </w:rPr>
              <w:t xml:space="preserve">ank </w:t>
            </w:r>
            <w:r w:rsidR="000D4651" w:rsidRPr="00EA38DE">
              <w:rPr>
                <w:rFonts w:ascii="Times New Roman" w:eastAsia="Times New Roman" w:hAnsi="Times New Roman"/>
                <w:bCs/>
                <w:sz w:val="24"/>
                <w:szCs w:val="24"/>
              </w:rPr>
              <w:t>D</w:t>
            </w:r>
            <w:r w:rsidRPr="00EA38DE">
              <w:rPr>
                <w:rFonts w:ascii="Times New Roman" w:eastAsia="Times New Roman" w:hAnsi="Times New Roman"/>
                <w:bCs/>
                <w:sz w:val="24"/>
                <w:szCs w:val="24"/>
              </w:rPr>
              <w:t>ata (2023)</w:t>
            </w:r>
            <w:r w:rsidRPr="00EA38DE">
              <w:rPr>
                <w:rFonts w:ascii="Times New Roman" w:eastAsia="Times New Roman" w:hAnsi="Times New Roman"/>
                <w:sz w:val="24"/>
                <w:szCs w:val="24"/>
              </w:rPr>
              <w:t xml:space="preserve"> </w:t>
            </w:r>
          </w:p>
        </w:tc>
        <w:tc>
          <w:tcPr>
            <w:tcW w:w="1681" w:type="dxa"/>
          </w:tcPr>
          <w:p w14:paraId="7DB455DE" w14:textId="224778D8" w:rsidR="00CC4337" w:rsidRPr="00EA38DE" w:rsidRDefault="003B2DEC" w:rsidP="0032713F">
            <w:pPr>
              <w:spacing w:line="276" w:lineRule="auto"/>
              <w:rPr>
                <w:rFonts w:ascii="Times New Roman" w:eastAsia="Times New Roman" w:hAnsi="Times New Roman"/>
                <w:bCs/>
                <w:sz w:val="24"/>
                <w:szCs w:val="24"/>
              </w:rPr>
            </w:pPr>
            <w:r w:rsidRPr="00EA38DE">
              <w:rPr>
                <w:rFonts w:ascii="Times New Roman" w:hAnsi="Times New Roman"/>
                <w:sz w:val="24"/>
                <w:szCs w:val="24"/>
              </w:rPr>
              <w:t xml:space="preserve">Kanu &amp; Nwadiubu, </w:t>
            </w:r>
            <w:r w:rsidR="006759AD" w:rsidRPr="00EA38DE">
              <w:rPr>
                <w:rFonts w:ascii="Times New Roman" w:hAnsi="Times New Roman"/>
                <w:sz w:val="24"/>
                <w:szCs w:val="24"/>
              </w:rPr>
              <w:t>(</w:t>
            </w:r>
            <w:r w:rsidRPr="00EA38DE">
              <w:rPr>
                <w:rFonts w:ascii="Times New Roman" w:hAnsi="Times New Roman"/>
                <w:sz w:val="24"/>
                <w:szCs w:val="24"/>
              </w:rPr>
              <w:t>2020)</w:t>
            </w:r>
          </w:p>
        </w:tc>
      </w:tr>
      <w:tr w:rsidR="00EA38DE" w:rsidRPr="00EA38DE" w14:paraId="11948221" w14:textId="0A4F1D03" w:rsidTr="00CC4337">
        <w:tc>
          <w:tcPr>
            <w:tcW w:w="456" w:type="dxa"/>
          </w:tcPr>
          <w:p w14:paraId="4E48CBB3"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5</w:t>
            </w:r>
          </w:p>
        </w:tc>
        <w:tc>
          <w:tcPr>
            <w:tcW w:w="1919" w:type="dxa"/>
          </w:tcPr>
          <w:p w14:paraId="59BB7BD3" w14:textId="6269BA4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 xml:space="preserve">Aquaculture </w:t>
            </w:r>
            <w:r w:rsidR="003C7BE9" w:rsidRPr="00EA38DE">
              <w:rPr>
                <w:rFonts w:ascii="Times New Roman" w:hAnsi="Times New Roman"/>
                <w:sz w:val="24"/>
                <w:szCs w:val="24"/>
              </w:rPr>
              <w:t>(AQT)</w:t>
            </w:r>
          </w:p>
        </w:tc>
        <w:tc>
          <w:tcPr>
            <w:tcW w:w="2883" w:type="dxa"/>
          </w:tcPr>
          <w:p w14:paraId="088A39C7" w14:textId="0E803260"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Aquaculture production (metric ton)</w:t>
            </w:r>
            <w:r w:rsidR="005074D6" w:rsidRPr="00EA38DE">
              <w:rPr>
                <w:rFonts w:ascii="Times New Roman" w:hAnsi="Times New Roman"/>
                <w:sz w:val="24"/>
                <w:szCs w:val="24"/>
              </w:rPr>
              <w:t>.</w:t>
            </w:r>
          </w:p>
        </w:tc>
        <w:tc>
          <w:tcPr>
            <w:tcW w:w="2411" w:type="dxa"/>
          </w:tcPr>
          <w:p w14:paraId="39D73EE4" w14:textId="1EEE732E" w:rsidR="00CC4337" w:rsidRPr="00EA38DE" w:rsidRDefault="00CC4337" w:rsidP="00B41791">
            <w:pPr>
              <w:spacing w:line="276" w:lineRule="auto"/>
              <w:rPr>
                <w:rFonts w:ascii="Times New Roman" w:hAnsi="Times New Roman"/>
                <w:sz w:val="24"/>
                <w:szCs w:val="24"/>
              </w:rPr>
            </w:pPr>
            <w:r w:rsidRPr="00EA38DE">
              <w:rPr>
                <w:rFonts w:ascii="Times New Roman" w:eastAsia="Times New Roman" w:hAnsi="Times New Roman"/>
                <w:bCs/>
                <w:sz w:val="24"/>
                <w:szCs w:val="24"/>
              </w:rPr>
              <w:t xml:space="preserve">World </w:t>
            </w:r>
            <w:r w:rsidR="000D4651" w:rsidRPr="00EA38DE">
              <w:rPr>
                <w:rFonts w:ascii="Times New Roman" w:eastAsia="Times New Roman" w:hAnsi="Times New Roman"/>
                <w:bCs/>
                <w:sz w:val="24"/>
                <w:szCs w:val="24"/>
              </w:rPr>
              <w:t>B</w:t>
            </w:r>
            <w:r w:rsidRPr="00EA38DE">
              <w:rPr>
                <w:rFonts w:ascii="Times New Roman" w:eastAsia="Times New Roman" w:hAnsi="Times New Roman"/>
                <w:bCs/>
                <w:sz w:val="24"/>
                <w:szCs w:val="24"/>
              </w:rPr>
              <w:t xml:space="preserve">ank </w:t>
            </w:r>
            <w:r w:rsidR="000D4651" w:rsidRPr="00EA38DE">
              <w:rPr>
                <w:rFonts w:ascii="Times New Roman" w:eastAsia="Times New Roman" w:hAnsi="Times New Roman"/>
                <w:bCs/>
                <w:sz w:val="24"/>
                <w:szCs w:val="24"/>
              </w:rPr>
              <w:t>D</w:t>
            </w:r>
            <w:r w:rsidRPr="00EA38DE">
              <w:rPr>
                <w:rFonts w:ascii="Times New Roman" w:eastAsia="Times New Roman" w:hAnsi="Times New Roman"/>
                <w:bCs/>
                <w:sz w:val="24"/>
                <w:szCs w:val="24"/>
              </w:rPr>
              <w:t>ata</w:t>
            </w:r>
            <w:r w:rsidRPr="00EA38DE">
              <w:rPr>
                <w:rFonts w:ascii="Times New Roman" w:eastAsia="Times New Roman" w:hAnsi="Times New Roman"/>
                <w:sz w:val="24"/>
                <w:szCs w:val="24"/>
              </w:rPr>
              <w:t xml:space="preserve"> </w:t>
            </w:r>
            <w:r w:rsidRPr="00EA38DE">
              <w:rPr>
                <w:rFonts w:ascii="Times New Roman" w:eastAsia="Times New Roman" w:hAnsi="Times New Roman"/>
                <w:bCs/>
                <w:sz w:val="24"/>
                <w:szCs w:val="24"/>
              </w:rPr>
              <w:t>(2023)</w:t>
            </w:r>
            <w:r w:rsidR="003B2DEC" w:rsidRPr="00EA38DE">
              <w:rPr>
                <w:rFonts w:ascii="Times New Roman" w:eastAsia="Times New Roman" w:hAnsi="Times New Roman"/>
                <w:bCs/>
                <w:sz w:val="24"/>
                <w:szCs w:val="24"/>
              </w:rPr>
              <w:t>.</w:t>
            </w:r>
          </w:p>
        </w:tc>
        <w:tc>
          <w:tcPr>
            <w:tcW w:w="1681" w:type="dxa"/>
          </w:tcPr>
          <w:p w14:paraId="1818BD35" w14:textId="3F0ACC75" w:rsidR="00CC4337" w:rsidRPr="00EA38DE" w:rsidRDefault="003B2DEC" w:rsidP="00B41791">
            <w:pPr>
              <w:spacing w:line="276" w:lineRule="auto"/>
              <w:rPr>
                <w:rFonts w:ascii="Times New Roman" w:eastAsia="Times New Roman" w:hAnsi="Times New Roman"/>
                <w:bCs/>
                <w:sz w:val="24"/>
                <w:szCs w:val="24"/>
              </w:rPr>
            </w:pPr>
            <w:r w:rsidRPr="00EA38DE">
              <w:rPr>
                <w:rFonts w:ascii="Times New Roman" w:hAnsi="Times New Roman"/>
                <w:sz w:val="24"/>
                <w:szCs w:val="24"/>
              </w:rPr>
              <w:t xml:space="preserve">Kanu &amp; Nwadiubu, </w:t>
            </w:r>
            <w:r w:rsidR="006759AD" w:rsidRPr="00EA38DE">
              <w:rPr>
                <w:rFonts w:ascii="Times New Roman" w:hAnsi="Times New Roman"/>
                <w:sz w:val="24"/>
                <w:szCs w:val="24"/>
              </w:rPr>
              <w:t>(</w:t>
            </w:r>
            <w:r w:rsidRPr="00EA38DE">
              <w:rPr>
                <w:rFonts w:ascii="Times New Roman" w:hAnsi="Times New Roman"/>
                <w:sz w:val="24"/>
                <w:szCs w:val="24"/>
              </w:rPr>
              <w:t>2020)</w:t>
            </w:r>
          </w:p>
        </w:tc>
      </w:tr>
      <w:tr w:rsidR="00EA38DE" w:rsidRPr="00EA38DE" w14:paraId="276BDDB9" w14:textId="081F47D0" w:rsidTr="00CC4337">
        <w:tc>
          <w:tcPr>
            <w:tcW w:w="456" w:type="dxa"/>
          </w:tcPr>
          <w:p w14:paraId="0950E28A"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6</w:t>
            </w:r>
          </w:p>
        </w:tc>
        <w:tc>
          <w:tcPr>
            <w:tcW w:w="1919" w:type="dxa"/>
          </w:tcPr>
          <w:p w14:paraId="7F0F8499" w14:textId="4CC5ACB2"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Desalination</w:t>
            </w:r>
            <w:r w:rsidR="003C7BE9" w:rsidRPr="00EA38DE">
              <w:rPr>
                <w:rFonts w:ascii="Times New Roman" w:hAnsi="Times New Roman"/>
                <w:sz w:val="24"/>
                <w:szCs w:val="24"/>
              </w:rPr>
              <w:t xml:space="preserve"> (DLNT)</w:t>
            </w:r>
          </w:p>
        </w:tc>
        <w:tc>
          <w:tcPr>
            <w:tcW w:w="2883" w:type="dxa"/>
          </w:tcPr>
          <w:p w14:paraId="115ED1D4"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Annual fresh water withdrawals. Total (billion cubic meters)</w:t>
            </w:r>
          </w:p>
        </w:tc>
        <w:tc>
          <w:tcPr>
            <w:tcW w:w="2411" w:type="dxa"/>
          </w:tcPr>
          <w:p w14:paraId="7DA46962" w14:textId="6E0ACEC3" w:rsidR="00CC4337" w:rsidRPr="00EA38DE" w:rsidRDefault="00CC4337" w:rsidP="00B41791">
            <w:pPr>
              <w:spacing w:line="276" w:lineRule="auto"/>
              <w:rPr>
                <w:rFonts w:ascii="Times New Roman" w:hAnsi="Times New Roman"/>
                <w:sz w:val="24"/>
                <w:szCs w:val="24"/>
              </w:rPr>
            </w:pPr>
            <w:r w:rsidRPr="00EA38DE">
              <w:rPr>
                <w:rFonts w:ascii="Times New Roman" w:eastAsia="Times New Roman" w:hAnsi="Times New Roman"/>
                <w:sz w:val="24"/>
                <w:szCs w:val="24"/>
              </w:rPr>
              <w:t xml:space="preserve">World </w:t>
            </w:r>
            <w:r w:rsidR="000D4651" w:rsidRPr="00EA38DE">
              <w:rPr>
                <w:rFonts w:ascii="Times New Roman" w:eastAsia="Times New Roman" w:hAnsi="Times New Roman"/>
                <w:sz w:val="24"/>
                <w:szCs w:val="24"/>
              </w:rPr>
              <w:t>B</w:t>
            </w:r>
            <w:r w:rsidRPr="00EA38DE">
              <w:rPr>
                <w:rFonts w:ascii="Times New Roman" w:eastAsia="Times New Roman" w:hAnsi="Times New Roman"/>
                <w:sz w:val="24"/>
                <w:szCs w:val="24"/>
              </w:rPr>
              <w:t xml:space="preserve">ank </w:t>
            </w:r>
            <w:r w:rsidR="000D4651" w:rsidRPr="00EA38DE">
              <w:rPr>
                <w:rFonts w:ascii="Times New Roman" w:eastAsia="Times New Roman" w:hAnsi="Times New Roman"/>
                <w:sz w:val="24"/>
                <w:szCs w:val="24"/>
              </w:rPr>
              <w:t>D</w:t>
            </w:r>
            <w:r w:rsidRPr="00EA38DE">
              <w:rPr>
                <w:rFonts w:ascii="Times New Roman" w:eastAsia="Times New Roman" w:hAnsi="Times New Roman"/>
                <w:sz w:val="24"/>
                <w:szCs w:val="24"/>
              </w:rPr>
              <w:t xml:space="preserve">ata </w:t>
            </w:r>
            <w:r w:rsidRPr="00EA38DE">
              <w:rPr>
                <w:rFonts w:ascii="Times New Roman" w:eastAsia="Times New Roman" w:hAnsi="Times New Roman"/>
                <w:bCs/>
                <w:sz w:val="24"/>
                <w:szCs w:val="24"/>
              </w:rPr>
              <w:t>(2023)</w:t>
            </w:r>
            <w:r w:rsidR="003B2DEC" w:rsidRPr="00EA38DE">
              <w:rPr>
                <w:rFonts w:ascii="Times New Roman" w:eastAsia="Times New Roman" w:hAnsi="Times New Roman"/>
                <w:bCs/>
                <w:sz w:val="24"/>
                <w:szCs w:val="24"/>
              </w:rPr>
              <w:t>.</w:t>
            </w:r>
          </w:p>
        </w:tc>
        <w:tc>
          <w:tcPr>
            <w:tcW w:w="1681" w:type="dxa"/>
          </w:tcPr>
          <w:p w14:paraId="3312BAD3" w14:textId="1DF19197" w:rsidR="00CC4337" w:rsidRPr="00EA38DE" w:rsidRDefault="003B2DEC" w:rsidP="00B41791">
            <w:pPr>
              <w:spacing w:line="276" w:lineRule="auto"/>
              <w:rPr>
                <w:rFonts w:ascii="Times New Roman" w:eastAsia="Times New Roman" w:hAnsi="Times New Roman"/>
                <w:sz w:val="24"/>
                <w:szCs w:val="24"/>
              </w:rPr>
            </w:pPr>
            <w:r w:rsidRPr="00EA38DE">
              <w:rPr>
                <w:rFonts w:ascii="Times New Roman" w:hAnsi="Times New Roman"/>
                <w:sz w:val="24"/>
                <w:szCs w:val="24"/>
              </w:rPr>
              <w:t xml:space="preserve">Kanu &amp; Nwadiubu, </w:t>
            </w:r>
            <w:r w:rsidR="006759AD" w:rsidRPr="00EA38DE">
              <w:rPr>
                <w:rFonts w:ascii="Times New Roman" w:hAnsi="Times New Roman"/>
                <w:sz w:val="24"/>
                <w:szCs w:val="24"/>
              </w:rPr>
              <w:t>(</w:t>
            </w:r>
            <w:r w:rsidRPr="00EA38DE">
              <w:rPr>
                <w:rFonts w:ascii="Times New Roman" w:hAnsi="Times New Roman"/>
                <w:sz w:val="24"/>
                <w:szCs w:val="24"/>
              </w:rPr>
              <w:t>2020).</w:t>
            </w:r>
          </w:p>
        </w:tc>
      </w:tr>
      <w:tr w:rsidR="00EA38DE" w:rsidRPr="00EA38DE" w14:paraId="0FD5BBFA" w14:textId="7095F655" w:rsidTr="00CC4337">
        <w:tc>
          <w:tcPr>
            <w:tcW w:w="456" w:type="dxa"/>
          </w:tcPr>
          <w:p w14:paraId="7025C544" w14:textId="77777777"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7</w:t>
            </w:r>
          </w:p>
        </w:tc>
        <w:tc>
          <w:tcPr>
            <w:tcW w:w="1919" w:type="dxa"/>
          </w:tcPr>
          <w:p w14:paraId="740DB158" w14:textId="13896B88"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 xml:space="preserve">Exchange Rate Volatility </w:t>
            </w:r>
            <w:r w:rsidR="003C7BE9" w:rsidRPr="00EA38DE">
              <w:rPr>
                <w:rFonts w:ascii="Times New Roman" w:hAnsi="Times New Roman"/>
                <w:sz w:val="24"/>
                <w:szCs w:val="24"/>
              </w:rPr>
              <w:t>(EXRV)</w:t>
            </w:r>
          </w:p>
        </w:tc>
        <w:tc>
          <w:tcPr>
            <w:tcW w:w="2883" w:type="dxa"/>
          </w:tcPr>
          <w:p w14:paraId="602F635C" w14:textId="77777777" w:rsidR="00CC4337" w:rsidRPr="00EA38DE" w:rsidRDefault="00CC4337" w:rsidP="00CB10A8">
            <w:pPr>
              <w:spacing w:before="100" w:beforeAutospacing="1" w:after="100" w:afterAutospacing="1"/>
              <w:jc w:val="both"/>
              <w:rPr>
                <w:rFonts w:ascii="Times New Roman" w:hAnsi="Times New Roman"/>
                <w:bCs/>
                <w:sz w:val="24"/>
                <w:szCs w:val="24"/>
                <w:lang w:eastAsia="zh-CN"/>
              </w:rPr>
            </w:pPr>
            <w:r w:rsidRPr="00EA38DE">
              <w:rPr>
                <w:rFonts w:ascii="Times New Roman" w:hAnsi="Times New Roman"/>
                <w:bCs/>
                <w:sz w:val="24"/>
                <w:szCs w:val="24"/>
                <w:lang w:eastAsia="zh-CN"/>
              </w:rPr>
              <w:t>GARCH Model (1,1)</w:t>
            </w:r>
          </w:p>
          <w:p w14:paraId="2A2AF919" w14:textId="1D730263" w:rsidR="00CC4337" w:rsidRPr="00EA38DE" w:rsidRDefault="00BD75E9" w:rsidP="0032713F">
            <w:pPr>
              <w:spacing w:before="100" w:beforeAutospacing="1" w:after="100" w:afterAutospacing="1"/>
              <w:jc w:val="both"/>
              <w:rPr>
                <w:rStyle w:val="mord"/>
                <w:rFonts w:ascii="Times New Roman" w:hAnsi="Times New Roman"/>
                <w:bCs/>
                <w:sz w:val="24"/>
                <w:szCs w:val="24"/>
                <w:lang w:eastAsia="zh-CN"/>
              </w:rPr>
            </w:pPr>
            <m:oMathPara>
              <m:oMath>
                <m:sSub>
                  <m:sSubPr>
                    <m:ctrlPr>
                      <w:rPr>
                        <w:rFonts w:ascii="Cambria Math" w:hAnsi="Cambria Math"/>
                        <w:bCs/>
                        <w:i/>
                        <w:sz w:val="24"/>
                        <w:szCs w:val="24"/>
                        <w:lang w:eastAsia="zh-CN"/>
                      </w:rPr>
                    </m:ctrlPr>
                  </m:sSubPr>
                  <m:e>
                    <m:r>
                      <w:rPr>
                        <w:rFonts w:ascii="Cambria Math" w:hAnsi="Cambria Math"/>
                        <w:sz w:val="24"/>
                        <w:szCs w:val="24"/>
                      </w:rPr>
                      <m:t>r</m:t>
                    </m:r>
                  </m:e>
                  <m:sub>
                    <m:r>
                      <w:rPr>
                        <w:rFonts w:ascii="Cambria Math" w:hAnsi="Cambria Math"/>
                        <w:sz w:val="24"/>
                        <w:szCs w:val="24"/>
                      </w:rPr>
                      <m:t>t</m:t>
                    </m:r>
                  </m:sub>
                </m:sSub>
                <m:r>
                  <w:rPr>
                    <w:rFonts w:ascii="Cambria Math" w:hAnsi="Cambria Math"/>
                    <w:sz w:val="24"/>
                    <w:szCs w:val="24"/>
                    <w:lang w:eastAsia="zh-CN"/>
                  </w:rPr>
                  <m:t>=</m:t>
                </m:r>
                <m:r>
                  <w:rPr>
                    <w:rStyle w:val="mord"/>
                    <w:rFonts w:ascii="Cambria Math" w:hAnsi="Cambria Math"/>
                    <w:sz w:val="24"/>
                    <w:szCs w:val="24"/>
                  </w:rPr>
                  <m:t xml:space="preserve">μ+ </m:t>
                </m:r>
                <m:sSub>
                  <m:sSubPr>
                    <m:ctrlPr>
                      <w:rPr>
                        <w:rFonts w:ascii="Cambria Math" w:hAnsi="Cambria Math"/>
                        <w:bCs/>
                        <w:i/>
                        <w:sz w:val="24"/>
                        <w:szCs w:val="24"/>
                        <w:lang w:eastAsia="zh-CN"/>
                      </w:rPr>
                    </m:ctrlPr>
                  </m:sSubPr>
                  <m:e>
                    <m:r>
                      <w:rPr>
                        <w:rStyle w:val="mord"/>
                        <w:rFonts w:ascii="Cambria Math" w:hAnsi="Cambria Math"/>
                        <w:sz w:val="24"/>
                        <w:szCs w:val="24"/>
                      </w:rPr>
                      <m:t>ε</m:t>
                    </m:r>
                  </m:e>
                  <m:sub>
                    <m:r>
                      <w:rPr>
                        <w:rFonts w:ascii="Cambria Math" w:hAnsi="Cambria Math"/>
                        <w:sz w:val="24"/>
                        <w:szCs w:val="24"/>
                      </w:rPr>
                      <m:t>t</m:t>
                    </m:r>
                  </m:sub>
                </m:sSub>
              </m:oMath>
            </m:oMathPara>
          </w:p>
          <w:p w14:paraId="4DA2FC9D" w14:textId="77777777" w:rsidR="00CC4337" w:rsidRPr="00EA38DE" w:rsidRDefault="00BD75E9" w:rsidP="0032713F">
            <w:pPr>
              <w:spacing w:before="100" w:beforeAutospacing="1" w:after="100" w:afterAutospacing="1"/>
              <w:jc w:val="both"/>
              <w:rPr>
                <w:rFonts w:ascii="Times New Roman" w:eastAsia="Times New Roman" w:hAnsi="Times New Roman"/>
                <w:bCs/>
                <w:sz w:val="24"/>
                <w:szCs w:val="24"/>
                <w:lang w:eastAsia="zh-CN"/>
              </w:rPr>
            </w:pPr>
            <m:oMath>
              <m:sSub>
                <m:sSubPr>
                  <m:ctrlPr>
                    <w:rPr>
                      <w:rFonts w:ascii="Cambria Math" w:hAnsi="Cambria Math"/>
                      <w:bCs/>
                      <w:i/>
                      <w:sz w:val="24"/>
                      <w:szCs w:val="24"/>
                      <w:lang w:eastAsia="zh-CN"/>
                    </w:rPr>
                  </m:ctrlPr>
                </m:sSubPr>
                <m:e>
                  <m:r>
                    <w:rPr>
                      <w:rStyle w:val="mord"/>
                      <w:rFonts w:ascii="Cambria Math" w:hAnsi="Cambria Math"/>
                      <w:sz w:val="24"/>
                      <w:szCs w:val="24"/>
                    </w:rPr>
                    <m:t>ε</m:t>
                  </m:r>
                </m:e>
                <m:sub>
                  <m:r>
                    <w:rPr>
                      <w:rFonts w:ascii="Cambria Math" w:hAnsi="Cambria Math"/>
                      <w:sz w:val="24"/>
                      <w:szCs w:val="24"/>
                    </w:rPr>
                    <m:t>t</m:t>
                  </m:r>
                </m:sub>
              </m:sSub>
            </m:oMath>
            <w:r w:rsidR="00CC4337" w:rsidRPr="00EA38DE">
              <w:rPr>
                <w:rFonts w:ascii="Cambria Math" w:eastAsia="Times New Roman" w:hAnsi="Cambria Math" w:cs="Cambria Math"/>
                <w:sz w:val="24"/>
                <w:szCs w:val="24"/>
              </w:rPr>
              <w:t>∼</w:t>
            </w:r>
            <w:r w:rsidR="00CC4337" w:rsidRPr="00EA38DE">
              <w:rPr>
                <w:rFonts w:ascii="Times New Roman" w:eastAsia="Times New Roman" w:hAnsi="Times New Roman"/>
                <w:i/>
                <w:sz w:val="24"/>
                <w:szCs w:val="24"/>
              </w:rPr>
              <w:t>N</w:t>
            </w:r>
            <w:r w:rsidR="00CC4337" w:rsidRPr="00EA38DE">
              <w:rPr>
                <w:rFonts w:ascii="Times New Roman" w:eastAsia="Times New Roman" w:hAnsi="Times New Roman"/>
                <w:sz w:val="24"/>
                <w:szCs w:val="24"/>
              </w:rPr>
              <w:t>(0,</w:t>
            </w:r>
            <m:oMath>
              <m:r>
                <w:rPr>
                  <w:rFonts w:ascii="Cambria Math" w:hAnsi="Cambria Math"/>
                  <w:sz w:val="24"/>
                  <w:szCs w:val="24"/>
                  <w:lang w:eastAsia="zh-CN"/>
                </w:rPr>
                <m:t xml:space="preserve"> </m:t>
              </m:r>
              <m:sSub>
                <m:sSubPr>
                  <m:ctrlPr>
                    <w:rPr>
                      <w:rFonts w:ascii="Cambria Math" w:hAnsi="Cambria Math"/>
                      <w:bCs/>
                      <w:i/>
                      <w:sz w:val="24"/>
                      <w:szCs w:val="24"/>
                      <w:lang w:eastAsia="zh-CN"/>
                    </w:rPr>
                  </m:ctrlPr>
                </m:sSubPr>
                <m:e>
                  <m:r>
                    <w:rPr>
                      <w:rStyle w:val="mord"/>
                      <w:rFonts w:ascii="Cambria Math" w:hAnsi="Cambria Math"/>
                      <w:sz w:val="24"/>
                      <w:szCs w:val="24"/>
                    </w:rPr>
                    <m:t>h</m:t>
                  </m:r>
                </m:e>
                <m:sub>
                  <m:r>
                    <w:rPr>
                      <w:rFonts w:ascii="Cambria Math" w:hAnsi="Cambria Math"/>
                      <w:sz w:val="24"/>
                      <w:szCs w:val="24"/>
                    </w:rPr>
                    <m:t>t</m:t>
                  </m:r>
                </m:sub>
              </m:sSub>
              <m:r>
                <w:rPr>
                  <w:rFonts w:ascii="Cambria Math" w:hAnsi="Cambria Math"/>
                  <w:sz w:val="24"/>
                  <w:szCs w:val="24"/>
                  <w:lang w:eastAsia="zh-CN"/>
                </w:rPr>
                <m:t>)</m:t>
              </m:r>
            </m:oMath>
          </w:p>
          <w:p w14:paraId="4C596FAF" w14:textId="246E715D" w:rsidR="00CC4337" w:rsidRPr="00EA38DE" w:rsidRDefault="00BD75E9" w:rsidP="0032713F">
            <w:pPr>
              <w:spacing w:before="100" w:beforeAutospacing="1" w:after="100" w:afterAutospacing="1"/>
              <w:jc w:val="both"/>
              <w:rPr>
                <w:rFonts w:ascii="Times New Roman" w:eastAsiaTheme="minorEastAsia" w:hAnsi="Times New Roman"/>
                <w:bCs/>
                <w:sz w:val="24"/>
                <w:szCs w:val="24"/>
                <w:lang w:eastAsia="zh-CN"/>
              </w:rPr>
            </w:pPr>
            <m:oMath>
              <m:sSub>
                <m:sSubPr>
                  <m:ctrlPr>
                    <w:rPr>
                      <w:rFonts w:ascii="Cambria Math" w:hAnsi="Cambria Math"/>
                      <w:bCs/>
                      <w:i/>
                      <w:sz w:val="24"/>
                      <w:szCs w:val="24"/>
                      <w:lang w:eastAsia="zh-CN"/>
                    </w:rPr>
                  </m:ctrlPr>
                </m:sSubPr>
                <m:e>
                  <m:r>
                    <w:rPr>
                      <w:rStyle w:val="mord"/>
                      <w:rFonts w:ascii="Cambria Math" w:hAnsi="Cambria Math"/>
                      <w:sz w:val="24"/>
                      <w:szCs w:val="24"/>
                    </w:rPr>
                    <m:t>h</m:t>
                  </m:r>
                </m:e>
                <m:sub>
                  <m:r>
                    <w:rPr>
                      <w:rFonts w:ascii="Cambria Math" w:hAnsi="Cambria Math"/>
                      <w:sz w:val="24"/>
                      <w:szCs w:val="24"/>
                    </w:rPr>
                    <m:t>t</m:t>
                  </m:r>
                </m:sub>
              </m:sSub>
              <m:r>
                <w:rPr>
                  <w:rFonts w:ascii="Cambria Math" w:hAnsi="Cambria Math"/>
                  <w:sz w:val="24"/>
                  <w:szCs w:val="24"/>
                  <w:lang w:eastAsia="zh-CN"/>
                </w:rPr>
                <m:t>=</m:t>
              </m:r>
              <m:sSub>
                <m:sSubPr>
                  <m:ctrlPr>
                    <w:rPr>
                      <w:rFonts w:ascii="Cambria Math" w:hAnsi="Cambria Math"/>
                      <w:bCs/>
                      <w:i/>
                      <w:sz w:val="24"/>
                      <w:szCs w:val="24"/>
                      <w:lang w:eastAsia="zh-CN"/>
                    </w:rPr>
                  </m:ctrlPr>
                </m:sSubPr>
                <m:e>
                  <m:r>
                    <w:rPr>
                      <w:rFonts w:ascii="Cambria Math" w:eastAsia="Times New Roman" w:hAnsi="Cambria Math"/>
                      <w:sz w:val="24"/>
                      <w:szCs w:val="24"/>
                    </w:rPr>
                    <m:t>α</m:t>
                  </m:r>
                </m:e>
                <m:sub>
                  <m:r>
                    <w:rPr>
                      <w:rFonts w:ascii="Cambria Math" w:hAnsi="Cambria Math"/>
                      <w:sz w:val="24"/>
                      <w:szCs w:val="24"/>
                    </w:rPr>
                    <m:t>0</m:t>
                  </m:r>
                </m:sub>
              </m:sSub>
              <m:r>
                <w:rPr>
                  <w:rFonts w:ascii="Cambria Math" w:hAnsi="Cambria Math"/>
                  <w:sz w:val="24"/>
                  <w:szCs w:val="24"/>
                  <w:lang w:eastAsia="zh-CN"/>
                </w:rPr>
                <m:t>+</m:t>
              </m:r>
              <m:sSub>
                <m:sSubPr>
                  <m:ctrlPr>
                    <w:rPr>
                      <w:rFonts w:ascii="Cambria Math" w:hAnsi="Cambria Math"/>
                      <w:bCs/>
                      <w:i/>
                      <w:sz w:val="24"/>
                      <w:szCs w:val="24"/>
                      <w:lang w:eastAsia="zh-CN"/>
                    </w:rPr>
                  </m:ctrlPr>
                </m:sSubPr>
                <m:e>
                  <m:r>
                    <w:rPr>
                      <w:rFonts w:ascii="Cambria Math" w:eastAsia="Times New Roman" w:hAnsi="Cambria Math"/>
                      <w:sz w:val="24"/>
                      <w:szCs w:val="24"/>
                    </w:rPr>
                    <m:t>α</m:t>
                  </m:r>
                </m:e>
                <m:sub>
                  <m:r>
                    <w:rPr>
                      <w:rFonts w:ascii="Cambria Math" w:hAnsi="Cambria Math"/>
                      <w:sz w:val="24"/>
                      <w:szCs w:val="24"/>
                    </w:rPr>
                    <m:t>1</m:t>
                  </m:r>
                </m:sub>
              </m:sSub>
              <m:sSubSup>
                <m:sSubSupPr>
                  <m:ctrlPr>
                    <w:rPr>
                      <w:rFonts w:ascii="Cambria Math" w:eastAsiaTheme="minorEastAsia" w:hAnsi="Cambria Math"/>
                      <w:i/>
                      <w:iCs/>
                      <w:sz w:val="24"/>
                      <w:szCs w:val="24"/>
                    </w:rPr>
                  </m:ctrlPr>
                </m:sSubSupPr>
                <m:e>
                  <m:r>
                    <w:rPr>
                      <w:rFonts w:ascii="Cambria Math" w:eastAsia="Times New Roman" w:hAnsi="Cambria Math"/>
                      <w:sz w:val="24"/>
                      <w:szCs w:val="24"/>
                    </w:rPr>
                    <m:t>ε</m:t>
                  </m:r>
                </m:e>
                <m:sub>
                  <m:r>
                    <w:rPr>
                      <w:rFonts w:ascii="Cambria Math" w:eastAsiaTheme="minorEastAsia" w:hAnsi="Cambria Math"/>
                      <w:sz w:val="24"/>
                      <w:szCs w:val="24"/>
                    </w:rPr>
                    <m:t>t-1</m:t>
                  </m:r>
                </m:sub>
                <m:sup>
                  <m:r>
                    <w:rPr>
                      <w:rFonts w:ascii="Cambria Math" w:eastAsiaTheme="minorEastAsia" w:hAnsi="Cambria Math"/>
                      <w:sz w:val="24"/>
                      <w:szCs w:val="24"/>
                    </w:rPr>
                    <m:t>2</m:t>
                  </m:r>
                </m:sup>
              </m:sSubSup>
            </m:oMath>
            <w:r w:rsidR="00CC4337" w:rsidRPr="00EA38DE">
              <w:rPr>
                <w:rFonts w:ascii="Times New Roman" w:eastAsiaTheme="minorEastAsia" w:hAnsi="Times New Roman"/>
                <w:iCs/>
                <w:sz w:val="24"/>
                <w:szCs w:val="24"/>
              </w:rPr>
              <w:t>+</w:t>
            </w:r>
            <m:oMath>
              <m:sSub>
                <m:sSubPr>
                  <m:ctrlPr>
                    <w:rPr>
                      <w:rFonts w:ascii="Cambria Math" w:hAnsi="Cambria Math"/>
                      <w:bCs/>
                      <w:i/>
                      <w:sz w:val="24"/>
                      <w:szCs w:val="24"/>
                      <w:lang w:eastAsia="zh-CN"/>
                    </w:rPr>
                  </m:ctrlPr>
                </m:sSubPr>
                <m:e>
                  <m:r>
                    <w:rPr>
                      <w:rFonts w:ascii="Cambria Math" w:eastAsia="Times New Roman" w:hAnsi="Cambria Math"/>
                      <w:sz w:val="24"/>
                      <w:szCs w:val="24"/>
                    </w:rPr>
                    <m:t>β</m:t>
                  </m:r>
                </m:e>
                <m:sub>
                  <m:r>
                    <w:rPr>
                      <w:rFonts w:ascii="Cambria Math" w:hAnsi="Cambria Math"/>
                      <w:sz w:val="24"/>
                      <w:szCs w:val="24"/>
                    </w:rPr>
                    <m:t>1</m:t>
                  </m:r>
                </m:sub>
              </m:sSub>
              <m:sSub>
                <m:sSubPr>
                  <m:ctrlPr>
                    <w:rPr>
                      <w:rFonts w:ascii="Cambria Math" w:hAnsi="Cambria Math"/>
                      <w:bCs/>
                      <w:i/>
                      <w:sz w:val="24"/>
                      <w:szCs w:val="24"/>
                      <w:lang w:eastAsia="zh-CN"/>
                    </w:rPr>
                  </m:ctrlPr>
                </m:sSubPr>
                <m:e>
                  <m:r>
                    <w:rPr>
                      <w:rFonts w:ascii="Cambria Math" w:eastAsia="Times New Roman" w:hAnsi="Cambria Math"/>
                      <w:sz w:val="24"/>
                      <w:szCs w:val="24"/>
                    </w:rPr>
                    <m:t>h</m:t>
                  </m:r>
                </m:e>
                <m:sub>
                  <m:r>
                    <w:rPr>
                      <w:rFonts w:ascii="Cambria Math" w:hAnsi="Cambria Math"/>
                      <w:sz w:val="24"/>
                      <w:szCs w:val="24"/>
                    </w:rPr>
                    <m:t>t-1</m:t>
                  </m:r>
                </m:sub>
              </m:sSub>
            </m:oMath>
          </w:p>
        </w:tc>
        <w:tc>
          <w:tcPr>
            <w:tcW w:w="2411" w:type="dxa"/>
          </w:tcPr>
          <w:p w14:paraId="1E1E6A03" w14:textId="02209014" w:rsidR="00CC4337" w:rsidRPr="00EA38DE" w:rsidRDefault="00CC4337" w:rsidP="00B41791">
            <w:pPr>
              <w:spacing w:line="276" w:lineRule="auto"/>
              <w:rPr>
                <w:rFonts w:ascii="Times New Roman" w:hAnsi="Times New Roman"/>
                <w:sz w:val="24"/>
                <w:szCs w:val="24"/>
              </w:rPr>
            </w:pPr>
            <w:r w:rsidRPr="00EA38DE">
              <w:rPr>
                <w:rFonts w:ascii="Times New Roman" w:hAnsi="Times New Roman"/>
                <w:sz w:val="24"/>
                <w:szCs w:val="24"/>
              </w:rPr>
              <w:t>GARCH Model 1(1)</w:t>
            </w:r>
          </w:p>
        </w:tc>
        <w:tc>
          <w:tcPr>
            <w:tcW w:w="1681" w:type="dxa"/>
          </w:tcPr>
          <w:p w14:paraId="4418183C" w14:textId="6418CA60" w:rsidR="00CC4337" w:rsidRPr="00EA38DE" w:rsidRDefault="006759AD" w:rsidP="00B41791">
            <w:pPr>
              <w:spacing w:line="276" w:lineRule="auto"/>
              <w:rPr>
                <w:rFonts w:ascii="Times New Roman" w:hAnsi="Times New Roman"/>
                <w:sz w:val="24"/>
                <w:szCs w:val="24"/>
              </w:rPr>
            </w:pPr>
            <w:r w:rsidRPr="00EA38DE">
              <w:rPr>
                <w:rFonts w:ascii="Times New Roman" w:hAnsi="Times New Roman"/>
                <w:sz w:val="24"/>
                <w:szCs w:val="24"/>
              </w:rPr>
              <w:t>Francq &amp; Zakoian, (2019)</w:t>
            </w:r>
          </w:p>
        </w:tc>
      </w:tr>
      <w:tr w:rsidR="00EA38DE" w:rsidRPr="00EA38DE" w14:paraId="22C2F2F3" w14:textId="6B668B4A" w:rsidTr="00CC4337">
        <w:tc>
          <w:tcPr>
            <w:tcW w:w="456" w:type="dxa"/>
          </w:tcPr>
          <w:p w14:paraId="159912DB" w14:textId="77777777" w:rsidR="00CC4337" w:rsidRPr="00EA38DE" w:rsidRDefault="00CC4337" w:rsidP="00CB10A8">
            <w:pPr>
              <w:spacing w:line="276" w:lineRule="auto"/>
              <w:jc w:val="both"/>
              <w:rPr>
                <w:rFonts w:ascii="Times New Roman" w:hAnsi="Times New Roman"/>
                <w:sz w:val="24"/>
                <w:szCs w:val="24"/>
              </w:rPr>
            </w:pPr>
          </w:p>
        </w:tc>
        <w:tc>
          <w:tcPr>
            <w:tcW w:w="7213" w:type="dxa"/>
            <w:gridSpan w:val="3"/>
          </w:tcPr>
          <w:p w14:paraId="2C751568" w14:textId="77777777" w:rsidR="00CC4337" w:rsidRPr="00EA38DE" w:rsidRDefault="00CC4337" w:rsidP="00B41791">
            <w:pPr>
              <w:spacing w:line="276" w:lineRule="auto"/>
              <w:rPr>
                <w:rFonts w:ascii="Times New Roman" w:hAnsi="Times New Roman"/>
                <w:b/>
                <w:bCs/>
                <w:sz w:val="24"/>
                <w:szCs w:val="24"/>
              </w:rPr>
            </w:pPr>
            <w:r w:rsidRPr="00EA38DE">
              <w:rPr>
                <w:rFonts w:ascii="Times New Roman" w:hAnsi="Times New Roman"/>
                <w:b/>
                <w:bCs/>
                <w:sz w:val="24"/>
                <w:szCs w:val="24"/>
              </w:rPr>
              <w:t>Control Variables</w:t>
            </w:r>
          </w:p>
        </w:tc>
        <w:tc>
          <w:tcPr>
            <w:tcW w:w="1681" w:type="dxa"/>
          </w:tcPr>
          <w:p w14:paraId="57FA7963" w14:textId="77777777" w:rsidR="00CC4337" w:rsidRPr="00EA38DE" w:rsidRDefault="00CC4337" w:rsidP="00B41791">
            <w:pPr>
              <w:spacing w:line="276" w:lineRule="auto"/>
              <w:rPr>
                <w:rFonts w:ascii="Times New Roman" w:hAnsi="Times New Roman"/>
                <w:b/>
                <w:bCs/>
                <w:sz w:val="24"/>
                <w:szCs w:val="24"/>
              </w:rPr>
            </w:pPr>
          </w:p>
        </w:tc>
      </w:tr>
      <w:tr w:rsidR="00EA38DE" w:rsidRPr="00EA38DE" w14:paraId="7C1FEA03" w14:textId="20495C5F" w:rsidTr="00CC4337">
        <w:tc>
          <w:tcPr>
            <w:tcW w:w="456" w:type="dxa"/>
          </w:tcPr>
          <w:p w14:paraId="00E57A7C" w14:textId="51097186" w:rsidR="00CC4337" w:rsidRPr="00EA38DE" w:rsidRDefault="003B2DEC" w:rsidP="00CB10A8">
            <w:pPr>
              <w:spacing w:line="276" w:lineRule="auto"/>
              <w:jc w:val="both"/>
              <w:rPr>
                <w:rFonts w:ascii="Times New Roman" w:hAnsi="Times New Roman"/>
                <w:sz w:val="24"/>
                <w:szCs w:val="24"/>
              </w:rPr>
            </w:pPr>
            <w:r w:rsidRPr="00EA38DE">
              <w:rPr>
                <w:rFonts w:ascii="Times New Roman" w:hAnsi="Times New Roman"/>
                <w:sz w:val="24"/>
                <w:szCs w:val="24"/>
              </w:rPr>
              <w:t>8</w:t>
            </w:r>
          </w:p>
        </w:tc>
        <w:tc>
          <w:tcPr>
            <w:tcW w:w="1919" w:type="dxa"/>
          </w:tcPr>
          <w:p w14:paraId="7E9887F0" w14:textId="27593174"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Inflation Rate</w:t>
            </w:r>
            <w:r w:rsidR="002C5963" w:rsidRPr="00EA38DE">
              <w:rPr>
                <w:rFonts w:ascii="Times New Roman" w:hAnsi="Times New Roman"/>
                <w:sz w:val="24"/>
                <w:szCs w:val="24"/>
              </w:rPr>
              <w:t xml:space="preserve"> (IFR)</w:t>
            </w:r>
          </w:p>
        </w:tc>
        <w:tc>
          <w:tcPr>
            <w:tcW w:w="2883" w:type="dxa"/>
          </w:tcPr>
          <w:p w14:paraId="3CA3F86D" w14:textId="4593A864"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pacing w:val="6"/>
                <w:sz w:val="24"/>
                <w:szCs w:val="24"/>
              </w:rPr>
              <w:t>Consumer price Index</w:t>
            </w:r>
            <w:r w:rsidR="005074D6" w:rsidRPr="00EA38DE">
              <w:rPr>
                <w:rFonts w:ascii="Times New Roman" w:hAnsi="Times New Roman"/>
                <w:spacing w:val="6"/>
                <w:sz w:val="24"/>
                <w:szCs w:val="24"/>
              </w:rPr>
              <w:t>.</w:t>
            </w:r>
          </w:p>
        </w:tc>
        <w:tc>
          <w:tcPr>
            <w:tcW w:w="2411" w:type="dxa"/>
          </w:tcPr>
          <w:p w14:paraId="797E44BC" w14:textId="4BFD4310" w:rsidR="00CC4337" w:rsidRPr="00EA38DE" w:rsidRDefault="00CC4337" w:rsidP="00B41791">
            <w:pPr>
              <w:spacing w:line="276" w:lineRule="auto"/>
              <w:rPr>
                <w:rFonts w:ascii="Times New Roman" w:hAnsi="Times New Roman"/>
                <w:sz w:val="24"/>
                <w:szCs w:val="24"/>
              </w:rPr>
            </w:pPr>
            <w:r w:rsidRPr="00EA38DE">
              <w:rPr>
                <w:rFonts w:ascii="Times New Roman" w:hAnsi="Times New Roman"/>
                <w:sz w:val="24"/>
                <w:szCs w:val="24"/>
              </w:rPr>
              <w:t>CBN Statistical Bulletin (2023)</w:t>
            </w:r>
            <w:r w:rsidRPr="00EA38DE">
              <w:rPr>
                <w:rFonts w:ascii="Times New Roman" w:eastAsia="Times New Roman" w:hAnsi="Times New Roman"/>
                <w:sz w:val="24"/>
                <w:szCs w:val="24"/>
              </w:rPr>
              <w:t xml:space="preserve"> </w:t>
            </w:r>
          </w:p>
        </w:tc>
        <w:tc>
          <w:tcPr>
            <w:tcW w:w="1681" w:type="dxa"/>
          </w:tcPr>
          <w:p w14:paraId="39697A56" w14:textId="53BC3D74" w:rsidR="00CC4337" w:rsidRPr="00EA38DE" w:rsidRDefault="006759AD" w:rsidP="00B41791">
            <w:pPr>
              <w:spacing w:line="276" w:lineRule="auto"/>
              <w:rPr>
                <w:rFonts w:ascii="Times New Roman" w:hAnsi="Times New Roman"/>
                <w:sz w:val="24"/>
                <w:szCs w:val="24"/>
              </w:rPr>
            </w:pPr>
            <w:r w:rsidRPr="00EA38DE">
              <w:rPr>
                <w:rFonts w:ascii="Times New Roman" w:eastAsia="Times New Roman" w:hAnsi="Times New Roman"/>
                <w:sz w:val="24"/>
                <w:szCs w:val="24"/>
              </w:rPr>
              <w:t>Ahmad &amp; Wazir, (2017)</w:t>
            </w:r>
          </w:p>
        </w:tc>
      </w:tr>
      <w:tr w:rsidR="00EA38DE" w:rsidRPr="00EA38DE" w14:paraId="6071F7C7" w14:textId="1E86F635" w:rsidTr="00CC4337">
        <w:tc>
          <w:tcPr>
            <w:tcW w:w="456" w:type="dxa"/>
          </w:tcPr>
          <w:p w14:paraId="673244F0" w14:textId="57966153" w:rsidR="00CC4337" w:rsidRPr="00EA38DE" w:rsidRDefault="003B2DEC" w:rsidP="00CB10A8">
            <w:pPr>
              <w:spacing w:line="276" w:lineRule="auto"/>
              <w:jc w:val="both"/>
              <w:rPr>
                <w:rFonts w:ascii="Times New Roman" w:hAnsi="Times New Roman"/>
                <w:sz w:val="24"/>
                <w:szCs w:val="24"/>
              </w:rPr>
            </w:pPr>
            <w:r w:rsidRPr="00EA38DE">
              <w:rPr>
                <w:rFonts w:ascii="Times New Roman" w:hAnsi="Times New Roman"/>
                <w:sz w:val="24"/>
                <w:szCs w:val="24"/>
              </w:rPr>
              <w:t>9</w:t>
            </w:r>
          </w:p>
        </w:tc>
        <w:tc>
          <w:tcPr>
            <w:tcW w:w="1919" w:type="dxa"/>
          </w:tcPr>
          <w:p w14:paraId="39C374CE" w14:textId="77777777" w:rsidR="00CC4337" w:rsidRPr="00EA38DE" w:rsidRDefault="003B2DEC" w:rsidP="00CB10A8">
            <w:pPr>
              <w:spacing w:line="276" w:lineRule="auto"/>
              <w:jc w:val="both"/>
              <w:rPr>
                <w:rFonts w:ascii="Times New Roman" w:hAnsi="Times New Roman"/>
                <w:sz w:val="24"/>
                <w:szCs w:val="24"/>
              </w:rPr>
            </w:pPr>
            <w:r w:rsidRPr="00EA38DE">
              <w:rPr>
                <w:rFonts w:ascii="Times New Roman" w:hAnsi="Times New Roman"/>
                <w:sz w:val="24"/>
                <w:szCs w:val="24"/>
              </w:rPr>
              <w:t>Trade Freedom</w:t>
            </w:r>
          </w:p>
          <w:p w14:paraId="0E8BA6AC" w14:textId="04864EC7" w:rsidR="002C5963" w:rsidRPr="00EA38DE" w:rsidRDefault="002C5963" w:rsidP="00CB10A8">
            <w:pPr>
              <w:spacing w:line="276" w:lineRule="auto"/>
              <w:jc w:val="both"/>
              <w:rPr>
                <w:rFonts w:ascii="Times New Roman" w:hAnsi="Times New Roman"/>
                <w:sz w:val="24"/>
                <w:szCs w:val="24"/>
              </w:rPr>
            </w:pPr>
            <w:r w:rsidRPr="00EA38DE">
              <w:rPr>
                <w:rFonts w:ascii="Times New Roman" w:hAnsi="Times New Roman"/>
                <w:sz w:val="24"/>
                <w:szCs w:val="24"/>
              </w:rPr>
              <w:t>(TRF)</w:t>
            </w:r>
          </w:p>
        </w:tc>
        <w:tc>
          <w:tcPr>
            <w:tcW w:w="2883" w:type="dxa"/>
          </w:tcPr>
          <w:p w14:paraId="1E85D526" w14:textId="515BB09F" w:rsidR="00CC4337" w:rsidRPr="00EA38DE" w:rsidRDefault="006759AD" w:rsidP="00CB10A8">
            <w:pPr>
              <w:spacing w:line="276" w:lineRule="auto"/>
              <w:jc w:val="both"/>
              <w:rPr>
                <w:rFonts w:ascii="Times New Roman" w:hAnsi="Times New Roman"/>
                <w:spacing w:val="6"/>
                <w:sz w:val="24"/>
                <w:szCs w:val="24"/>
              </w:rPr>
            </w:pPr>
            <w:r w:rsidRPr="00EA38DE">
              <w:rPr>
                <w:rFonts w:ascii="Times New Roman" w:hAnsi="Times New Roman"/>
                <w:spacing w:val="6"/>
                <w:sz w:val="24"/>
                <w:szCs w:val="24"/>
              </w:rPr>
              <w:t>Trade weighted average tariff rate</w:t>
            </w:r>
            <w:r w:rsidR="005074D6" w:rsidRPr="00EA38DE">
              <w:rPr>
                <w:rFonts w:ascii="Times New Roman" w:hAnsi="Times New Roman"/>
                <w:spacing w:val="6"/>
                <w:sz w:val="24"/>
                <w:szCs w:val="24"/>
              </w:rPr>
              <w:t>.</w:t>
            </w:r>
          </w:p>
        </w:tc>
        <w:tc>
          <w:tcPr>
            <w:tcW w:w="2411" w:type="dxa"/>
          </w:tcPr>
          <w:p w14:paraId="0F4EE348" w14:textId="384F61C5" w:rsidR="00CC4337" w:rsidRPr="00EA38DE" w:rsidRDefault="00236449" w:rsidP="00B41791">
            <w:pPr>
              <w:spacing w:line="276" w:lineRule="auto"/>
              <w:rPr>
                <w:rFonts w:ascii="Times New Roman" w:hAnsi="Times New Roman"/>
                <w:sz w:val="24"/>
                <w:szCs w:val="24"/>
              </w:rPr>
            </w:pPr>
            <w:r w:rsidRPr="00EA38DE">
              <w:rPr>
                <w:rFonts w:ascii="Times New Roman" w:hAnsi="Times New Roman"/>
                <w:sz w:val="24"/>
                <w:szCs w:val="24"/>
              </w:rPr>
              <w:t>Heritage foundation’s index of Economic freedom, (2023).</w:t>
            </w:r>
          </w:p>
        </w:tc>
        <w:tc>
          <w:tcPr>
            <w:tcW w:w="1681" w:type="dxa"/>
          </w:tcPr>
          <w:p w14:paraId="3AA0153D" w14:textId="1466607C" w:rsidR="00CC4337" w:rsidRPr="00EA38DE" w:rsidRDefault="00236449" w:rsidP="00B41791">
            <w:pPr>
              <w:spacing w:line="276" w:lineRule="auto"/>
              <w:rPr>
                <w:rFonts w:ascii="Times New Roman" w:hAnsi="Times New Roman"/>
                <w:sz w:val="24"/>
                <w:szCs w:val="24"/>
              </w:rPr>
            </w:pPr>
            <w:r w:rsidRPr="00EA38DE">
              <w:rPr>
                <w:rFonts w:ascii="Times New Roman" w:hAnsi="Times New Roman"/>
                <w:sz w:val="24"/>
                <w:szCs w:val="24"/>
              </w:rPr>
              <w:t>Gwartney et.al. (2024)</w:t>
            </w:r>
          </w:p>
        </w:tc>
      </w:tr>
      <w:tr w:rsidR="00EA38DE" w:rsidRPr="00EA38DE" w14:paraId="39DA84DA" w14:textId="2A5B91AA" w:rsidTr="00CC4337">
        <w:tc>
          <w:tcPr>
            <w:tcW w:w="456" w:type="dxa"/>
          </w:tcPr>
          <w:p w14:paraId="28886525" w14:textId="3159033B" w:rsidR="00CC4337" w:rsidRPr="00EA38DE" w:rsidRDefault="00CC4337" w:rsidP="00CB10A8">
            <w:pPr>
              <w:spacing w:line="276" w:lineRule="auto"/>
              <w:jc w:val="both"/>
              <w:rPr>
                <w:rFonts w:ascii="Times New Roman" w:hAnsi="Times New Roman"/>
                <w:sz w:val="24"/>
                <w:szCs w:val="24"/>
              </w:rPr>
            </w:pPr>
            <w:r w:rsidRPr="00EA38DE">
              <w:rPr>
                <w:rFonts w:ascii="Times New Roman" w:hAnsi="Times New Roman"/>
                <w:sz w:val="24"/>
                <w:szCs w:val="24"/>
              </w:rPr>
              <w:t>11</w:t>
            </w:r>
          </w:p>
        </w:tc>
        <w:tc>
          <w:tcPr>
            <w:tcW w:w="1919" w:type="dxa"/>
          </w:tcPr>
          <w:p w14:paraId="2EC5F8DD" w14:textId="77777777" w:rsidR="00CC4337" w:rsidRPr="00EA38DE" w:rsidRDefault="00236449" w:rsidP="00CB10A8">
            <w:pPr>
              <w:spacing w:line="276" w:lineRule="auto"/>
              <w:jc w:val="both"/>
              <w:rPr>
                <w:rFonts w:ascii="Times New Roman" w:hAnsi="Times New Roman"/>
                <w:sz w:val="24"/>
                <w:szCs w:val="24"/>
              </w:rPr>
            </w:pPr>
            <w:r w:rsidRPr="00EA38DE">
              <w:rPr>
                <w:rFonts w:ascii="Times New Roman" w:hAnsi="Times New Roman"/>
                <w:sz w:val="24"/>
                <w:szCs w:val="24"/>
              </w:rPr>
              <w:t>Labour Force</w:t>
            </w:r>
          </w:p>
          <w:p w14:paraId="139CFC5C" w14:textId="706D783D" w:rsidR="002C5963" w:rsidRPr="00EA38DE" w:rsidRDefault="002C5963" w:rsidP="00CB10A8">
            <w:pPr>
              <w:spacing w:line="276" w:lineRule="auto"/>
              <w:jc w:val="both"/>
              <w:rPr>
                <w:rFonts w:ascii="Times New Roman" w:hAnsi="Times New Roman"/>
                <w:sz w:val="24"/>
                <w:szCs w:val="24"/>
              </w:rPr>
            </w:pPr>
            <w:r w:rsidRPr="00EA38DE">
              <w:rPr>
                <w:rFonts w:ascii="Times New Roman" w:hAnsi="Times New Roman"/>
                <w:sz w:val="24"/>
                <w:szCs w:val="24"/>
              </w:rPr>
              <w:t>(LAB)</w:t>
            </w:r>
          </w:p>
        </w:tc>
        <w:tc>
          <w:tcPr>
            <w:tcW w:w="2883" w:type="dxa"/>
          </w:tcPr>
          <w:p w14:paraId="088A0694" w14:textId="67195195" w:rsidR="00CC4337" w:rsidRPr="00EA38DE" w:rsidRDefault="00236449" w:rsidP="00CB10A8">
            <w:pPr>
              <w:spacing w:line="276" w:lineRule="auto"/>
              <w:jc w:val="both"/>
              <w:rPr>
                <w:rFonts w:ascii="Times New Roman" w:hAnsi="Times New Roman"/>
                <w:spacing w:val="6"/>
                <w:sz w:val="24"/>
                <w:szCs w:val="24"/>
              </w:rPr>
            </w:pPr>
            <w:r w:rsidRPr="00EA38DE">
              <w:rPr>
                <w:rFonts w:ascii="Times New Roman" w:hAnsi="Times New Roman"/>
                <w:spacing w:val="6"/>
                <w:sz w:val="24"/>
                <w:szCs w:val="24"/>
              </w:rPr>
              <w:t>The total number of people employed or unemployed</w:t>
            </w:r>
            <w:r w:rsidR="005074D6" w:rsidRPr="00EA38DE">
              <w:rPr>
                <w:rFonts w:ascii="Times New Roman" w:hAnsi="Times New Roman"/>
                <w:spacing w:val="6"/>
                <w:sz w:val="24"/>
                <w:szCs w:val="24"/>
              </w:rPr>
              <w:t>.</w:t>
            </w:r>
          </w:p>
        </w:tc>
        <w:tc>
          <w:tcPr>
            <w:tcW w:w="2411" w:type="dxa"/>
          </w:tcPr>
          <w:p w14:paraId="322B153D" w14:textId="0BED885C" w:rsidR="00CC4337" w:rsidRPr="00EA38DE" w:rsidRDefault="00CC4337" w:rsidP="00B41791">
            <w:pPr>
              <w:spacing w:line="276" w:lineRule="auto"/>
              <w:rPr>
                <w:rFonts w:ascii="Times New Roman" w:hAnsi="Times New Roman"/>
                <w:sz w:val="24"/>
                <w:szCs w:val="24"/>
              </w:rPr>
            </w:pPr>
            <w:r w:rsidRPr="00EA38DE">
              <w:rPr>
                <w:rFonts w:ascii="Times New Roman" w:hAnsi="Times New Roman"/>
                <w:sz w:val="24"/>
                <w:szCs w:val="24"/>
              </w:rPr>
              <w:t xml:space="preserve">World Bank </w:t>
            </w:r>
            <w:r w:rsidR="009F5CDC" w:rsidRPr="00EA38DE">
              <w:rPr>
                <w:rFonts w:ascii="Times New Roman" w:hAnsi="Times New Roman"/>
                <w:sz w:val="24"/>
                <w:szCs w:val="24"/>
              </w:rPr>
              <w:t>D</w:t>
            </w:r>
            <w:r w:rsidRPr="00EA38DE">
              <w:rPr>
                <w:rFonts w:ascii="Times New Roman" w:hAnsi="Times New Roman"/>
                <w:sz w:val="24"/>
                <w:szCs w:val="24"/>
              </w:rPr>
              <w:t xml:space="preserve">evelopment </w:t>
            </w:r>
            <w:r w:rsidR="009F5CDC" w:rsidRPr="00EA38DE">
              <w:rPr>
                <w:rFonts w:ascii="Times New Roman" w:hAnsi="Times New Roman"/>
                <w:sz w:val="24"/>
                <w:szCs w:val="24"/>
              </w:rPr>
              <w:t>I</w:t>
            </w:r>
            <w:r w:rsidRPr="00EA38DE">
              <w:rPr>
                <w:rFonts w:ascii="Times New Roman" w:hAnsi="Times New Roman"/>
                <w:sz w:val="24"/>
                <w:szCs w:val="24"/>
              </w:rPr>
              <w:t xml:space="preserve">ndex (2023) </w:t>
            </w:r>
          </w:p>
        </w:tc>
        <w:tc>
          <w:tcPr>
            <w:tcW w:w="1681" w:type="dxa"/>
          </w:tcPr>
          <w:p w14:paraId="15EFEBB2" w14:textId="54B575CC" w:rsidR="00CC4337" w:rsidRPr="00EA38DE" w:rsidRDefault="00236449" w:rsidP="00B41791">
            <w:pPr>
              <w:spacing w:line="276" w:lineRule="auto"/>
              <w:rPr>
                <w:rFonts w:ascii="Times New Roman" w:hAnsi="Times New Roman"/>
                <w:sz w:val="24"/>
                <w:szCs w:val="24"/>
              </w:rPr>
            </w:pPr>
            <w:r w:rsidRPr="00EA38DE">
              <w:rPr>
                <w:rFonts w:ascii="Times New Roman" w:hAnsi="Times New Roman"/>
                <w:sz w:val="24"/>
                <w:szCs w:val="24"/>
              </w:rPr>
              <w:t>A</w:t>
            </w:r>
            <w:r w:rsidR="002C5963" w:rsidRPr="00EA38DE">
              <w:rPr>
                <w:rFonts w:ascii="Times New Roman" w:hAnsi="Times New Roman"/>
                <w:sz w:val="24"/>
                <w:szCs w:val="24"/>
              </w:rPr>
              <w:t>bodie et.al. (2023)</w:t>
            </w:r>
          </w:p>
        </w:tc>
      </w:tr>
    </w:tbl>
    <w:p w14:paraId="367EBF73" w14:textId="271AEB29" w:rsidR="00B21884" w:rsidRPr="00EA38DE" w:rsidRDefault="00B21884" w:rsidP="00AD704C">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Source: Researcher’s Compilation</w:t>
      </w:r>
      <w:r w:rsidR="0048712C" w:rsidRPr="00EA38DE">
        <w:rPr>
          <w:rFonts w:ascii="Times New Roman" w:hAnsi="Times New Roman" w:cs="Times New Roman"/>
          <w:b/>
          <w:bCs/>
          <w:sz w:val="24"/>
          <w:szCs w:val="24"/>
        </w:rPr>
        <w:t>,</w:t>
      </w:r>
      <w:r w:rsidRPr="00EA38DE">
        <w:rPr>
          <w:rFonts w:ascii="Times New Roman" w:hAnsi="Times New Roman" w:cs="Times New Roman"/>
          <w:b/>
          <w:bCs/>
          <w:sz w:val="24"/>
          <w:szCs w:val="24"/>
        </w:rPr>
        <w:t xml:space="preserve"> (2025)</w:t>
      </w:r>
    </w:p>
    <w:p w14:paraId="7BF737B4" w14:textId="1BEA5205" w:rsidR="00B21884" w:rsidRPr="00EA38DE" w:rsidRDefault="00B21884" w:rsidP="00AD704C">
      <w:pPr>
        <w:spacing w:line="480" w:lineRule="auto"/>
        <w:jc w:val="both"/>
        <w:rPr>
          <w:rFonts w:ascii="Times New Roman" w:hAnsi="Times New Roman" w:cs="Times New Roman"/>
          <w:b/>
          <w:sz w:val="24"/>
          <w:szCs w:val="24"/>
        </w:rPr>
      </w:pPr>
      <w:r w:rsidRPr="00EA38DE">
        <w:rPr>
          <w:rFonts w:ascii="Times New Roman" w:hAnsi="Times New Roman" w:cs="Times New Roman"/>
          <w:b/>
          <w:sz w:val="24"/>
          <w:szCs w:val="24"/>
        </w:rPr>
        <w:t>3.</w:t>
      </w:r>
      <w:r w:rsidR="000F5D19" w:rsidRPr="00EA38DE">
        <w:rPr>
          <w:rFonts w:ascii="Times New Roman" w:hAnsi="Times New Roman" w:cs="Times New Roman"/>
          <w:b/>
          <w:sz w:val="24"/>
          <w:szCs w:val="24"/>
        </w:rPr>
        <w:t>9</w:t>
      </w:r>
      <w:r w:rsidR="00A15C92" w:rsidRPr="00EA38DE">
        <w:rPr>
          <w:rFonts w:ascii="Times New Roman" w:hAnsi="Times New Roman" w:cs="Times New Roman"/>
          <w:b/>
          <w:sz w:val="24"/>
          <w:szCs w:val="24"/>
        </w:rPr>
        <w:tab/>
      </w:r>
      <w:r w:rsidRPr="00EA38DE">
        <w:rPr>
          <w:rFonts w:ascii="Times New Roman" w:hAnsi="Times New Roman" w:cs="Times New Roman"/>
          <w:b/>
          <w:sz w:val="24"/>
          <w:szCs w:val="24"/>
        </w:rPr>
        <w:t>Method of Data Analysis</w:t>
      </w:r>
    </w:p>
    <w:p w14:paraId="7561BA82" w14:textId="00B7DB36" w:rsidR="00EF415B" w:rsidRPr="00EA38DE" w:rsidRDefault="00B21884" w:rsidP="00AD704C">
      <w:pPr>
        <w:pStyle w:val="NormalWeb"/>
        <w:spacing w:before="0" w:beforeAutospacing="0" w:after="160" w:afterAutospacing="0" w:line="480" w:lineRule="auto"/>
        <w:jc w:val="both"/>
      </w:pPr>
      <w:r w:rsidRPr="00EA38DE">
        <w:rPr>
          <w:spacing w:val="-6"/>
        </w:rPr>
        <w:t>The estimation technique adopt</w:t>
      </w:r>
      <w:r w:rsidR="000478B2" w:rsidRPr="00EA38DE">
        <w:rPr>
          <w:spacing w:val="-6"/>
        </w:rPr>
        <w:t>ed</w:t>
      </w:r>
      <w:r w:rsidRPr="00EA38DE">
        <w:rPr>
          <w:spacing w:val="-6"/>
        </w:rPr>
        <w:t xml:space="preserve"> the </w:t>
      </w:r>
      <w:r w:rsidR="00017ACF" w:rsidRPr="00EA38DE">
        <w:rPr>
          <w:spacing w:val="-6"/>
        </w:rPr>
        <w:t xml:space="preserve">Autoregressive Distributed </w:t>
      </w:r>
      <w:r w:rsidRPr="00EA38DE">
        <w:rPr>
          <w:spacing w:val="-6"/>
        </w:rPr>
        <w:t>Lag Model</w:t>
      </w:r>
      <w:r w:rsidR="00B76A02" w:rsidRPr="00EA38DE">
        <w:rPr>
          <w:spacing w:val="-6"/>
        </w:rPr>
        <w:t xml:space="preserve"> (</w:t>
      </w:r>
      <w:r w:rsidR="00EF2CFC" w:rsidRPr="00EA38DE">
        <w:rPr>
          <w:spacing w:val="-6"/>
        </w:rPr>
        <w:t>ARDL)</w:t>
      </w:r>
      <w:r w:rsidRPr="00EA38DE">
        <w:rPr>
          <w:spacing w:val="-6"/>
        </w:rPr>
        <w:t xml:space="preserve">. The essence of adopting this technique </w:t>
      </w:r>
      <w:r w:rsidR="000478B2" w:rsidRPr="00EA38DE">
        <w:rPr>
          <w:spacing w:val="-6"/>
        </w:rPr>
        <w:t>was</w:t>
      </w:r>
      <w:r w:rsidRPr="00EA38DE">
        <w:rPr>
          <w:spacing w:val="-6"/>
        </w:rPr>
        <w:t xml:space="preserve"> to </w:t>
      </w:r>
      <w:r w:rsidRPr="00EA38DE">
        <w:t xml:space="preserve">capture the effects of exchange rate </w:t>
      </w:r>
      <w:r w:rsidR="00593206" w:rsidRPr="00EA38DE">
        <w:t>volatility</w:t>
      </w:r>
      <w:r w:rsidRPr="00EA38DE">
        <w:t xml:space="preserve"> on performance of </w:t>
      </w:r>
      <w:r w:rsidRPr="00EA38DE">
        <w:lastRenderedPageBreak/>
        <w:t>shipping industry in Nigeria from 199</w:t>
      </w:r>
      <w:r w:rsidR="000478B2" w:rsidRPr="00EA38DE">
        <w:t>0</w:t>
      </w:r>
      <w:r w:rsidRPr="00EA38DE">
        <w:t xml:space="preserve"> to 202</w:t>
      </w:r>
      <w:r w:rsidR="005A0CBA" w:rsidRPr="00EA38DE">
        <w:t>4</w:t>
      </w:r>
      <w:r w:rsidRPr="00EA38DE">
        <w:t>. Allen and McAleer (2020) further stressed that, this technique is attractive as it represents the simplest method available for modeling combined short-run and long-run relationships among variables. Furthermore, this estimation technique use</w:t>
      </w:r>
      <w:r w:rsidR="000478B2" w:rsidRPr="00EA38DE">
        <w:t>d</w:t>
      </w:r>
      <w:r w:rsidRPr="00EA38DE">
        <w:t xml:space="preserve"> the bounds testing framework, which </w:t>
      </w:r>
      <w:r w:rsidR="000478B2" w:rsidRPr="00EA38DE">
        <w:t>was applied</w:t>
      </w:r>
      <w:r w:rsidRPr="00EA38DE">
        <w:t xml:space="preserve"> to both stationary and non-stationary time series vectors, or combinations of both, as long as none of the data series is of the I</w:t>
      </w:r>
      <w:r w:rsidR="00B41791" w:rsidRPr="00EA38DE">
        <w:t xml:space="preserve"> </w:t>
      </w:r>
      <w:r w:rsidRPr="00EA38DE">
        <w:t xml:space="preserve">(2)) integration order. </w:t>
      </w:r>
      <w:r w:rsidR="00EF415B" w:rsidRPr="00EA38DE">
        <w:t>Before conducting the main econometric analysis, the study beg</w:t>
      </w:r>
      <w:r w:rsidR="007E1067" w:rsidRPr="00EA38DE">
        <w:t>an</w:t>
      </w:r>
      <w:r w:rsidR="00EF415B" w:rsidRPr="00EA38DE">
        <w:t xml:space="preserve"> with a series of preliminary tests to understand the characteristics and relationships of the data. First, descriptive statistics </w:t>
      </w:r>
      <w:r w:rsidR="000478B2" w:rsidRPr="00EA38DE">
        <w:t>were</w:t>
      </w:r>
      <w:r w:rsidR="00EF415B" w:rsidRPr="00EA38DE">
        <w:t xml:space="preserve"> computed for all variables to summarize their key features. These statistics include</w:t>
      </w:r>
      <w:r w:rsidR="007E1067" w:rsidRPr="00EA38DE">
        <w:t>d</w:t>
      </w:r>
      <w:r w:rsidR="00EF415B" w:rsidRPr="00EA38DE">
        <w:t xml:space="preserve"> the mean, which show</w:t>
      </w:r>
      <w:r w:rsidR="000478B2" w:rsidRPr="00EA38DE">
        <w:t>ed</w:t>
      </w:r>
      <w:r w:rsidR="00EF415B" w:rsidRPr="00EA38DE">
        <w:t xml:space="preserve"> the average value over the study period, and the median, which help</w:t>
      </w:r>
      <w:r w:rsidR="000478B2" w:rsidRPr="00EA38DE">
        <w:t>ed</w:t>
      </w:r>
      <w:r w:rsidR="00F5656E" w:rsidRPr="00EA38DE">
        <w:t xml:space="preserve"> to</w:t>
      </w:r>
      <w:r w:rsidR="00EF415B" w:rsidRPr="00EA38DE">
        <w:t xml:space="preserve"> identif</w:t>
      </w:r>
      <w:r w:rsidR="00017ACF" w:rsidRPr="00EA38DE">
        <w:t>y</w:t>
      </w:r>
      <w:r w:rsidR="00EF415B" w:rsidRPr="00EA38DE">
        <w:t xml:space="preserve"> the central tendency when the data distribution </w:t>
      </w:r>
      <w:r w:rsidR="00F5656E" w:rsidRPr="00EA38DE">
        <w:t>was</w:t>
      </w:r>
      <w:r w:rsidR="00EF415B" w:rsidRPr="00EA38DE">
        <w:t xml:space="preserve"> skewed. The standard deviation is calculated to measure the variability or dispersion of the data around the mean. Additionally, the minimum and maximum values indicate</w:t>
      </w:r>
      <w:r w:rsidR="007E1067" w:rsidRPr="00EA38DE">
        <w:t>d</w:t>
      </w:r>
      <w:r w:rsidR="00EF415B" w:rsidRPr="00EA38DE">
        <w:t xml:space="preserve"> the range of the data, helping to identify any potential outliers. Measures of skewness and kurtosis are also examined to assess the symmetry and peakedness of the data distribution, respectively. These descriptive statistics provide</w:t>
      </w:r>
      <w:r w:rsidR="00F5656E" w:rsidRPr="00EA38DE">
        <w:t>d</w:t>
      </w:r>
      <w:r w:rsidR="00EF415B" w:rsidRPr="00EA38DE">
        <w:t xml:space="preserve"> important insights into the data’s distribution and variability, which are crucial for selecting appropriate modeling techniques and interpreting the results.</w:t>
      </w:r>
    </w:p>
    <w:p w14:paraId="05BA2F32" w14:textId="4C6B7D70" w:rsidR="008A57A8" w:rsidRPr="00EA38DE" w:rsidRDefault="00EF415B" w:rsidP="00AD704C">
      <w:pPr>
        <w:spacing w:line="480" w:lineRule="auto"/>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Next, a correlation matrix </w:t>
      </w:r>
      <w:r w:rsidR="00F5656E" w:rsidRPr="00EA38DE">
        <w:rPr>
          <w:rFonts w:ascii="Times New Roman" w:eastAsia="Times New Roman" w:hAnsi="Times New Roman" w:cs="Times New Roman"/>
          <w:sz w:val="24"/>
          <w:szCs w:val="24"/>
        </w:rPr>
        <w:t>was</w:t>
      </w:r>
      <w:r w:rsidRPr="00EA38DE">
        <w:rPr>
          <w:rFonts w:ascii="Times New Roman" w:eastAsia="Times New Roman" w:hAnsi="Times New Roman" w:cs="Times New Roman"/>
          <w:sz w:val="24"/>
          <w:szCs w:val="24"/>
        </w:rPr>
        <w:t xml:space="preserve"> generated to examine the pairwise linear relationships among the variables. The correlation coefficients indicate the strength and direction of these relationships, with values close to +1 suggesting a strong positive association, values near -1 indicating a strong negative association, and values around zero showing no linear relationship. Understanding these correlations helps identify possible multicollinearity issues, where explanatory variables are highly correlated with each other, which can affect the reliability of regression estimates. Moreover, analyzing the correlations between variables such as exchange rate volatility, blue economy </w:t>
      </w:r>
      <w:r w:rsidRPr="00EA38DE">
        <w:rPr>
          <w:rFonts w:ascii="Times New Roman" w:eastAsia="Times New Roman" w:hAnsi="Times New Roman" w:cs="Times New Roman"/>
          <w:sz w:val="24"/>
          <w:szCs w:val="24"/>
        </w:rPr>
        <w:lastRenderedPageBreak/>
        <w:t>indicators, and the performance of the shipping industry provide</w:t>
      </w:r>
      <w:r w:rsidR="007E1067" w:rsidRPr="00EA38DE">
        <w:rPr>
          <w:rFonts w:ascii="Times New Roman" w:eastAsia="Times New Roman" w:hAnsi="Times New Roman" w:cs="Times New Roman"/>
          <w:sz w:val="24"/>
          <w:szCs w:val="24"/>
        </w:rPr>
        <w:t>d</w:t>
      </w:r>
      <w:r w:rsidRPr="00EA38DE">
        <w:rPr>
          <w:rFonts w:ascii="Times New Roman" w:eastAsia="Times New Roman" w:hAnsi="Times New Roman" w:cs="Times New Roman"/>
          <w:sz w:val="24"/>
          <w:szCs w:val="24"/>
        </w:rPr>
        <w:t xml:space="preserve"> theoretical support for the relationships to be tested in the main econometric models.</w:t>
      </w:r>
      <w:r w:rsidR="004B0B45"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sz w:val="24"/>
          <w:szCs w:val="24"/>
        </w:rPr>
        <w:t>Together, these preliminary tests serve</w:t>
      </w:r>
      <w:r w:rsidR="007E1067" w:rsidRPr="00EA38DE">
        <w:rPr>
          <w:rFonts w:ascii="Times New Roman" w:eastAsia="Times New Roman" w:hAnsi="Times New Roman" w:cs="Times New Roman"/>
          <w:sz w:val="24"/>
          <w:szCs w:val="24"/>
        </w:rPr>
        <w:t>d</w:t>
      </w:r>
      <w:r w:rsidRPr="00EA38DE">
        <w:rPr>
          <w:rFonts w:ascii="Times New Roman" w:eastAsia="Times New Roman" w:hAnsi="Times New Roman" w:cs="Times New Roman"/>
          <w:sz w:val="24"/>
          <w:szCs w:val="24"/>
        </w:rPr>
        <w:t xml:space="preserve"> as important diagnostic tools that guide</w:t>
      </w:r>
      <w:r w:rsidR="007E1067" w:rsidRPr="00EA38DE">
        <w:rPr>
          <w:rFonts w:ascii="Times New Roman" w:eastAsia="Times New Roman" w:hAnsi="Times New Roman" w:cs="Times New Roman"/>
          <w:sz w:val="24"/>
          <w:szCs w:val="24"/>
        </w:rPr>
        <w:t>d</w:t>
      </w:r>
      <w:r w:rsidRPr="00EA38DE">
        <w:rPr>
          <w:rFonts w:ascii="Times New Roman" w:eastAsia="Times New Roman" w:hAnsi="Times New Roman" w:cs="Times New Roman"/>
          <w:sz w:val="24"/>
          <w:szCs w:val="24"/>
        </w:rPr>
        <w:t xml:space="preserve"> the specification of the econometric models and enhance the robustness and validity of the study’s empirical findings.</w:t>
      </w:r>
      <w:r w:rsidR="008A57A8" w:rsidRPr="00EA38DE">
        <w:rPr>
          <w:rFonts w:ascii="Times New Roman" w:eastAsia="Times New Roman" w:hAnsi="Times New Roman" w:cs="Times New Roman"/>
          <w:sz w:val="24"/>
          <w:szCs w:val="24"/>
        </w:rPr>
        <w:t xml:space="preserve"> </w:t>
      </w:r>
    </w:p>
    <w:p w14:paraId="74CF74D7" w14:textId="2CEC8B27" w:rsidR="00343D55" w:rsidRPr="00EA38DE" w:rsidRDefault="008A57A8" w:rsidP="00343D55">
      <w:pPr>
        <w:spacing w:line="480" w:lineRule="auto"/>
        <w:jc w:val="both"/>
        <w:rPr>
          <w:rFonts w:ascii="Times New Roman" w:eastAsia="Times New Roman" w:hAnsi="Times New Roman" w:cs="Times New Roman"/>
          <w:spacing w:val="-6"/>
          <w:sz w:val="24"/>
          <w:szCs w:val="24"/>
        </w:rPr>
      </w:pPr>
      <w:r w:rsidRPr="00EA38DE">
        <w:rPr>
          <w:rFonts w:ascii="Times New Roman" w:hAnsi="Times New Roman" w:cs="Times New Roman"/>
          <w:sz w:val="24"/>
          <w:szCs w:val="24"/>
        </w:rPr>
        <w:t>Additionally, the regression models w</w:t>
      </w:r>
      <w:r w:rsidR="007E1067" w:rsidRPr="00EA38DE">
        <w:rPr>
          <w:rFonts w:ascii="Times New Roman" w:hAnsi="Times New Roman" w:cs="Times New Roman"/>
          <w:sz w:val="24"/>
          <w:szCs w:val="24"/>
        </w:rPr>
        <w:t>ere</w:t>
      </w:r>
      <w:r w:rsidRPr="00EA38DE">
        <w:rPr>
          <w:rFonts w:ascii="Times New Roman" w:hAnsi="Times New Roman" w:cs="Times New Roman"/>
          <w:sz w:val="24"/>
          <w:szCs w:val="24"/>
        </w:rPr>
        <w:t xml:space="preserve"> subjected to a series of diagnostic tests to ensure their adequacy and reliability. The Heteroskedasticity test w</w:t>
      </w:r>
      <w:r w:rsidR="00A94971" w:rsidRPr="00EA38DE">
        <w:rPr>
          <w:rFonts w:ascii="Times New Roman" w:hAnsi="Times New Roman" w:cs="Times New Roman"/>
          <w:sz w:val="24"/>
          <w:szCs w:val="24"/>
        </w:rPr>
        <w:t>as</w:t>
      </w:r>
      <w:r w:rsidRPr="00EA38DE">
        <w:rPr>
          <w:rFonts w:ascii="Times New Roman" w:hAnsi="Times New Roman" w:cs="Times New Roman"/>
          <w:sz w:val="24"/>
          <w:szCs w:val="24"/>
        </w:rPr>
        <w:t xml:space="preserve"> used to check whether the variance of the error terms </w:t>
      </w:r>
      <w:r w:rsidR="007E1067" w:rsidRPr="00EA38DE">
        <w:rPr>
          <w:rFonts w:ascii="Times New Roman" w:hAnsi="Times New Roman" w:cs="Times New Roman"/>
          <w:sz w:val="24"/>
          <w:szCs w:val="24"/>
        </w:rPr>
        <w:t>was</w:t>
      </w:r>
      <w:r w:rsidRPr="00EA38DE">
        <w:rPr>
          <w:rFonts w:ascii="Times New Roman" w:hAnsi="Times New Roman" w:cs="Times New Roman"/>
          <w:sz w:val="24"/>
          <w:szCs w:val="24"/>
        </w:rPr>
        <w:t xml:space="preserve"> constant across observations, which is an important assumption in regression analysis. To detect any multicollinearity among the explanatory variables, the study calculate</w:t>
      </w:r>
      <w:r w:rsidR="00A94971" w:rsidRPr="00EA38DE">
        <w:rPr>
          <w:rFonts w:ascii="Times New Roman" w:hAnsi="Times New Roman" w:cs="Times New Roman"/>
          <w:sz w:val="24"/>
          <w:szCs w:val="24"/>
        </w:rPr>
        <w:t>d</w:t>
      </w:r>
      <w:r w:rsidR="00C03284" w:rsidRPr="00EA38DE">
        <w:rPr>
          <w:rFonts w:ascii="Times New Roman" w:hAnsi="Times New Roman" w:cs="Times New Roman"/>
          <w:sz w:val="24"/>
          <w:szCs w:val="24"/>
        </w:rPr>
        <w:t xml:space="preserve"> the</w:t>
      </w:r>
      <w:r w:rsidR="00A94971" w:rsidRPr="00EA38DE">
        <w:rPr>
          <w:rFonts w:ascii="Times New Roman" w:hAnsi="Times New Roman" w:cs="Times New Roman"/>
          <w:sz w:val="24"/>
          <w:szCs w:val="24"/>
        </w:rPr>
        <w:t xml:space="preserve"> </w:t>
      </w:r>
      <w:r w:rsidRPr="00EA38DE">
        <w:rPr>
          <w:rFonts w:ascii="Times New Roman" w:hAnsi="Times New Roman" w:cs="Times New Roman"/>
          <w:sz w:val="24"/>
          <w:szCs w:val="24"/>
        </w:rPr>
        <w:t>Variance Inflation Factors (VIF), as high multicollinearity can distort coefficient estimates and reduce the precision of the model. Furthermore, the Ramsey RESET test w</w:t>
      </w:r>
      <w:r w:rsidR="00A94971" w:rsidRPr="00EA38DE">
        <w:rPr>
          <w:rFonts w:ascii="Times New Roman" w:hAnsi="Times New Roman" w:cs="Times New Roman"/>
          <w:sz w:val="24"/>
          <w:szCs w:val="24"/>
        </w:rPr>
        <w:t>as</w:t>
      </w:r>
      <w:r w:rsidRPr="00EA38DE">
        <w:rPr>
          <w:rFonts w:ascii="Times New Roman" w:hAnsi="Times New Roman" w:cs="Times New Roman"/>
          <w:sz w:val="24"/>
          <w:szCs w:val="24"/>
        </w:rPr>
        <w:t xml:space="preserve"> employed to identify potential specification errors or omitted variable bias, helping to confirm that the model is correctly specified and that important explanatory variables have not been left out. These diagnostic tests collectively enhance the robustness and credibility of the regression results</w:t>
      </w:r>
      <w:r w:rsidRPr="00EA38DE">
        <w:rPr>
          <w:rFonts w:ascii="Times New Roman" w:eastAsia="Times New Roman" w:hAnsi="Times New Roman" w:cs="Times New Roman"/>
          <w:sz w:val="24"/>
          <w:szCs w:val="24"/>
        </w:rPr>
        <w:t xml:space="preserve">. </w:t>
      </w:r>
      <w:r w:rsidR="00B21884" w:rsidRPr="00EA38DE">
        <w:rPr>
          <w:rFonts w:ascii="Times New Roman" w:eastAsia="Times New Roman" w:hAnsi="Times New Roman" w:cs="Times New Roman"/>
          <w:spacing w:val="-6"/>
          <w:sz w:val="24"/>
          <w:szCs w:val="24"/>
        </w:rPr>
        <w:t xml:space="preserve">The statistical package </w:t>
      </w:r>
      <w:r w:rsidR="000B100F" w:rsidRPr="00EA38DE">
        <w:rPr>
          <w:rFonts w:ascii="Times New Roman" w:eastAsia="Times New Roman" w:hAnsi="Times New Roman" w:cs="Times New Roman"/>
          <w:spacing w:val="-6"/>
          <w:sz w:val="24"/>
          <w:szCs w:val="24"/>
        </w:rPr>
        <w:t xml:space="preserve">that </w:t>
      </w:r>
      <w:r w:rsidR="00A94971" w:rsidRPr="00EA38DE">
        <w:rPr>
          <w:rFonts w:ascii="Times New Roman" w:eastAsia="Times New Roman" w:hAnsi="Times New Roman" w:cs="Times New Roman"/>
          <w:spacing w:val="-6"/>
          <w:sz w:val="24"/>
          <w:szCs w:val="24"/>
        </w:rPr>
        <w:t>was</w:t>
      </w:r>
      <w:r w:rsidR="00B21884" w:rsidRPr="00EA38DE">
        <w:rPr>
          <w:rFonts w:ascii="Times New Roman" w:eastAsia="Times New Roman" w:hAnsi="Times New Roman" w:cs="Times New Roman"/>
          <w:spacing w:val="-6"/>
          <w:sz w:val="24"/>
          <w:szCs w:val="24"/>
        </w:rPr>
        <w:t xml:space="preserve"> used to run the </w:t>
      </w:r>
      <w:r w:rsidR="00B21884" w:rsidRPr="00EA38DE">
        <w:rPr>
          <w:rStyle w:val="Strong"/>
          <w:rFonts w:ascii="Times New Roman" w:hAnsi="Times New Roman" w:cs="Times New Roman"/>
          <w:b w:val="0"/>
          <w:sz w:val="24"/>
          <w:szCs w:val="24"/>
        </w:rPr>
        <w:t>second-order integrated</w:t>
      </w:r>
      <w:r w:rsidR="00B21884" w:rsidRPr="00EA38DE">
        <w:rPr>
          <w:rFonts w:ascii="Times New Roman" w:hAnsi="Times New Roman" w:cs="Times New Roman"/>
          <w:sz w:val="24"/>
          <w:szCs w:val="24"/>
        </w:rPr>
        <w:t xml:space="preserve"> </w:t>
      </w:r>
      <w:r w:rsidR="00B21884" w:rsidRPr="00EA38DE">
        <w:rPr>
          <w:rFonts w:ascii="Times New Roman" w:eastAsia="Times New Roman" w:hAnsi="Times New Roman" w:cs="Times New Roman"/>
          <w:spacing w:val="-6"/>
          <w:sz w:val="24"/>
          <w:szCs w:val="24"/>
        </w:rPr>
        <w:t xml:space="preserve">analysis is </w:t>
      </w:r>
      <w:bookmarkStart w:id="10" w:name="_Hlk209606492"/>
      <w:r w:rsidR="00B21884" w:rsidRPr="00EA38DE">
        <w:rPr>
          <w:rFonts w:ascii="Times New Roman" w:eastAsia="Times New Roman" w:hAnsi="Times New Roman" w:cs="Times New Roman"/>
          <w:spacing w:val="-6"/>
          <w:sz w:val="24"/>
          <w:szCs w:val="24"/>
        </w:rPr>
        <w:t>Econometric E-Views version 1</w:t>
      </w:r>
      <w:r w:rsidR="00A94971" w:rsidRPr="00EA38DE">
        <w:rPr>
          <w:rFonts w:ascii="Times New Roman" w:eastAsia="Times New Roman" w:hAnsi="Times New Roman" w:cs="Times New Roman"/>
          <w:spacing w:val="-6"/>
          <w:sz w:val="24"/>
          <w:szCs w:val="24"/>
        </w:rPr>
        <w:t>3</w:t>
      </w:r>
      <w:bookmarkEnd w:id="10"/>
      <w:r w:rsidR="00A260A8" w:rsidRPr="00EA38DE">
        <w:rPr>
          <w:rFonts w:ascii="Times New Roman" w:eastAsia="Times New Roman" w:hAnsi="Times New Roman" w:cs="Times New Roman"/>
          <w:spacing w:val="-6"/>
          <w:sz w:val="24"/>
          <w:szCs w:val="24"/>
        </w:rPr>
        <w:t>.</w:t>
      </w:r>
    </w:p>
    <w:p w14:paraId="7E679ADF" w14:textId="77777777" w:rsidR="00343D55" w:rsidRPr="00EA38DE" w:rsidRDefault="00343D55">
      <w:pPr>
        <w:rPr>
          <w:rFonts w:ascii="Times New Roman" w:eastAsia="Times New Roman" w:hAnsi="Times New Roman" w:cs="Times New Roman"/>
          <w:spacing w:val="-6"/>
          <w:sz w:val="24"/>
          <w:szCs w:val="24"/>
        </w:rPr>
      </w:pPr>
      <w:r w:rsidRPr="00EA38DE">
        <w:rPr>
          <w:rFonts w:ascii="Times New Roman" w:eastAsia="Times New Roman" w:hAnsi="Times New Roman" w:cs="Times New Roman"/>
          <w:spacing w:val="-6"/>
          <w:sz w:val="24"/>
          <w:szCs w:val="24"/>
        </w:rPr>
        <w:br w:type="page"/>
      </w:r>
    </w:p>
    <w:p w14:paraId="38908F32" w14:textId="77777777" w:rsidR="00BA4645" w:rsidRPr="00EA38DE" w:rsidRDefault="00BA4645" w:rsidP="0032713F">
      <w:pPr>
        <w:tabs>
          <w:tab w:val="left" w:pos="6960"/>
        </w:tabs>
        <w:spacing w:line="480" w:lineRule="auto"/>
        <w:jc w:val="center"/>
        <w:rPr>
          <w:rFonts w:ascii="Times New Roman" w:hAnsi="Times New Roman" w:cs="Times New Roman"/>
          <w:b/>
          <w:sz w:val="24"/>
          <w:szCs w:val="24"/>
        </w:rPr>
      </w:pPr>
      <w:r w:rsidRPr="00EA38DE">
        <w:rPr>
          <w:rFonts w:ascii="Times New Roman" w:hAnsi="Times New Roman" w:cs="Times New Roman"/>
          <w:b/>
          <w:sz w:val="24"/>
          <w:szCs w:val="24"/>
        </w:rPr>
        <w:lastRenderedPageBreak/>
        <w:t>CHAPTER FOUR</w:t>
      </w:r>
    </w:p>
    <w:p w14:paraId="1CD24E3A" w14:textId="77777777" w:rsidR="00BA4645" w:rsidRPr="00EA38DE" w:rsidRDefault="00BA4645" w:rsidP="0032713F">
      <w:pPr>
        <w:tabs>
          <w:tab w:val="left" w:pos="6960"/>
        </w:tabs>
        <w:spacing w:line="480" w:lineRule="auto"/>
        <w:jc w:val="center"/>
        <w:rPr>
          <w:rFonts w:ascii="Times New Roman" w:hAnsi="Times New Roman" w:cs="Times New Roman"/>
          <w:b/>
          <w:sz w:val="24"/>
          <w:szCs w:val="24"/>
        </w:rPr>
      </w:pPr>
      <w:r w:rsidRPr="00EA38DE">
        <w:rPr>
          <w:rFonts w:ascii="Times New Roman" w:hAnsi="Times New Roman" w:cs="Times New Roman"/>
          <w:b/>
          <w:sz w:val="24"/>
          <w:szCs w:val="24"/>
        </w:rPr>
        <w:t xml:space="preserve">DATA PRESENTATION, ANALYSIS AND INTERPRETATION </w:t>
      </w:r>
    </w:p>
    <w:p w14:paraId="4B0FD179" w14:textId="69A817E1" w:rsidR="00BA4645" w:rsidRPr="00EA38DE" w:rsidRDefault="00BA4645" w:rsidP="0032713F">
      <w:pPr>
        <w:spacing w:line="480" w:lineRule="auto"/>
        <w:jc w:val="both"/>
        <w:rPr>
          <w:rFonts w:ascii="Times New Roman" w:hAnsi="Times New Roman" w:cs="Times New Roman"/>
          <w:b/>
          <w:bCs/>
          <w:sz w:val="24"/>
          <w:szCs w:val="24"/>
        </w:rPr>
      </w:pPr>
      <w:bookmarkStart w:id="11" w:name="_Hlk168600166"/>
      <w:r w:rsidRPr="00EA38DE">
        <w:rPr>
          <w:rFonts w:ascii="Times New Roman" w:hAnsi="Times New Roman" w:cs="Times New Roman"/>
          <w:b/>
          <w:bCs/>
          <w:sz w:val="24"/>
          <w:szCs w:val="24"/>
        </w:rPr>
        <w:t>4.1</w:t>
      </w:r>
      <w:bookmarkEnd w:id="11"/>
      <w:r w:rsidR="0032713F" w:rsidRPr="00EA38DE">
        <w:rPr>
          <w:rFonts w:ascii="Times New Roman" w:hAnsi="Times New Roman" w:cs="Times New Roman"/>
          <w:b/>
          <w:bCs/>
          <w:sz w:val="24"/>
          <w:szCs w:val="24"/>
        </w:rPr>
        <w:tab/>
      </w:r>
      <w:r w:rsidRPr="00EA38DE">
        <w:rPr>
          <w:rFonts w:ascii="Times New Roman" w:hAnsi="Times New Roman" w:cs="Times New Roman"/>
          <w:b/>
          <w:bCs/>
          <w:sz w:val="24"/>
          <w:szCs w:val="24"/>
        </w:rPr>
        <w:t>Introduction</w:t>
      </w:r>
    </w:p>
    <w:p w14:paraId="38E3F6F5" w14:textId="77777777" w:rsidR="00BA4645" w:rsidRPr="00EA38DE" w:rsidRDefault="00BA4645" w:rsidP="0032713F">
      <w:pPr>
        <w:autoSpaceDE w:val="0"/>
        <w:autoSpaceDN w:val="0"/>
        <w:adjustRightInd w:val="0"/>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This chapter focuses on the analysis of the data for the study. In particular, empirical tools are employed in estimating the effects of exchange rate volatility and the blue economy on the development and performance of the shipping industry in Nigeria within a time series framework. This empirical analysis involves the interpretation of the estimated models from the previous chapter as well as the tests of hypotheses. In particular, both statistical and econometric tools are employed to demonstrate the empirical relationships in the study. The characteristics of the dataset are initially described using summary statistics and trend analysis, while the coefficients that explain the main relationships of the study are estimated using econometric framework and analysis. The econometric analysis is performed in line with the objectives of the study, with particular focus on the dynamic relationships among the variables. Hence, as described in chapter three, the autoregressive distributed lags (ARDL) technique is used for the analysis. This implies that the time series characteristics of the dataset are initially tested applying both the unit root and cointegration tests.  </w:t>
      </w:r>
    </w:p>
    <w:p w14:paraId="59D51E61" w14:textId="5B5894D1" w:rsidR="00BA4645" w:rsidRPr="00EA38DE" w:rsidRDefault="0032713F" w:rsidP="0032713F">
      <w:pPr>
        <w:autoSpaceDE w:val="0"/>
        <w:autoSpaceDN w:val="0"/>
        <w:adjustRightInd w:val="0"/>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4.2</w:t>
      </w:r>
      <w:r w:rsidRPr="00EA38DE">
        <w:rPr>
          <w:rFonts w:ascii="Times New Roman" w:hAnsi="Times New Roman" w:cs="Times New Roman"/>
          <w:b/>
          <w:bCs/>
          <w:sz w:val="24"/>
          <w:szCs w:val="24"/>
        </w:rPr>
        <w:tab/>
      </w:r>
      <w:r w:rsidR="00BA4645" w:rsidRPr="00EA38DE">
        <w:rPr>
          <w:rFonts w:ascii="Times New Roman" w:hAnsi="Times New Roman" w:cs="Times New Roman"/>
          <w:b/>
          <w:bCs/>
          <w:sz w:val="24"/>
          <w:szCs w:val="24"/>
        </w:rPr>
        <w:t xml:space="preserve">Descriptive Statistics </w:t>
      </w:r>
    </w:p>
    <w:p w14:paraId="5FFB5DE8" w14:textId="615452DC" w:rsidR="00BA4645" w:rsidRPr="00EA38DE" w:rsidRDefault="00BA4645" w:rsidP="0032713F">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Table 4.1 presents the descriptive statistics for the variables in the study. The major variables in the descriptive statistics are stated in terms of their annual changes in order to derive better perspectives of their behaviour. For the shipping industry variables, average annual growth in container throughput is 6.35% which is moderate and indicates that expansion in container handling volumes over the sample period has not been too drastic. This suggests that the ports in </w:t>
      </w:r>
      <w:r w:rsidRPr="00EA38DE">
        <w:rPr>
          <w:rFonts w:ascii="Times New Roman" w:hAnsi="Times New Roman" w:cs="Times New Roman"/>
          <w:sz w:val="24"/>
          <w:szCs w:val="24"/>
        </w:rPr>
        <w:lastRenderedPageBreak/>
        <w:t xml:space="preserve">Nigeria have experienced steady and positive growth on average. The moderate growth however masks significant volatility in cargo throughput over the period with a high standard deviation of 13.79% which is nearly twice the mean value. This shows significant </w:t>
      </w:r>
      <w:r w:rsidR="00D807A1" w:rsidRPr="00EA38DE">
        <w:rPr>
          <w:rFonts w:ascii="Times New Roman" w:hAnsi="Times New Roman" w:cs="Times New Roman"/>
          <w:sz w:val="24"/>
          <w:szCs w:val="24"/>
        </w:rPr>
        <w:t>volatility</w:t>
      </w:r>
      <w:r w:rsidRPr="00EA38DE">
        <w:rPr>
          <w:rFonts w:ascii="Times New Roman" w:hAnsi="Times New Roman" w:cs="Times New Roman"/>
          <w:sz w:val="24"/>
          <w:szCs w:val="24"/>
        </w:rPr>
        <w:t xml:space="preserve"> annually or periodic swings in throughput growth, although most of the swings have been largely positive as shown by the positive skewness at 1.91. The J-B statistic fails to reject normality which suggests the data is reasonably symmetric despite the tails, meaning that the dataset have no outliers that can generate estimation issues for the models used in the study. This supports reliable mean-based forecasting for throughput growth. </w:t>
      </w:r>
    </w:p>
    <w:p w14:paraId="494E71FC" w14:textId="77777777" w:rsidR="00BA4645" w:rsidRPr="00EA38DE" w:rsidRDefault="00BA4645" w:rsidP="00BA4645">
      <w:pPr>
        <w:spacing w:after="0"/>
        <w:rPr>
          <w:rFonts w:ascii="Times New Roman" w:hAnsi="Times New Roman" w:cs="Times New Roman"/>
          <w:b/>
          <w:bCs/>
          <w:sz w:val="20"/>
          <w:szCs w:val="20"/>
        </w:rPr>
      </w:pPr>
      <w:r w:rsidRPr="00EA38DE">
        <w:rPr>
          <w:rFonts w:ascii="Times New Roman" w:hAnsi="Times New Roman" w:cs="Times New Roman"/>
          <w:b/>
          <w:bCs/>
          <w:sz w:val="20"/>
          <w:szCs w:val="20"/>
        </w:rPr>
        <w:t>Table 4.1: Descriptive Statistics</w:t>
      </w:r>
    </w:p>
    <w:tbl>
      <w:tblPr>
        <w:tblW w:w="9384" w:type="dxa"/>
        <w:tblBorders>
          <w:top w:val="single" w:sz="4" w:space="0" w:color="auto"/>
          <w:bottom w:val="single" w:sz="4" w:space="0" w:color="auto"/>
        </w:tblBorders>
        <w:tblLook w:val="04A0" w:firstRow="1" w:lastRow="0" w:firstColumn="1" w:lastColumn="0" w:noHBand="0" w:noVBand="1"/>
      </w:tblPr>
      <w:tblGrid>
        <w:gridCol w:w="1010"/>
        <w:gridCol w:w="1031"/>
        <w:gridCol w:w="1094"/>
        <w:gridCol w:w="1031"/>
        <w:gridCol w:w="1031"/>
        <w:gridCol w:w="1031"/>
        <w:gridCol w:w="1031"/>
        <w:gridCol w:w="1094"/>
        <w:gridCol w:w="1031"/>
      </w:tblGrid>
      <w:tr w:rsidR="00EA38DE" w:rsidRPr="00EA38DE" w14:paraId="712B6D70" w14:textId="77777777" w:rsidTr="009501B5">
        <w:trPr>
          <w:trHeight w:val="413"/>
        </w:trPr>
        <w:tc>
          <w:tcPr>
            <w:tcW w:w="1010" w:type="dxa"/>
            <w:tcBorders>
              <w:top w:val="single" w:sz="4" w:space="0" w:color="auto"/>
              <w:bottom w:val="single" w:sz="4" w:space="0" w:color="auto"/>
            </w:tcBorders>
            <w:noWrap/>
            <w:vAlign w:val="center"/>
            <w:hideMark/>
          </w:tcPr>
          <w:p w14:paraId="6177AF2E" w14:textId="77777777" w:rsidR="00BA4645" w:rsidRPr="00EA38DE" w:rsidRDefault="00BA4645" w:rsidP="009501B5">
            <w:pPr>
              <w:spacing w:after="0" w:line="240" w:lineRule="auto"/>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Variable</w:t>
            </w:r>
          </w:p>
        </w:tc>
        <w:tc>
          <w:tcPr>
            <w:tcW w:w="1031" w:type="dxa"/>
            <w:tcBorders>
              <w:top w:val="single" w:sz="4" w:space="0" w:color="auto"/>
              <w:bottom w:val="single" w:sz="4" w:space="0" w:color="auto"/>
            </w:tcBorders>
            <w:noWrap/>
            <w:vAlign w:val="center"/>
            <w:hideMark/>
          </w:tcPr>
          <w:p w14:paraId="4788615C"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Mean</w:t>
            </w:r>
          </w:p>
        </w:tc>
        <w:tc>
          <w:tcPr>
            <w:tcW w:w="1094" w:type="dxa"/>
            <w:tcBorders>
              <w:top w:val="single" w:sz="4" w:space="0" w:color="auto"/>
              <w:bottom w:val="single" w:sz="4" w:space="0" w:color="auto"/>
            </w:tcBorders>
            <w:noWrap/>
            <w:vAlign w:val="center"/>
            <w:hideMark/>
          </w:tcPr>
          <w:p w14:paraId="560BE49B"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Max.</w:t>
            </w:r>
          </w:p>
        </w:tc>
        <w:tc>
          <w:tcPr>
            <w:tcW w:w="1031" w:type="dxa"/>
            <w:tcBorders>
              <w:top w:val="single" w:sz="4" w:space="0" w:color="auto"/>
              <w:bottom w:val="single" w:sz="4" w:space="0" w:color="auto"/>
            </w:tcBorders>
            <w:noWrap/>
            <w:vAlign w:val="center"/>
            <w:hideMark/>
          </w:tcPr>
          <w:p w14:paraId="214DF483"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Min.</w:t>
            </w:r>
          </w:p>
        </w:tc>
        <w:tc>
          <w:tcPr>
            <w:tcW w:w="1031" w:type="dxa"/>
            <w:tcBorders>
              <w:top w:val="single" w:sz="4" w:space="0" w:color="auto"/>
              <w:bottom w:val="single" w:sz="4" w:space="0" w:color="auto"/>
            </w:tcBorders>
            <w:noWrap/>
            <w:vAlign w:val="center"/>
            <w:hideMark/>
          </w:tcPr>
          <w:p w14:paraId="46AA1623"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Std. Dev.</w:t>
            </w:r>
          </w:p>
        </w:tc>
        <w:tc>
          <w:tcPr>
            <w:tcW w:w="1031" w:type="dxa"/>
            <w:tcBorders>
              <w:top w:val="single" w:sz="4" w:space="0" w:color="auto"/>
              <w:bottom w:val="single" w:sz="4" w:space="0" w:color="auto"/>
            </w:tcBorders>
            <w:noWrap/>
            <w:vAlign w:val="center"/>
            <w:hideMark/>
          </w:tcPr>
          <w:p w14:paraId="062020AC"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Skew.</w:t>
            </w:r>
          </w:p>
        </w:tc>
        <w:tc>
          <w:tcPr>
            <w:tcW w:w="1031" w:type="dxa"/>
            <w:tcBorders>
              <w:top w:val="single" w:sz="4" w:space="0" w:color="auto"/>
              <w:bottom w:val="single" w:sz="4" w:space="0" w:color="auto"/>
            </w:tcBorders>
            <w:noWrap/>
            <w:vAlign w:val="center"/>
            <w:hideMark/>
          </w:tcPr>
          <w:p w14:paraId="199225CD"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Kurt.</w:t>
            </w:r>
          </w:p>
        </w:tc>
        <w:tc>
          <w:tcPr>
            <w:tcW w:w="1094" w:type="dxa"/>
            <w:tcBorders>
              <w:top w:val="single" w:sz="4" w:space="0" w:color="auto"/>
              <w:bottom w:val="single" w:sz="4" w:space="0" w:color="auto"/>
            </w:tcBorders>
            <w:noWrap/>
            <w:vAlign w:val="center"/>
            <w:hideMark/>
          </w:tcPr>
          <w:p w14:paraId="16C0EF9C"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J-B</w:t>
            </w:r>
          </w:p>
        </w:tc>
        <w:tc>
          <w:tcPr>
            <w:tcW w:w="1031" w:type="dxa"/>
            <w:tcBorders>
              <w:top w:val="single" w:sz="4" w:space="0" w:color="auto"/>
              <w:bottom w:val="single" w:sz="4" w:space="0" w:color="auto"/>
            </w:tcBorders>
            <w:noWrap/>
            <w:vAlign w:val="center"/>
            <w:hideMark/>
          </w:tcPr>
          <w:p w14:paraId="02B4E7C0"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r>
      <w:tr w:rsidR="00EA38DE" w:rsidRPr="00EA38DE" w14:paraId="7D15CC50" w14:textId="77777777" w:rsidTr="009501B5">
        <w:trPr>
          <w:trHeight w:val="413"/>
        </w:trPr>
        <w:tc>
          <w:tcPr>
            <w:tcW w:w="1010" w:type="dxa"/>
            <w:tcBorders>
              <w:top w:val="single" w:sz="4" w:space="0" w:color="auto"/>
            </w:tcBorders>
            <w:noWrap/>
            <w:vAlign w:val="center"/>
            <w:hideMark/>
          </w:tcPr>
          <w:p w14:paraId="2A1266D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CTPG</w:t>
            </w:r>
          </w:p>
        </w:tc>
        <w:tc>
          <w:tcPr>
            <w:tcW w:w="1031" w:type="dxa"/>
            <w:tcBorders>
              <w:top w:val="single" w:sz="4" w:space="0" w:color="auto"/>
            </w:tcBorders>
            <w:noWrap/>
            <w:vAlign w:val="center"/>
            <w:hideMark/>
          </w:tcPr>
          <w:p w14:paraId="1F0007F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6.35</w:t>
            </w:r>
          </w:p>
        </w:tc>
        <w:tc>
          <w:tcPr>
            <w:tcW w:w="1094" w:type="dxa"/>
            <w:tcBorders>
              <w:top w:val="single" w:sz="4" w:space="0" w:color="auto"/>
            </w:tcBorders>
            <w:noWrap/>
            <w:vAlign w:val="center"/>
            <w:hideMark/>
          </w:tcPr>
          <w:p w14:paraId="5F3E81F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59.32</w:t>
            </w:r>
          </w:p>
        </w:tc>
        <w:tc>
          <w:tcPr>
            <w:tcW w:w="1031" w:type="dxa"/>
            <w:tcBorders>
              <w:top w:val="single" w:sz="4" w:space="0" w:color="auto"/>
            </w:tcBorders>
            <w:noWrap/>
            <w:vAlign w:val="center"/>
            <w:hideMark/>
          </w:tcPr>
          <w:p w14:paraId="7C0CEED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-17.63</w:t>
            </w:r>
          </w:p>
        </w:tc>
        <w:tc>
          <w:tcPr>
            <w:tcW w:w="1031" w:type="dxa"/>
            <w:tcBorders>
              <w:top w:val="single" w:sz="4" w:space="0" w:color="auto"/>
            </w:tcBorders>
            <w:noWrap/>
            <w:vAlign w:val="center"/>
            <w:hideMark/>
          </w:tcPr>
          <w:p w14:paraId="1734AA7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13.79</w:t>
            </w:r>
          </w:p>
        </w:tc>
        <w:tc>
          <w:tcPr>
            <w:tcW w:w="1031" w:type="dxa"/>
            <w:tcBorders>
              <w:top w:val="single" w:sz="4" w:space="0" w:color="auto"/>
            </w:tcBorders>
            <w:noWrap/>
            <w:vAlign w:val="center"/>
            <w:hideMark/>
          </w:tcPr>
          <w:p w14:paraId="5A7B8B3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1.91</w:t>
            </w:r>
          </w:p>
        </w:tc>
        <w:tc>
          <w:tcPr>
            <w:tcW w:w="1031" w:type="dxa"/>
            <w:tcBorders>
              <w:top w:val="single" w:sz="4" w:space="0" w:color="auto"/>
            </w:tcBorders>
            <w:noWrap/>
            <w:vAlign w:val="center"/>
            <w:hideMark/>
          </w:tcPr>
          <w:p w14:paraId="50979DF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8.55</w:t>
            </w:r>
          </w:p>
        </w:tc>
        <w:tc>
          <w:tcPr>
            <w:tcW w:w="1094" w:type="dxa"/>
            <w:tcBorders>
              <w:top w:val="single" w:sz="4" w:space="0" w:color="auto"/>
            </w:tcBorders>
            <w:noWrap/>
            <w:vAlign w:val="center"/>
            <w:hideMark/>
          </w:tcPr>
          <w:p w14:paraId="6394957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2.41</w:t>
            </w:r>
          </w:p>
        </w:tc>
        <w:tc>
          <w:tcPr>
            <w:tcW w:w="1031" w:type="dxa"/>
            <w:tcBorders>
              <w:top w:val="single" w:sz="4" w:space="0" w:color="auto"/>
            </w:tcBorders>
            <w:noWrap/>
            <w:vAlign w:val="center"/>
            <w:hideMark/>
          </w:tcPr>
          <w:p w14:paraId="563652D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0.30</w:t>
            </w:r>
          </w:p>
        </w:tc>
      </w:tr>
      <w:tr w:rsidR="00EA38DE" w:rsidRPr="00EA38DE" w14:paraId="78D83E43" w14:textId="77777777" w:rsidTr="009501B5">
        <w:trPr>
          <w:trHeight w:val="413"/>
        </w:trPr>
        <w:tc>
          <w:tcPr>
            <w:tcW w:w="1010" w:type="dxa"/>
            <w:noWrap/>
            <w:vAlign w:val="center"/>
            <w:hideMark/>
          </w:tcPr>
          <w:p w14:paraId="484C05B5"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PORG</w:t>
            </w:r>
          </w:p>
        </w:tc>
        <w:tc>
          <w:tcPr>
            <w:tcW w:w="1031" w:type="dxa"/>
            <w:noWrap/>
            <w:vAlign w:val="center"/>
            <w:hideMark/>
          </w:tcPr>
          <w:p w14:paraId="2783D94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30.20</w:t>
            </w:r>
          </w:p>
        </w:tc>
        <w:tc>
          <w:tcPr>
            <w:tcW w:w="1094" w:type="dxa"/>
            <w:noWrap/>
            <w:vAlign w:val="center"/>
            <w:hideMark/>
          </w:tcPr>
          <w:p w14:paraId="0833618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218.63</w:t>
            </w:r>
          </w:p>
        </w:tc>
        <w:tc>
          <w:tcPr>
            <w:tcW w:w="1031" w:type="dxa"/>
            <w:noWrap/>
            <w:vAlign w:val="center"/>
            <w:hideMark/>
          </w:tcPr>
          <w:p w14:paraId="3631E8C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-65.55</w:t>
            </w:r>
          </w:p>
        </w:tc>
        <w:tc>
          <w:tcPr>
            <w:tcW w:w="1031" w:type="dxa"/>
            <w:noWrap/>
            <w:vAlign w:val="center"/>
            <w:hideMark/>
          </w:tcPr>
          <w:p w14:paraId="33BC585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50.17</w:t>
            </w:r>
          </w:p>
        </w:tc>
        <w:tc>
          <w:tcPr>
            <w:tcW w:w="1031" w:type="dxa"/>
            <w:noWrap/>
            <w:vAlign w:val="center"/>
            <w:hideMark/>
          </w:tcPr>
          <w:p w14:paraId="5B94C11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1.65</w:t>
            </w:r>
          </w:p>
        </w:tc>
        <w:tc>
          <w:tcPr>
            <w:tcW w:w="1031" w:type="dxa"/>
            <w:noWrap/>
            <w:vAlign w:val="center"/>
            <w:hideMark/>
          </w:tcPr>
          <w:p w14:paraId="74C15D6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7.37</w:t>
            </w:r>
          </w:p>
        </w:tc>
        <w:tc>
          <w:tcPr>
            <w:tcW w:w="1094" w:type="dxa"/>
            <w:noWrap/>
            <w:vAlign w:val="center"/>
            <w:hideMark/>
          </w:tcPr>
          <w:p w14:paraId="39286F5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3.41</w:t>
            </w:r>
          </w:p>
        </w:tc>
        <w:tc>
          <w:tcPr>
            <w:tcW w:w="1031" w:type="dxa"/>
            <w:noWrap/>
            <w:vAlign w:val="center"/>
            <w:hideMark/>
          </w:tcPr>
          <w:p w14:paraId="5F4518E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w:t>
            </w:r>
          </w:p>
        </w:tc>
      </w:tr>
      <w:tr w:rsidR="00EA38DE" w:rsidRPr="00EA38DE" w14:paraId="3370C19C" w14:textId="77777777" w:rsidTr="009501B5">
        <w:trPr>
          <w:trHeight w:val="413"/>
        </w:trPr>
        <w:tc>
          <w:tcPr>
            <w:tcW w:w="1010" w:type="dxa"/>
            <w:noWrap/>
            <w:vAlign w:val="center"/>
            <w:hideMark/>
          </w:tcPr>
          <w:p w14:paraId="1AD977F8"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SHPCG</w:t>
            </w:r>
          </w:p>
        </w:tc>
        <w:tc>
          <w:tcPr>
            <w:tcW w:w="1031" w:type="dxa"/>
            <w:noWrap/>
            <w:vAlign w:val="center"/>
            <w:hideMark/>
          </w:tcPr>
          <w:p w14:paraId="23DC20A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1.52</w:t>
            </w:r>
          </w:p>
        </w:tc>
        <w:tc>
          <w:tcPr>
            <w:tcW w:w="1094" w:type="dxa"/>
            <w:noWrap/>
            <w:vAlign w:val="center"/>
            <w:hideMark/>
          </w:tcPr>
          <w:p w14:paraId="4EDDDCB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40.23</w:t>
            </w:r>
          </w:p>
        </w:tc>
        <w:tc>
          <w:tcPr>
            <w:tcW w:w="1031" w:type="dxa"/>
            <w:noWrap/>
            <w:vAlign w:val="center"/>
            <w:hideMark/>
          </w:tcPr>
          <w:p w14:paraId="306A4DB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-37.24</w:t>
            </w:r>
          </w:p>
        </w:tc>
        <w:tc>
          <w:tcPr>
            <w:tcW w:w="1031" w:type="dxa"/>
            <w:noWrap/>
            <w:vAlign w:val="center"/>
            <w:hideMark/>
          </w:tcPr>
          <w:p w14:paraId="79339C5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13.97</w:t>
            </w:r>
          </w:p>
        </w:tc>
        <w:tc>
          <w:tcPr>
            <w:tcW w:w="1031" w:type="dxa"/>
            <w:noWrap/>
            <w:vAlign w:val="center"/>
            <w:hideMark/>
          </w:tcPr>
          <w:p w14:paraId="4C01F7B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0.33</w:t>
            </w:r>
          </w:p>
        </w:tc>
        <w:tc>
          <w:tcPr>
            <w:tcW w:w="1031" w:type="dxa"/>
            <w:noWrap/>
            <w:vAlign w:val="center"/>
            <w:hideMark/>
          </w:tcPr>
          <w:p w14:paraId="028A262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5.28</w:t>
            </w:r>
          </w:p>
        </w:tc>
        <w:tc>
          <w:tcPr>
            <w:tcW w:w="1094" w:type="dxa"/>
            <w:noWrap/>
            <w:vAlign w:val="center"/>
            <w:hideMark/>
          </w:tcPr>
          <w:p w14:paraId="08E5FF0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3.96</w:t>
            </w:r>
          </w:p>
        </w:tc>
        <w:tc>
          <w:tcPr>
            <w:tcW w:w="1031" w:type="dxa"/>
            <w:noWrap/>
            <w:vAlign w:val="center"/>
            <w:hideMark/>
          </w:tcPr>
          <w:p w14:paraId="7A769CF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0.14</w:t>
            </w:r>
          </w:p>
        </w:tc>
      </w:tr>
      <w:tr w:rsidR="00EA38DE" w:rsidRPr="00EA38DE" w14:paraId="6D43CD3B" w14:textId="77777777" w:rsidTr="009501B5">
        <w:trPr>
          <w:trHeight w:val="413"/>
        </w:trPr>
        <w:tc>
          <w:tcPr>
            <w:tcW w:w="1010" w:type="dxa"/>
            <w:noWrap/>
            <w:vAlign w:val="center"/>
            <w:hideMark/>
          </w:tcPr>
          <w:p w14:paraId="07C03B0B"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EXRTV</w:t>
            </w:r>
          </w:p>
        </w:tc>
        <w:tc>
          <w:tcPr>
            <w:tcW w:w="1031" w:type="dxa"/>
            <w:noWrap/>
            <w:vAlign w:val="center"/>
            <w:hideMark/>
          </w:tcPr>
          <w:p w14:paraId="74A5BF6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43.42</w:t>
            </w:r>
          </w:p>
        </w:tc>
        <w:tc>
          <w:tcPr>
            <w:tcW w:w="1094" w:type="dxa"/>
            <w:noWrap/>
            <w:vAlign w:val="center"/>
            <w:hideMark/>
          </w:tcPr>
          <w:p w14:paraId="15ACCB4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1023.0</w:t>
            </w:r>
          </w:p>
        </w:tc>
        <w:tc>
          <w:tcPr>
            <w:tcW w:w="1031" w:type="dxa"/>
            <w:noWrap/>
            <w:vAlign w:val="center"/>
            <w:hideMark/>
          </w:tcPr>
          <w:p w14:paraId="20FF3C2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-55.00</w:t>
            </w:r>
          </w:p>
        </w:tc>
        <w:tc>
          <w:tcPr>
            <w:tcW w:w="1031" w:type="dxa"/>
            <w:noWrap/>
            <w:vAlign w:val="center"/>
            <w:hideMark/>
          </w:tcPr>
          <w:p w14:paraId="7AB4A54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175.92</w:t>
            </w:r>
          </w:p>
        </w:tc>
        <w:tc>
          <w:tcPr>
            <w:tcW w:w="1031" w:type="dxa"/>
            <w:noWrap/>
            <w:vAlign w:val="center"/>
            <w:hideMark/>
          </w:tcPr>
          <w:p w14:paraId="7F3646B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5.30</w:t>
            </w:r>
          </w:p>
        </w:tc>
        <w:tc>
          <w:tcPr>
            <w:tcW w:w="1031" w:type="dxa"/>
            <w:noWrap/>
            <w:vAlign w:val="center"/>
            <w:hideMark/>
          </w:tcPr>
          <w:p w14:paraId="6044199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30.02</w:t>
            </w:r>
          </w:p>
        </w:tc>
        <w:tc>
          <w:tcPr>
            <w:tcW w:w="1094" w:type="dxa"/>
            <w:noWrap/>
            <w:vAlign w:val="center"/>
            <w:hideMark/>
          </w:tcPr>
          <w:p w14:paraId="2F97D0B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1308.71</w:t>
            </w:r>
          </w:p>
        </w:tc>
        <w:tc>
          <w:tcPr>
            <w:tcW w:w="1031" w:type="dxa"/>
            <w:noWrap/>
            <w:vAlign w:val="center"/>
            <w:hideMark/>
          </w:tcPr>
          <w:p w14:paraId="6E2DC74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r>
      <w:tr w:rsidR="00EA38DE" w:rsidRPr="00EA38DE" w14:paraId="4F7D48EA" w14:textId="77777777" w:rsidTr="009501B5">
        <w:trPr>
          <w:trHeight w:val="413"/>
        </w:trPr>
        <w:tc>
          <w:tcPr>
            <w:tcW w:w="1010" w:type="dxa"/>
            <w:noWrap/>
            <w:vAlign w:val="center"/>
            <w:hideMark/>
          </w:tcPr>
          <w:p w14:paraId="5D253EC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AQTG</w:t>
            </w:r>
          </w:p>
        </w:tc>
        <w:tc>
          <w:tcPr>
            <w:tcW w:w="1031" w:type="dxa"/>
            <w:noWrap/>
            <w:vAlign w:val="center"/>
            <w:hideMark/>
          </w:tcPr>
          <w:p w14:paraId="78E72DB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11.00</w:t>
            </w:r>
          </w:p>
        </w:tc>
        <w:tc>
          <w:tcPr>
            <w:tcW w:w="1094" w:type="dxa"/>
            <w:noWrap/>
            <w:vAlign w:val="center"/>
            <w:hideMark/>
          </w:tcPr>
          <w:p w14:paraId="57D2A1B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109.13</w:t>
            </w:r>
          </w:p>
        </w:tc>
        <w:tc>
          <w:tcPr>
            <w:tcW w:w="1031" w:type="dxa"/>
            <w:noWrap/>
            <w:vAlign w:val="center"/>
            <w:hideMark/>
          </w:tcPr>
          <w:p w14:paraId="4694006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-71.57</w:t>
            </w:r>
          </w:p>
        </w:tc>
        <w:tc>
          <w:tcPr>
            <w:tcW w:w="1031" w:type="dxa"/>
            <w:noWrap/>
            <w:vAlign w:val="center"/>
            <w:hideMark/>
          </w:tcPr>
          <w:p w14:paraId="36E0CF2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28.68</w:t>
            </w:r>
          </w:p>
        </w:tc>
        <w:tc>
          <w:tcPr>
            <w:tcW w:w="1031" w:type="dxa"/>
            <w:noWrap/>
            <w:vAlign w:val="center"/>
            <w:hideMark/>
          </w:tcPr>
          <w:p w14:paraId="6977F38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0.80</w:t>
            </w:r>
          </w:p>
        </w:tc>
        <w:tc>
          <w:tcPr>
            <w:tcW w:w="1031" w:type="dxa"/>
            <w:noWrap/>
            <w:vAlign w:val="center"/>
            <w:hideMark/>
          </w:tcPr>
          <w:p w14:paraId="39C6F64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7.16</w:t>
            </w:r>
          </w:p>
        </w:tc>
        <w:tc>
          <w:tcPr>
            <w:tcW w:w="1094" w:type="dxa"/>
            <w:noWrap/>
            <w:vAlign w:val="center"/>
            <w:hideMark/>
          </w:tcPr>
          <w:p w14:paraId="20E4143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4.70</w:t>
            </w:r>
          </w:p>
        </w:tc>
        <w:tc>
          <w:tcPr>
            <w:tcW w:w="1031" w:type="dxa"/>
            <w:noWrap/>
            <w:vAlign w:val="center"/>
            <w:hideMark/>
          </w:tcPr>
          <w:p w14:paraId="68E90BF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0.10</w:t>
            </w:r>
          </w:p>
        </w:tc>
      </w:tr>
      <w:tr w:rsidR="00EA38DE" w:rsidRPr="00EA38DE" w14:paraId="3CF1179A" w14:textId="77777777" w:rsidTr="009501B5">
        <w:trPr>
          <w:trHeight w:val="413"/>
        </w:trPr>
        <w:tc>
          <w:tcPr>
            <w:tcW w:w="1010" w:type="dxa"/>
            <w:noWrap/>
            <w:vAlign w:val="center"/>
            <w:hideMark/>
          </w:tcPr>
          <w:p w14:paraId="146323B5"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DLNTR</w:t>
            </w:r>
          </w:p>
        </w:tc>
        <w:tc>
          <w:tcPr>
            <w:tcW w:w="1031" w:type="dxa"/>
            <w:noWrap/>
            <w:vAlign w:val="center"/>
            <w:hideMark/>
          </w:tcPr>
          <w:p w14:paraId="3A5DA36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3.55</w:t>
            </w:r>
          </w:p>
        </w:tc>
        <w:tc>
          <w:tcPr>
            <w:tcW w:w="1094" w:type="dxa"/>
            <w:noWrap/>
            <w:vAlign w:val="center"/>
            <w:hideMark/>
          </w:tcPr>
          <w:p w14:paraId="35529FA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31.28</w:t>
            </w:r>
          </w:p>
        </w:tc>
        <w:tc>
          <w:tcPr>
            <w:tcW w:w="1031" w:type="dxa"/>
            <w:noWrap/>
            <w:vAlign w:val="center"/>
            <w:hideMark/>
          </w:tcPr>
          <w:p w14:paraId="3DC39F7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-20.88</w:t>
            </w:r>
          </w:p>
        </w:tc>
        <w:tc>
          <w:tcPr>
            <w:tcW w:w="1031" w:type="dxa"/>
            <w:noWrap/>
            <w:vAlign w:val="center"/>
            <w:hideMark/>
          </w:tcPr>
          <w:p w14:paraId="14C94AE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10.96</w:t>
            </w:r>
          </w:p>
        </w:tc>
        <w:tc>
          <w:tcPr>
            <w:tcW w:w="1031" w:type="dxa"/>
            <w:noWrap/>
            <w:vAlign w:val="center"/>
            <w:hideMark/>
          </w:tcPr>
          <w:p w14:paraId="094A91D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0.30</w:t>
            </w:r>
          </w:p>
        </w:tc>
        <w:tc>
          <w:tcPr>
            <w:tcW w:w="1031" w:type="dxa"/>
            <w:noWrap/>
            <w:vAlign w:val="center"/>
            <w:hideMark/>
          </w:tcPr>
          <w:p w14:paraId="0CCA123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3.45</w:t>
            </w:r>
          </w:p>
        </w:tc>
        <w:tc>
          <w:tcPr>
            <w:tcW w:w="1094" w:type="dxa"/>
            <w:noWrap/>
            <w:vAlign w:val="center"/>
            <w:hideMark/>
          </w:tcPr>
          <w:p w14:paraId="3F28ABE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1.91</w:t>
            </w:r>
          </w:p>
        </w:tc>
        <w:tc>
          <w:tcPr>
            <w:tcW w:w="1031" w:type="dxa"/>
            <w:noWrap/>
            <w:vAlign w:val="center"/>
            <w:hideMark/>
          </w:tcPr>
          <w:p w14:paraId="1657AF6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0.38</w:t>
            </w:r>
          </w:p>
        </w:tc>
      </w:tr>
      <w:tr w:rsidR="00EA38DE" w:rsidRPr="00EA38DE" w14:paraId="388BA4EC" w14:textId="77777777" w:rsidTr="009501B5">
        <w:trPr>
          <w:trHeight w:val="413"/>
        </w:trPr>
        <w:tc>
          <w:tcPr>
            <w:tcW w:w="1010" w:type="dxa"/>
            <w:noWrap/>
            <w:vAlign w:val="center"/>
            <w:hideMark/>
          </w:tcPr>
          <w:p w14:paraId="08233B3A"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FSHG</w:t>
            </w:r>
          </w:p>
        </w:tc>
        <w:tc>
          <w:tcPr>
            <w:tcW w:w="1031" w:type="dxa"/>
            <w:noWrap/>
            <w:vAlign w:val="center"/>
            <w:hideMark/>
          </w:tcPr>
          <w:p w14:paraId="4AA3D01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4.20</w:t>
            </w:r>
          </w:p>
        </w:tc>
        <w:tc>
          <w:tcPr>
            <w:tcW w:w="1094" w:type="dxa"/>
            <w:noWrap/>
            <w:vAlign w:val="center"/>
            <w:hideMark/>
          </w:tcPr>
          <w:p w14:paraId="0973397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30.18</w:t>
            </w:r>
          </w:p>
        </w:tc>
        <w:tc>
          <w:tcPr>
            <w:tcW w:w="1031" w:type="dxa"/>
            <w:noWrap/>
            <w:vAlign w:val="center"/>
            <w:hideMark/>
          </w:tcPr>
          <w:p w14:paraId="2470FAD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-19.76</w:t>
            </w:r>
          </w:p>
        </w:tc>
        <w:tc>
          <w:tcPr>
            <w:tcW w:w="1031" w:type="dxa"/>
            <w:noWrap/>
            <w:vAlign w:val="center"/>
            <w:hideMark/>
          </w:tcPr>
          <w:p w14:paraId="1D53540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10.22</w:t>
            </w:r>
          </w:p>
        </w:tc>
        <w:tc>
          <w:tcPr>
            <w:tcW w:w="1031" w:type="dxa"/>
            <w:noWrap/>
            <w:vAlign w:val="center"/>
            <w:hideMark/>
          </w:tcPr>
          <w:p w14:paraId="20CAA50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0.18</w:t>
            </w:r>
          </w:p>
        </w:tc>
        <w:tc>
          <w:tcPr>
            <w:tcW w:w="1031" w:type="dxa"/>
            <w:noWrap/>
            <w:vAlign w:val="center"/>
            <w:hideMark/>
          </w:tcPr>
          <w:p w14:paraId="192997E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3.37</w:t>
            </w:r>
          </w:p>
        </w:tc>
        <w:tc>
          <w:tcPr>
            <w:tcW w:w="1094" w:type="dxa"/>
            <w:noWrap/>
            <w:vAlign w:val="center"/>
            <w:hideMark/>
          </w:tcPr>
          <w:p w14:paraId="6BB5E9C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3.33</w:t>
            </w:r>
          </w:p>
        </w:tc>
        <w:tc>
          <w:tcPr>
            <w:tcW w:w="1031" w:type="dxa"/>
            <w:noWrap/>
            <w:vAlign w:val="center"/>
            <w:hideMark/>
          </w:tcPr>
          <w:p w14:paraId="3CD7A96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0.19</w:t>
            </w:r>
          </w:p>
        </w:tc>
      </w:tr>
      <w:tr w:rsidR="00EA38DE" w:rsidRPr="00EA38DE" w14:paraId="7BABA8DC" w14:textId="77777777" w:rsidTr="009501B5">
        <w:trPr>
          <w:trHeight w:val="413"/>
        </w:trPr>
        <w:tc>
          <w:tcPr>
            <w:tcW w:w="1010" w:type="dxa"/>
            <w:noWrap/>
            <w:vAlign w:val="center"/>
            <w:hideMark/>
          </w:tcPr>
          <w:p w14:paraId="6042C1E8"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IFR</w:t>
            </w:r>
          </w:p>
        </w:tc>
        <w:tc>
          <w:tcPr>
            <w:tcW w:w="1031" w:type="dxa"/>
            <w:noWrap/>
            <w:vAlign w:val="center"/>
            <w:hideMark/>
          </w:tcPr>
          <w:p w14:paraId="7C15C8C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19.02</w:t>
            </w:r>
          </w:p>
        </w:tc>
        <w:tc>
          <w:tcPr>
            <w:tcW w:w="1094" w:type="dxa"/>
            <w:noWrap/>
            <w:vAlign w:val="center"/>
            <w:hideMark/>
          </w:tcPr>
          <w:p w14:paraId="6AC38E6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72.84</w:t>
            </w:r>
          </w:p>
        </w:tc>
        <w:tc>
          <w:tcPr>
            <w:tcW w:w="1031" w:type="dxa"/>
            <w:noWrap/>
            <w:vAlign w:val="center"/>
            <w:hideMark/>
          </w:tcPr>
          <w:p w14:paraId="6B3AA35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5.39</w:t>
            </w:r>
          </w:p>
        </w:tc>
        <w:tc>
          <w:tcPr>
            <w:tcW w:w="1031" w:type="dxa"/>
            <w:noWrap/>
            <w:vAlign w:val="center"/>
            <w:hideMark/>
          </w:tcPr>
          <w:p w14:paraId="4398201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15.96</w:t>
            </w:r>
          </w:p>
        </w:tc>
        <w:tc>
          <w:tcPr>
            <w:tcW w:w="1031" w:type="dxa"/>
            <w:noWrap/>
            <w:vAlign w:val="center"/>
            <w:hideMark/>
          </w:tcPr>
          <w:p w14:paraId="3E14A95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2.05</w:t>
            </w:r>
          </w:p>
        </w:tc>
        <w:tc>
          <w:tcPr>
            <w:tcW w:w="1031" w:type="dxa"/>
            <w:noWrap/>
            <w:vAlign w:val="center"/>
            <w:hideMark/>
          </w:tcPr>
          <w:p w14:paraId="39B0456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6.37</w:t>
            </w:r>
          </w:p>
        </w:tc>
        <w:tc>
          <w:tcPr>
            <w:tcW w:w="1094" w:type="dxa"/>
            <w:noWrap/>
            <w:vAlign w:val="center"/>
            <w:hideMark/>
          </w:tcPr>
          <w:p w14:paraId="3A63EE2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43.47</w:t>
            </w:r>
          </w:p>
        </w:tc>
        <w:tc>
          <w:tcPr>
            <w:tcW w:w="1031" w:type="dxa"/>
            <w:noWrap/>
            <w:vAlign w:val="center"/>
            <w:hideMark/>
          </w:tcPr>
          <w:p w14:paraId="26B4A85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r>
      <w:tr w:rsidR="00EA38DE" w:rsidRPr="00EA38DE" w14:paraId="5EDD4E06" w14:textId="77777777" w:rsidTr="009501B5">
        <w:trPr>
          <w:trHeight w:val="413"/>
        </w:trPr>
        <w:tc>
          <w:tcPr>
            <w:tcW w:w="1010" w:type="dxa"/>
            <w:noWrap/>
            <w:vAlign w:val="center"/>
            <w:hideMark/>
          </w:tcPr>
          <w:p w14:paraId="0379FF2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LABG</w:t>
            </w:r>
          </w:p>
        </w:tc>
        <w:tc>
          <w:tcPr>
            <w:tcW w:w="1031" w:type="dxa"/>
            <w:noWrap/>
            <w:vAlign w:val="center"/>
            <w:hideMark/>
          </w:tcPr>
          <w:p w14:paraId="7A3E3F2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3.18</w:t>
            </w:r>
          </w:p>
        </w:tc>
        <w:tc>
          <w:tcPr>
            <w:tcW w:w="1094" w:type="dxa"/>
            <w:noWrap/>
            <w:vAlign w:val="center"/>
            <w:hideMark/>
          </w:tcPr>
          <w:p w14:paraId="4108A52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15.60</w:t>
            </w:r>
          </w:p>
        </w:tc>
        <w:tc>
          <w:tcPr>
            <w:tcW w:w="1031" w:type="dxa"/>
            <w:noWrap/>
            <w:vAlign w:val="center"/>
            <w:hideMark/>
          </w:tcPr>
          <w:p w14:paraId="03B4FD8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2.12</w:t>
            </w:r>
          </w:p>
        </w:tc>
        <w:tc>
          <w:tcPr>
            <w:tcW w:w="1031" w:type="dxa"/>
            <w:noWrap/>
            <w:vAlign w:val="center"/>
            <w:hideMark/>
          </w:tcPr>
          <w:p w14:paraId="516EB92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2.23</w:t>
            </w:r>
          </w:p>
        </w:tc>
        <w:tc>
          <w:tcPr>
            <w:tcW w:w="1031" w:type="dxa"/>
            <w:noWrap/>
            <w:vAlign w:val="center"/>
            <w:hideMark/>
          </w:tcPr>
          <w:p w14:paraId="1FC2AF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5.28</w:t>
            </w:r>
          </w:p>
        </w:tc>
        <w:tc>
          <w:tcPr>
            <w:tcW w:w="1031" w:type="dxa"/>
            <w:noWrap/>
            <w:vAlign w:val="center"/>
            <w:hideMark/>
          </w:tcPr>
          <w:p w14:paraId="0ACE6F9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29.85</w:t>
            </w:r>
          </w:p>
        </w:tc>
        <w:tc>
          <w:tcPr>
            <w:tcW w:w="1094" w:type="dxa"/>
            <w:noWrap/>
            <w:vAlign w:val="center"/>
            <w:hideMark/>
          </w:tcPr>
          <w:p w14:paraId="2C9B771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2.21</w:t>
            </w:r>
          </w:p>
        </w:tc>
        <w:tc>
          <w:tcPr>
            <w:tcW w:w="1031" w:type="dxa"/>
            <w:noWrap/>
            <w:vAlign w:val="center"/>
            <w:hideMark/>
          </w:tcPr>
          <w:p w14:paraId="63340CD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0.33</w:t>
            </w:r>
          </w:p>
        </w:tc>
      </w:tr>
      <w:tr w:rsidR="00EA38DE" w:rsidRPr="00EA38DE" w14:paraId="4D9221B3" w14:textId="77777777" w:rsidTr="009501B5">
        <w:trPr>
          <w:trHeight w:val="413"/>
        </w:trPr>
        <w:tc>
          <w:tcPr>
            <w:tcW w:w="1010" w:type="dxa"/>
            <w:noWrap/>
            <w:vAlign w:val="center"/>
            <w:hideMark/>
          </w:tcPr>
          <w:p w14:paraId="6B0725A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TRF</w:t>
            </w:r>
          </w:p>
        </w:tc>
        <w:tc>
          <w:tcPr>
            <w:tcW w:w="1031" w:type="dxa"/>
            <w:noWrap/>
            <w:vAlign w:val="center"/>
            <w:hideMark/>
          </w:tcPr>
          <w:p w14:paraId="0C3D547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4.81</w:t>
            </w:r>
          </w:p>
        </w:tc>
        <w:tc>
          <w:tcPr>
            <w:tcW w:w="1094" w:type="dxa"/>
            <w:noWrap/>
            <w:vAlign w:val="center"/>
            <w:hideMark/>
          </w:tcPr>
          <w:p w14:paraId="27DDFB0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6.57</w:t>
            </w:r>
          </w:p>
        </w:tc>
        <w:tc>
          <w:tcPr>
            <w:tcW w:w="1031" w:type="dxa"/>
            <w:noWrap/>
            <w:vAlign w:val="center"/>
            <w:hideMark/>
          </w:tcPr>
          <w:p w14:paraId="09F3EBF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1.84</w:t>
            </w:r>
          </w:p>
        </w:tc>
        <w:tc>
          <w:tcPr>
            <w:tcW w:w="1031" w:type="dxa"/>
            <w:noWrap/>
            <w:vAlign w:val="center"/>
            <w:hideMark/>
          </w:tcPr>
          <w:p w14:paraId="6DAF89C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1.48</w:t>
            </w:r>
          </w:p>
        </w:tc>
        <w:tc>
          <w:tcPr>
            <w:tcW w:w="1031" w:type="dxa"/>
            <w:noWrap/>
            <w:vAlign w:val="center"/>
            <w:hideMark/>
          </w:tcPr>
          <w:p w14:paraId="0245F34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-0.76</w:t>
            </w:r>
          </w:p>
        </w:tc>
        <w:tc>
          <w:tcPr>
            <w:tcW w:w="1031" w:type="dxa"/>
            <w:noWrap/>
            <w:vAlign w:val="center"/>
            <w:hideMark/>
          </w:tcPr>
          <w:p w14:paraId="5092F66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2.23</w:t>
            </w:r>
          </w:p>
        </w:tc>
        <w:tc>
          <w:tcPr>
            <w:tcW w:w="1094" w:type="dxa"/>
            <w:noWrap/>
            <w:vAlign w:val="center"/>
            <w:hideMark/>
          </w:tcPr>
          <w:p w14:paraId="3102F6A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3.93</w:t>
            </w:r>
          </w:p>
        </w:tc>
        <w:tc>
          <w:tcPr>
            <w:tcW w:w="1031" w:type="dxa"/>
            <w:noWrap/>
            <w:vAlign w:val="center"/>
            <w:hideMark/>
          </w:tcPr>
          <w:p w14:paraId="59BD487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0.14</w:t>
            </w:r>
          </w:p>
        </w:tc>
      </w:tr>
    </w:tbl>
    <w:p w14:paraId="7A239E66" w14:textId="221BED61" w:rsidR="00BA4645" w:rsidRPr="00EA38DE" w:rsidRDefault="0032713F" w:rsidP="0032713F">
      <w:pPr>
        <w:spacing w:line="480" w:lineRule="auto"/>
        <w:jc w:val="both"/>
        <w:rPr>
          <w:rFonts w:ascii="Times New Roman" w:hAnsi="Times New Roman" w:cs="Times New Roman"/>
          <w:sz w:val="24"/>
          <w:szCs w:val="24"/>
        </w:rPr>
      </w:pPr>
      <w:r w:rsidRPr="00EA38DE">
        <w:rPr>
          <w:rFonts w:ascii="Times New Roman" w:hAnsi="Times New Roman" w:cs="Times New Roman"/>
          <w:bCs/>
          <w:sz w:val="20"/>
          <w:szCs w:val="20"/>
        </w:rPr>
        <w:t xml:space="preserve">Source: Author’s computation, 2025, </w:t>
      </w:r>
      <w:r w:rsidRPr="00EA38DE">
        <w:rPr>
          <w:rFonts w:ascii="Times New Roman" w:hAnsi="Times New Roman" w:cs="Times New Roman"/>
          <w:sz w:val="18"/>
          <w:szCs w:val="18"/>
        </w:rPr>
        <w:t>using Eview 13.</w:t>
      </w:r>
    </w:p>
    <w:p w14:paraId="4380AF1B"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Average growth in port revenue (PORG) is 30.20 percent which is the highest average annual growth rate among the shipping industry indicators. This indicates robust revenue expansion for Nigerian ports over the years even when throughput has not increased sharply. This high mean underscores the financial potential of shipping industry and overall maritime sector in Nigeria. The standard deviation of 50.17 is also high which suggests high level of variability in port revenue </w:t>
      </w:r>
      <w:r w:rsidRPr="00EA38DE">
        <w:rPr>
          <w:rFonts w:ascii="Times New Roman" w:hAnsi="Times New Roman" w:cs="Times New Roman"/>
          <w:sz w:val="24"/>
          <w:szCs w:val="24"/>
        </w:rPr>
        <w:lastRenderedPageBreak/>
        <w:t xml:space="preserve">growth annually with growth ranging from a staggering 218.63 percent (perhaps during oil export booms) to -65.55 percent. Average annual growth in shipping cost (SHPCG) is very low at 1.52 percent, although the maximum growth rate of 40.23 percent indicates that there were periods of very high costs of shipping. The low mean is beneficial for trade competitiveness, although it can also reflect price inelasticity of services. The standard deviation is high at 13.97 which shows that shipping costs have not been stable over the years. The J-B statistics for both variables do not reject normality. </w:t>
      </w:r>
    </w:p>
    <w:p w14:paraId="3ACA88FC" w14:textId="4545A1A0"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Average rate of volatility of exchange rate over the study period is 43.42 with a high standard deviation of 175.92. This shows that on average the naira exchange rate had </w:t>
      </w:r>
      <w:r w:rsidR="00671CA8" w:rsidRPr="00EA38DE">
        <w:rPr>
          <w:rFonts w:ascii="Times New Roman" w:hAnsi="Times New Roman" w:cs="Times New Roman"/>
          <w:sz w:val="24"/>
          <w:szCs w:val="24"/>
        </w:rPr>
        <w:t>volatility</w:t>
      </w:r>
      <w:r w:rsidRPr="00EA38DE">
        <w:rPr>
          <w:rFonts w:ascii="Times New Roman" w:hAnsi="Times New Roman" w:cs="Times New Roman"/>
          <w:sz w:val="24"/>
          <w:szCs w:val="24"/>
        </w:rPr>
        <w:t xml:space="preserve"> of over 40 standard deviation points from the mean trend over a given period. The large standard deviation also shows that these </w:t>
      </w:r>
      <w:r w:rsidR="00D807A1" w:rsidRPr="00EA38DE">
        <w:rPr>
          <w:rFonts w:ascii="Times New Roman" w:hAnsi="Times New Roman" w:cs="Times New Roman"/>
          <w:sz w:val="24"/>
          <w:szCs w:val="24"/>
        </w:rPr>
        <w:t>volatilitie</w:t>
      </w:r>
      <w:r w:rsidRPr="00EA38DE">
        <w:rPr>
          <w:rFonts w:ascii="Times New Roman" w:hAnsi="Times New Roman" w:cs="Times New Roman"/>
          <w:sz w:val="24"/>
          <w:szCs w:val="24"/>
        </w:rPr>
        <w:t xml:space="preserve">s were also very widely varied over the years with period of significant intensity followed by lesser periods of stability. The skewness and kurtosis for the exchange rate </w:t>
      </w:r>
      <w:r w:rsidR="00D807A1" w:rsidRPr="00EA38DE">
        <w:rPr>
          <w:rFonts w:ascii="Times New Roman" w:hAnsi="Times New Roman" w:cs="Times New Roman"/>
          <w:sz w:val="24"/>
          <w:szCs w:val="24"/>
        </w:rPr>
        <w:t>volatility</w:t>
      </w:r>
      <w:r w:rsidRPr="00EA38DE">
        <w:rPr>
          <w:rFonts w:ascii="Times New Roman" w:hAnsi="Times New Roman" w:cs="Times New Roman"/>
          <w:sz w:val="24"/>
          <w:szCs w:val="24"/>
        </w:rPr>
        <w:t xml:space="preserve"> series are also very large and show significant shocks and disparities in the system. Given the wide nature of shocks and swings in the exchange rate, the Jarque Berra statistic for the variable is significant and shows heterogeneity across years in relation to exchange rate movement in Nigeria. </w:t>
      </w:r>
    </w:p>
    <w:p w14:paraId="06F5EDCA"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For the blue economy variables, average annual growth in aquaculture output (AQTG) is 11.00 percent, which is high (higher than average overall output or real GDP growth over the same period. This indicates that the aquaculture sector in Nigeria has expanded significantly over the years and it has become a key pillar for the blue economy. The average growth is larger than global aquaculture average of 5-7 percent. This suggests great potential of the sector for job creation and export diversification over time. The standard deviation is high at 28.68 which indicates variability over time. Average growth in desalination (DLNTR) is 3.55 percent with a standard deviation of </w:t>
      </w:r>
      <w:r w:rsidRPr="00EA38DE">
        <w:rPr>
          <w:rFonts w:ascii="Times New Roman" w:hAnsi="Times New Roman" w:cs="Times New Roman"/>
          <w:sz w:val="24"/>
          <w:szCs w:val="24"/>
        </w:rPr>
        <w:lastRenderedPageBreak/>
        <w:t>10.96 which is high. This average growth rate reflects limited investment in desalination in the country as well as technological barriers in the sector. Average growth rate of fisheries output (FSHG) is 4.20 percent which indicates that this sector is also growing at a moderate rate in Nigeria. Although this average aligns with global trends, it lags behind growth in aquaculture. The standard deviation of 10.22 is over twice the mean rate which also indicates vulnerability in the annual growth in fisheries output in Nigeria. The J-B statistics for the three blue economy variables show that they are normally distributed.</w:t>
      </w:r>
    </w:p>
    <w:p w14:paraId="23B00160"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terms of the control variables in the study, inflation rate is 19.02 percent which is high and shows that inflation has been a persistent macroeconomic challenge in Nigeria over the years. The maximum of 72.84 percent also shows that there were periods of hyper-inflation in the country. Average labour force growth is 3.18 percent which is relatively high, considering that average output growth over the same period is not as large as that. The low standard deviation also shows that labour force growth has been high over the years. Average score for the index of international trade freedom (TRF) is however higher than the median score. Given that the possible score ranges from 1 to 7, the average for Nigeria is relatively moderate. This shows that barriers to international trade have been relatively low in Nigeria. </w:t>
      </w:r>
    </w:p>
    <w:p w14:paraId="3231930C" w14:textId="77777777" w:rsidR="00BA4645" w:rsidRPr="00EA38DE" w:rsidRDefault="00BA4645" w:rsidP="00BA4645">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initial patterns of relationships among the main variables of the study are indicated in the correlation matrix in Table 4.2. The focus is on the correlation matrix showing the relationship among the shipping industry and the blue economy variables. Among the shipping industry variables, CTP and POR are strongly positively correlated at 0.68. This indicates that higher container throughput significantly boosts port revenue. In contrast, CTP has a weak negative correlation with SHPC at -0.25. This shows that throughput growth does not consistently drive-up shipping costs. Also, POR and SHPC show a moderate positive correlation of 0.434 implying that </w:t>
      </w:r>
      <w:r w:rsidRPr="00EA38DE">
        <w:rPr>
          <w:rFonts w:ascii="Times New Roman" w:hAnsi="Times New Roman" w:cs="Times New Roman"/>
          <w:sz w:val="24"/>
          <w:szCs w:val="24"/>
        </w:rPr>
        <w:lastRenderedPageBreak/>
        <w:t xml:space="preserve">there is positive linkage between shipping costs and port revenue where higher revenues align with rising costs. EXRTV exhibits weak to moderate relationship with the shipping industry performance variables. This suggests that exchange rate volatility may indirectly amplify activity or costs in the sector. </w:t>
      </w:r>
    </w:p>
    <w:p w14:paraId="32E2FEAA" w14:textId="77777777" w:rsidR="00BA4645" w:rsidRPr="00EA38DE" w:rsidRDefault="00BA4645" w:rsidP="00BA4645">
      <w:pPr>
        <w:spacing w:after="0" w:line="240" w:lineRule="auto"/>
        <w:jc w:val="both"/>
        <w:rPr>
          <w:rFonts w:ascii="Times New Roman" w:hAnsi="Times New Roman" w:cs="Times New Roman"/>
          <w:b/>
          <w:bCs/>
          <w:sz w:val="20"/>
          <w:szCs w:val="20"/>
        </w:rPr>
      </w:pPr>
      <w:r w:rsidRPr="00EA38DE">
        <w:rPr>
          <w:rFonts w:ascii="Times New Roman" w:hAnsi="Times New Roman" w:cs="Times New Roman"/>
          <w:b/>
          <w:bCs/>
          <w:sz w:val="20"/>
          <w:szCs w:val="20"/>
        </w:rPr>
        <w:t xml:space="preserve">Table 4.2: Correlation Matrix </w:t>
      </w:r>
    </w:p>
    <w:tbl>
      <w:tblPr>
        <w:tblW w:w="9007" w:type="dxa"/>
        <w:tblBorders>
          <w:top w:val="single" w:sz="4" w:space="0" w:color="auto"/>
          <w:bottom w:val="single" w:sz="4" w:space="0" w:color="auto"/>
        </w:tblBorders>
        <w:tblLook w:val="04A0" w:firstRow="1" w:lastRow="0" w:firstColumn="1" w:lastColumn="0" w:noHBand="0" w:noVBand="1"/>
      </w:tblPr>
      <w:tblGrid>
        <w:gridCol w:w="1008"/>
        <w:gridCol w:w="781"/>
        <w:gridCol w:w="781"/>
        <w:gridCol w:w="786"/>
        <w:gridCol w:w="937"/>
        <w:gridCol w:w="781"/>
        <w:gridCol w:w="809"/>
        <w:gridCol w:w="781"/>
        <w:gridCol w:w="781"/>
        <w:gridCol w:w="781"/>
        <w:gridCol w:w="781"/>
      </w:tblGrid>
      <w:tr w:rsidR="00EA38DE" w:rsidRPr="00EA38DE" w14:paraId="4B71751A" w14:textId="77777777" w:rsidTr="009501B5">
        <w:trPr>
          <w:trHeight w:val="292"/>
        </w:trPr>
        <w:tc>
          <w:tcPr>
            <w:tcW w:w="1008" w:type="dxa"/>
            <w:tcBorders>
              <w:top w:val="single" w:sz="4" w:space="0" w:color="auto"/>
              <w:bottom w:val="single" w:sz="4" w:space="0" w:color="auto"/>
            </w:tcBorders>
            <w:noWrap/>
            <w:vAlign w:val="center"/>
            <w:hideMark/>
          </w:tcPr>
          <w:p w14:paraId="4950884A" w14:textId="77777777" w:rsidR="00BA4645" w:rsidRPr="00EA38DE" w:rsidRDefault="00BA4645" w:rsidP="009501B5">
            <w:pPr>
              <w:spacing w:after="0" w:line="240" w:lineRule="auto"/>
              <w:rPr>
                <w:rFonts w:ascii="Times New Roman" w:eastAsia="Times New Roman" w:hAnsi="Times New Roman" w:cs="Times New Roman"/>
                <w:b/>
                <w:bCs/>
                <w:sz w:val="20"/>
                <w:szCs w:val="20"/>
              </w:rPr>
            </w:pPr>
            <w:bookmarkStart w:id="12" w:name="_Hlk206633887"/>
            <w:r w:rsidRPr="00EA38DE">
              <w:rPr>
                <w:rFonts w:ascii="Times New Roman" w:eastAsia="Times New Roman" w:hAnsi="Times New Roman" w:cs="Times New Roman"/>
                <w:b/>
                <w:bCs/>
                <w:sz w:val="20"/>
                <w:szCs w:val="20"/>
              </w:rPr>
              <w:t>Variable</w:t>
            </w:r>
          </w:p>
        </w:tc>
        <w:tc>
          <w:tcPr>
            <w:tcW w:w="781" w:type="dxa"/>
            <w:tcBorders>
              <w:top w:val="single" w:sz="4" w:space="0" w:color="auto"/>
              <w:bottom w:val="single" w:sz="4" w:space="0" w:color="auto"/>
            </w:tcBorders>
            <w:noWrap/>
            <w:vAlign w:val="center"/>
            <w:hideMark/>
          </w:tcPr>
          <w:p w14:paraId="3189522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CTP</w:t>
            </w:r>
          </w:p>
        </w:tc>
        <w:tc>
          <w:tcPr>
            <w:tcW w:w="781" w:type="dxa"/>
            <w:tcBorders>
              <w:top w:val="single" w:sz="4" w:space="0" w:color="auto"/>
              <w:bottom w:val="single" w:sz="4" w:space="0" w:color="auto"/>
            </w:tcBorders>
            <w:noWrap/>
            <w:vAlign w:val="center"/>
            <w:hideMark/>
          </w:tcPr>
          <w:p w14:paraId="7C208E42"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POR</w:t>
            </w:r>
          </w:p>
        </w:tc>
        <w:tc>
          <w:tcPr>
            <w:tcW w:w="786" w:type="dxa"/>
            <w:tcBorders>
              <w:top w:val="single" w:sz="4" w:space="0" w:color="auto"/>
              <w:bottom w:val="single" w:sz="4" w:space="0" w:color="auto"/>
            </w:tcBorders>
            <w:noWrap/>
            <w:vAlign w:val="center"/>
            <w:hideMark/>
          </w:tcPr>
          <w:p w14:paraId="07FE64C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SHPC</w:t>
            </w:r>
          </w:p>
        </w:tc>
        <w:tc>
          <w:tcPr>
            <w:tcW w:w="937" w:type="dxa"/>
            <w:tcBorders>
              <w:top w:val="single" w:sz="4" w:space="0" w:color="auto"/>
              <w:bottom w:val="single" w:sz="4" w:space="0" w:color="auto"/>
            </w:tcBorders>
            <w:noWrap/>
            <w:vAlign w:val="center"/>
            <w:hideMark/>
          </w:tcPr>
          <w:p w14:paraId="456BED72"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EXRTF</w:t>
            </w:r>
          </w:p>
        </w:tc>
        <w:tc>
          <w:tcPr>
            <w:tcW w:w="781" w:type="dxa"/>
            <w:tcBorders>
              <w:top w:val="single" w:sz="4" w:space="0" w:color="auto"/>
              <w:bottom w:val="single" w:sz="4" w:space="0" w:color="auto"/>
            </w:tcBorders>
            <w:noWrap/>
            <w:vAlign w:val="center"/>
            <w:hideMark/>
          </w:tcPr>
          <w:p w14:paraId="5881042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AQT</w:t>
            </w:r>
          </w:p>
        </w:tc>
        <w:tc>
          <w:tcPr>
            <w:tcW w:w="809" w:type="dxa"/>
            <w:tcBorders>
              <w:top w:val="single" w:sz="4" w:space="0" w:color="auto"/>
              <w:bottom w:val="single" w:sz="4" w:space="0" w:color="auto"/>
            </w:tcBorders>
            <w:noWrap/>
            <w:vAlign w:val="center"/>
            <w:hideMark/>
          </w:tcPr>
          <w:p w14:paraId="68885E65"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DLNT</w:t>
            </w:r>
          </w:p>
        </w:tc>
        <w:tc>
          <w:tcPr>
            <w:tcW w:w="781" w:type="dxa"/>
            <w:tcBorders>
              <w:top w:val="single" w:sz="4" w:space="0" w:color="auto"/>
              <w:bottom w:val="single" w:sz="4" w:space="0" w:color="auto"/>
            </w:tcBorders>
            <w:noWrap/>
            <w:vAlign w:val="center"/>
            <w:hideMark/>
          </w:tcPr>
          <w:p w14:paraId="529A44EC"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FSH</w:t>
            </w:r>
          </w:p>
        </w:tc>
        <w:tc>
          <w:tcPr>
            <w:tcW w:w="781" w:type="dxa"/>
            <w:tcBorders>
              <w:top w:val="single" w:sz="4" w:space="0" w:color="auto"/>
              <w:bottom w:val="single" w:sz="4" w:space="0" w:color="auto"/>
            </w:tcBorders>
            <w:noWrap/>
            <w:vAlign w:val="center"/>
            <w:hideMark/>
          </w:tcPr>
          <w:p w14:paraId="0352F1B9"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IFR</w:t>
            </w:r>
          </w:p>
        </w:tc>
        <w:tc>
          <w:tcPr>
            <w:tcW w:w="781" w:type="dxa"/>
            <w:tcBorders>
              <w:top w:val="single" w:sz="4" w:space="0" w:color="auto"/>
              <w:bottom w:val="single" w:sz="4" w:space="0" w:color="auto"/>
            </w:tcBorders>
            <w:noWrap/>
            <w:vAlign w:val="center"/>
            <w:hideMark/>
          </w:tcPr>
          <w:p w14:paraId="200FED79"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LAB</w:t>
            </w:r>
          </w:p>
        </w:tc>
        <w:tc>
          <w:tcPr>
            <w:tcW w:w="781" w:type="dxa"/>
            <w:tcBorders>
              <w:top w:val="single" w:sz="4" w:space="0" w:color="auto"/>
              <w:bottom w:val="single" w:sz="4" w:space="0" w:color="auto"/>
            </w:tcBorders>
            <w:noWrap/>
            <w:vAlign w:val="center"/>
            <w:hideMark/>
          </w:tcPr>
          <w:p w14:paraId="1E15F555"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TRF</w:t>
            </w:r>
          </w:p>
        </w:tc>
      </w:tr>
      <w:tr w:rsidR="00EA38DE" w:rsidRPr="00EA38DE" w14:paraId="0A5440ED" w14:textId="77777777" w:rsidTr="009501B5">
        <w:trPr>
          <w:trHeight w:val="292"/>
        </w:trPr>
        <w:tc>
          <w:tcPr>
            <w:tcW w:w="1008" w:type="dxa"/>
            <w:tcBorders>
              <w:top w:val="single" w:sz="4" w:space="0" w:color="auto"/>
            </w:tcBorders>
            <w:noWrap/>
            <w:vAlign w:val="center"/>
            <w:hideMark/>
          </w:tcPr>
          <w:p w14:paraId="5AA63B43"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CTP</w:t>
            </w:r>
          </w:p>
        </w:tc>
        <w:tc>
          <w:tcPr>
            <w:tcW w:w="781" w:type="dxa"/>
            <w:tcBorders>
              <w:top w:val="single" w:sz="4" w:space="0" w:color="auto"/>
            </w:tcBorders>
            <w:noWrap/>
            <w:vAlign w:val="center"/>
            <w:hideMark/>
          </w:tcPr>
          <w:p w14:paraId="363C6AD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781" w:type="dxa"/>
            <w:tcBorders>
              <w:top w:val="single" w:sz="4" w:space="0" w:color="auto"/>
            </w:tcBorders>
            <w:noWrap/>
            <w:vAlign w:val="center"/>
            <w:hideMark/>
          </w:tcPr>
          <w:p w14:paraId="46DC348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6" w:type="dxa"/>
            <w:tcBorders>
              <w:top w:val="single" w:sz="4" w:space="0" w:color="auto"/>
            </w:tcBorders>
            <w:noWrap/>
            <w:vAlign w:val="center"/>
            <w:hideMark/>
          </w:tcPr>
          <w:p w14:paraId="08D7877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937" w:type="dxa"/>
            <w:tcBorders>
              <w:top w:val="single" w:sz="4" w:space="0" w:color="auto"/>
            </w:tcBorders>
            <w:noWrap/>
            <w:vAlign w:val="center"/>
            <w:hideMark/>
          </w:tcPr>
          <w:p w14:paraId="4F73CB9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tcBorders>
              <w:top w:val="single" w:sz="4" w:space="0" w:color="auto"/>
            </w:tcBorders>
            <w:noWrap/>
            <w:vAlign w:val="center"/>
            <w:hideMark/>
          </w:tcPr>
          <w:p w14:paraId="285591D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tcBorders>
              <w:top w:val="single" w:sz="4" w:space="0" w:color="auto"/>
            </w:tcBorders>
            <w:noWrap/>
            <w:vAlign w:val="center"/>
            <w:hideMark/>
          </w:tcPr>
          <w:p w14:paraId="75C9550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tcBorders>
              <w:top w:val="single" w:sz="4" w:space="0" w:color="auto"/>
            </w:tcBorders>
            <w:noWrap/>
            <w:vAlign w:val="center"/>
            <w:hideMark/>
          </w:tcPr>
          <w:p w14:paraId="47CFB88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tcBorders>
              <w:top w:val="single" w:sz="4" w:space="0" w:color="auto"/>
            </w:tcBorders>
            <w:noWrap/>
            <w:vAlign w:val="center"/>
            <w:hideMark/>
          </w:tcPr>
          <w:p w14:paraId="06E7A5F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tcBorders>
              <w:top w:val="single" w:sz="4" w:space="0" w:color="auto"/>
            </w:tcBorders>
            <w:noWrap/>
            <w:vAlign w:val="center"/>
            <w:hideMark/>
          </w:tcPr>
          <w:p w14:paraId="7FD66C5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tcBorders>
              <w:top w:val="single" w:sz="4" w:space="0" w:color="auto"/>
            </w:tcBorders>
            <w:noWrap/>
            <w:vAlign w:val="center"/>
            <w:hideMark/>
          </w:tcPr>
          <w:p w14:paraId="6007124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39C0F7F9" w14:textId="77777777" w:rsidTr="009501B5">
        <w:trPr>
          <w:trHeight w:val="292"/>
        </w:trPr>
        <w:tc>
          <w:tcPr>
            <w:tcW w:w="1008" w:type="dxa"/>
            <w:vMerge w:val="restart"/>
            <w:noWrap/>
            <w:vAlign w:val="center"/>
            <w:hideMark/>
          </w:tcPr>
          <w:p w14:paraId="5D4B7A7E"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POR</w:t>
            </w:r>
          </w:p>
        </w:tc>
        <w:tc>
          <w:tcPr>
            <w:tcW w:w="781" w:type="dxa"/>
            <w:noWrap/>
            <w:vAlign w:val="center"/>
            <w:hideMark/>
          </w:tcPr>
          <w:p w14:paraId="33A72F0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0.68</w:t>
            </w:r>
          </w:p>
        </w:tc>
        <w:tc>
          <w:tcPr>
            <w:tcW w:w="781" w:type="dxa"/>
            <w:noWrap/>
            <w:vAlign w:val="center"/>
            <w:hideMark/>
          </w:tcPr>
          <w:p w14:paraId="2FC4180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786" w:type="dxa"/>
            <w:noWrap/>
            <w:vAlign w:val="center"/>
            <w:hideMark/>
          </w:tcPr>
          <w:p w14:paraId="10DAA16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937" w:type="dxa"/>
            <w:noWrap/>
            <w:vAlign w:val="center"/>
            <w:hideMark/>
          </w:tcPr>
          <w:p w14:paraId="2E6DE21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4887CD7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noWrap/>
            <w:vAlign w:val="center"/>
            <w:hideMark/>
          </w:tcPr>
          <w:p w14:paraId="1CE16BA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0EEAB17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5CA701F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0E0425F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50326E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22FC4928" w14:textId="77777777" w:rsidTr="009501B5">
        <w:trPr>
          <w:trHeight w:val="292"/>
        </w:trPr>
        <w:tc>
          <w:tcPr>
            <w:tcW w:w="1008" w:type="dxa"/>
            <w:vMerge/>
            <w:noWrap/>
            <w:vAlign w:val="center"/>
            <w:hideMark/>
          </w:tcPr>
          <w:p w14:paraId="3AF5CD8B"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02DB2F4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2DB1923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6" w:type="dxa"/>
            <w:noWrap/>
            <w:vAlign w:val="center"/>
            <w:hideMark/>
          </w:tcPr>
          <w:p w14:paraId="1042C5D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937" w:type="dxa"/>
            <w:noWrap/>
            <w:vAlign w:val="center"/>
            <w:hideMark/>
          </w:tcPr>
          <w:p w14:paraId="6CAB7CC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09DEAB5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noWrap/>
            <w:vAlign w:val="center"/>
            <w:hideMark/>
          </w:tcPr>
          <w:p w14:paraId="3E5F382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5F97E4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F6DD19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30E745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7C92B37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19DB4187" w14:textId="77777777" w:rsidTr="009501B5">
        <w:trPr>
          <w:trHeight w:val="292"/>
        </w:trPr>
        <w:tc>
          <w:tcPr>
            <w:tcW w:w="1008" w:type="dxa"/>
            <w:vMerge w:val="restart"/>
            <w:noWrap/>
            <w:vAlign w:val="center"/>
            <w:hideMark/>
          </w:tcPr>
          <w:p w14:paraId="438F447F"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SHPC</w:t>
            </w:r>
          </w:p>
        </w:tc>
        <w:tc>
          <w:tcPr>
            <w:tcW w:w="781" w:type="dxa"/>
            <w:vMerge w:val="restart"/>
            <w:noWrap/>
            <w:vAlign w:val="center"/>
            <w:hideMark/>
          </w:tcPr>
          <w:p w14:paraId="6A43821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-0.25</w:t>
            </w:r>
          </w:p>
          <w:p w14:paraId="3AE3ABC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(0.15)</w:t>
            </w:r>
          </w:p>
        </w:tc>
        <w:tc>
          <w:tcPr>
            <w:tcW w:w="781" w:type="dxa"/>
            <w:vMerge w:val="restart"/>
            <w:noWrap/>
            <w:vAlign w:val="center"/>
            <w:hideMark/>
          </w:tcPr>
          <w:p w14:paraId="4B41432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0.43</w:t>
            </w:r>
          </w:p>
          <w:p w14:paraId="21B973C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w:t>
            </w:r>
          </w:p>
        </w:tc>
        <w:tc>
          <w:tcPr>
            <w:tcW w:w="786" w:type="dxa"/>
            <w:vMerge w:val="restart"/>
            <w:noWrap/>
            <w:vAlign w:val="center"/>
            <w:hideMark/>
          </w:tcPr>
          <w:p w14:paraId="629A650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937" w:type="dxa"/>
            <w:noWrap/>
            <w:vAlign w:val="center"/>
            <w:hideMark/>
          </w:tcPr>
          <w:p w14:paraId="5822233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30AEE4B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noWrap/>
            <w:vAlign w:val="center"/>
            <w:hideMark/>
          </w:tcPr>
          <w:p w14:paraId="4089A04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7AD7263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AE255C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4800F9D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87CE14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4CB00021" w14:textId="77777777" w:rsidTr="009501B5">
        <w:trPr>
          <w:trHeight w:val="292"/>
        </w:trPr>
        <w:tc>
          <w:tcPr>
            <w:tcW w:w="1008" w:type="dxa"/>
            <w:vMerge/>
            <w:noWrap/>
            <w:vAlign w:val="center"/>
            <w:hideMark/>
          </w:tcPr>
          <w:p w14:paraId="0B6D9EA1"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vMerge/>
            <w:noWrap/>
            <w:vAlign w:val="center"/>
            <w:hideMark/>
          </w:tcPr>
          <w:p w14:paraId="076B3E0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vMerge/>
            <w:noWrap/>
            <w:vAlign w:val="center"/>
            <w:hideMark/>
          </w:tcPr>
          <w:p w14:paraId="3836C36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6" w:type="dxa"/>
            <w:vMerge/>
            <w:noWrap/>
            <w:vAlign w:val="center"/>
            <w:hideMark/>
          </w:tcPr>
          <w:p w14:paraId="27F3C0E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937" w:type="dxa"/>
            <w:noWrap/>
            <w:vAlign w:val="center"/>
            <w:hideMark/>
          </w:tcPr>
          <w:p w14:paraId="4D3C406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1B7E704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noWrap/>
            <w:vAlign w:val="center"/>
            <w:hideMark/>
          </w:tcPr>
          <w:p w14:paraId="5CA61F9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C17E9B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C6DA18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44DA19F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7E242BC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7F2AB2F9" w14:textId="77777777" w:rsidTr="009501B5">
        <w:trPr>
          <w:trHeight w:val="292"/>
        </w:trPr>
        <w:tc>
          <w:tcPr>
            <w:tcW w:w="1008" w:type="dxa"/>
            <w:vMerge w:val="restart"/>
            <w:noWrap/>
            <w:vAlign w:val="center"/>
            <w:hideMark/>
          </w:tcPr>
          <w:p w14:paraId="1701CAA2"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EXRTV</w:t>
            </w:r>
          </w:p>
        </w:tc>
        <w:tc>
          <w:tcPr>
            <w:tcW w:w="781" w:type="dxa"/>
            <w:noWrap/>
            <w:vAlign w:val="center"/>
            <w:hideMark/>
          </w:tcPr>
          <w:p w14:paraId="3AC757C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0.21</w:t>
            </w:r>
          </w:p>
        </w:tc>
        <w:tc>
          <w:tcPr>
            <w:tcW w:w="781" w:type="dxa"/>
            <w:noWrap/>
            <w:vAlign w:val="center"/>
            <w:hideMark/>
          </w:tcPr>
          <w:p w14:paraId="0C7E7C1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0.68</w:t>
            </w:r>
          </w:p>
        </w:tc>
        <w:tc>
          <w:tcPr>
            <w:tcW w:w="786" w:type="dxa"/>
            <w:noWrap/>
            <w:vAlign w:val="center"/>
            <w:hideMark/>
          </w:tcPr>
          <w:p w14:paraId="6B6AD37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0.41</w:t>
            </w:r>
          </w:p>
        </w:tc>
        <w:tc>
          <w:tcPr>
            <w:tcW w:w="937" w:type="dxa"/>
            <w:noWrap/>
            <w:vAlign w:val="center"/>
            <w:hideMark/>
          </w:tcPr>
          <w:p w14:paraId="7C408CD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781" w:type="dxa"/>
            <w:noWrap/>
            <w:vAlign w:val="center"/>
            <w:hideMark/>
          </w:tcPr>
          <w:p w14:paraId="536929D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noWrap/>
            <w:vAlign w:val="center"/>
            <w:hideMark/>
          </w:tcPr>
          <w:p w14:paraId="04770D6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64ACCC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5E9F321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1C511B2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E8BAAF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6930B321" w14:textId="77777777" w:rsidTr="009501B5">
        <w:trPr>
          <w:trHeight w:val="292"/>
        </w:trPr>
        <w:tc>
          <w:tcPr>
            <w:tcW w:w="1008" w:type="dxa"/>
            <w:vMerge/>
            <w:noWrap/>
            <w:vAlign w:val="center"/>
            <w:hideMark/>
          </w:tcPr>
          <w:p w14:paraId="2420F45E"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1F4B820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0.23</w:t>
            </w:r>
          </w:p>
        </w:tc>
        <w:tc>
          <w:tcPr>
            <w:tcW w:w="781" w:type="dxa"/>
            <w:noWrap/>
            <w:vAlign w:val="center"/>
            <w:hideMark/>
          </w:tcPr>
          <w:p w14:paraId="2EC7419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6" w:type="dxa"/>
            <w:noWrap/>
            <w:vAlign w:val="center"/>
            <w:hideMark/>
          </w:tcPr>
          <w:p w14:paraId="2D2D41C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w:t>
            </w:r>
          </w:p>
        </w:tc>
        <w:tc>
          <w:tcPr>
            <w:tcW w:w="937" w:type="dxa"/>
            <w:noWrap/>
            <w:vAlign w:val="center"/>
            <w:hideMark/>
          </w:tcPr>
          <w:p w14:paraId="3C4096E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14E902B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noWrap/>
            <w:vAlign w:val="center"/>
            <w:hideMark/>
          </w:tcPr>
          <w:p w14:paraId="4A1908A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3D6EE6E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29C469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04DDF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6731D1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78C1BC50" w14:textId="77777777" w:rsidTr="009501B5">
        <w:trPr>
          <w:trHeight w:val="292"/>
        </w:trPr>
        <w:tc>
          <w:tcPr>
            <w:tcW w:w="1008" w:type="dxa"/>
            <w:vMerge w:val="restart"/>
            <w:noWrap/>
            <w:vAlign w:val="center"/>
            <w:hideMark/>
          </w:tcPr>
          <w:p w14:paraId="0C54F1C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AQT</w:t>
            </w:r>
          </w:p>
        </w:tc>
        <w:tc>
          <w:tcPr>
            <w:tcW w:w="781" w:type="dxa"/>
            <w:noWrap/>
            <w:vAlign w:val="center"/>
            <w:hideMark/>
          </w:tcPr>
          <w:p w14:paraId="31CC0B4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0.85</w:t>
            </w:r>
          </w:p>
        </w:tc>
        <w:tc>
          <w:tcPr>
            <w:tcW w:w="781" w:type="dxa"/>
            <w:noWrap/>
            <w:vAlign w:val="center"/>
            <w:hideMark/>
          </w:tcPr>
          <w:p w14:paraId="7BD96E2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0.74</w:t>
            </w:r>
          </w:p>
        </w:tc>
        <w:tc>
          <w:tcPr>
            <w:tcW w:w="786" w:type="dxa"/>
            <w:noWrap/>
            <w:vAlign w:val="center"/>
            <w:hideMark/>
          </w:tcPr>
          <w:p w14:paraId="5F645D7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0.04</w:t>
            </w:r>
          </w:p>
        </w:tc>
        <w:tc>
          <w:tcPr>
            <w:tcW w:w="937" w:type="dxa"/>
            <w:noWrap/>
            <w:vAlign w:val="center"/>
            <w:hideMark/>
          </w:tcPr>
          <w:p w14:paraId="28632D3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0.22</w:t>
            </w:r>
          </w:p>
        </w:tc>
        <w:tc>
          <w:tcPr>
            <w:tcW w:w="781" w:type="dxa"/>
            <w:noWrap/>
            <w:vAlign w:val="center"/>
            <w:hideMark/>
          </w:tcPr>
          <w:p w14:paraId="7FCBA37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809" w:type="dxa"/>
            <w:noWrap/>
            <w:vAlign w:val="center"/>
            <w:hideMark/>
          </w:tcPr>
          <w:p w14:paraId="424C48A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038B2E5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0D7CAD8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0318B35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5A4A7A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494FFA0B" w14:textId="77777777" w:rsidTr="009501B5">
        <w:trPr>
          <w:trHeight w:val="292"/>
        </w:trPr>
        <w:tc>
          <w:tcPr>
            <w:tcW w:w="1008" w:type="dxa"/>
            <w:vMerge/>
            <w:noWrap/>
            <w:vAlign w:val="center"/>
            <w:hideMark/>
          </w:tcPr>
          <w:p w14:paraId="3B6254CE"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465C338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5A31DA4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6" w:type="dxa"/>
            <w:noWrap/>
            <w:vAlign w:val="center"/>
            <w:hideMark/>
          </w:tcPr>
          <w:p w14:paraId="4590730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0.84</w:t>
            </w:r>
          </w:p>
        </w:tc>
        <w:tc>
          <w:tcPr>
            <w:tcW w:w="937" w:type="dxa"/>
            <w:noWrap/>
            <w:vAlign w:val="center"/>
            <w:hideMark/>
          </w:tcPr>
          <w:p w14:paraId="519A5A3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0.20</w:t>
            </w:r>
          </w:p>
        </w:tc>
        <w:tc>
          <w:tcPr>
            <w:tcW w:w="781" w:type="dxa"/>
            <w:noWrap/>
            <w:vAlign w:val="center"/>
            <w:hideMark/>
          </w:tcPr>
          <w:p w14:paraId="2984CFE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809" w:type="dxa"/>
            <w:noWrap/>
            <w:vAlign w:val="center"/>
            <w:hideMark/>
          </w:tcPr>
          <w:p w14:paraId="67294A9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361EF24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5C4221F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701E61E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589E3B2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4B3C6D45" w14:textId="77777777" w:rsidTr="009501B5">
        <w:trPr>
          <w:trHeight w:val="292"/>
        </w:trPr>
        <w:tc>
          <w:tcPr>
            <w:tcW w:w="1008" w:type="dxa"/>
            <w:vMerge w:val="restart"/>
            <w:noWrap/>
            <w:vAlign w:val="center"/>
            <w:hideMark/>
          </w:tcPr>
          <w:p w14:paraId="1C385EA6"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DLNT</w:t>
            </w:r>
          </w:p>
        </w:tc>
        <w:tc>
          <w:tcPr>
            <w:tcW w:w="781" w:type="dxa"/>
            <w:noWrap/>
            <w:vAlign w:val="center"/>
            <w:hideMark/>
          </w:tcPr>
          <w:p w14:paraId="3993DA4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0.92</w:t>
            </w:r>
          </w:p>
        </w:tc>
        <w:tc>
          <w:tcPr>
            <w:tcW w:w="781" w:type="dxa"/>
            <w:noWrap/>
            <w:vAlign w:val="center"/>
            <w:hideMark/>
          </w:tcPr>
          <w:p w14:paraId="782A873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0.76</w:t>
            </w:r>
          </w:p>
        </w:tc>
        <w:tc>
          <w:tcPr>
            <w:tcW w:w="786" w:type="dxa"/>
            <w:noWrap/>
            <w:vAlign w:val="center"/>
            <w:hideMark/>
          </w:tcPr>
          <w:p w14:paraId="1291977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-0.08</w:t>
            </w:r>
          </w:p>
        </w:tc>
        <w:tc>
          <w:tcPr>
            <w:tcW w:w="937" w:type="dxa"/>
            <w:noWrap/>
            <w:vAlign w:val="center"/>
            <w:hideMark/>
          </w:tcPr>
          <w:p w14:paraId="766C149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0.21</w:t>
            </w:r>
          </w:p>
        </w:tc>
        <w:tc>
          <w:tcPr>
            <w:tcW w:w="781" w:type="dxa"/>
            <w:noWrap/>
            <w:vAlign w:val="center"/>
            <w:hideMark/>
          </w:tcPr>
          <w:p w14:paraId="2B5E70F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0.93</w:t>
            </w:r>
          </w:p>
        </w:tc>
        <w:tc>
          <w:tcPr>
            <w:tcW w:w="809" w:type="dxa"/>
            <w:noWrap/>
            <w:vAlign w:val="center"/>
            <w:hideMark/>
          </w:tcPr>
          <w:p w14:paraId="6121AA9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781" w:type="dxa"/>
            <w:noWrap/>
            <w:vAlign w:val="center"/>
            <w:hideMark/>
          </w:tcPr>
          <w:p w14:paraId="639A7FC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3923F69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33B7D2C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E1DE08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4E674F66" w14:textId="77777777" w:rsidTr="009501B5">
        <w:trPr>
          <w:trHeight w:val="292"/>
        </w:trPr>
        <w:tc>
          <w:tcPr>
            <w:tcW w:w="1008" w:type="dxa"/>
            <w:vMerge/>
            <w:noWrap/>
            <w:vAlign w:val="center"/>
            <w:hideMark/>
          </w:tcPr>
          <w:p w14:paraId="6838C70E"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65395FD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651FA42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6" w:type="dxa"/>
            <w:noWrap/>
            <w:vAlign w:val="center"/>
            <w:hideMark/>
          </w:tcPr>
          <w:p w14:paraId="09EA856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0.64</w:t>
            </w:r>
          </w:p>
        </w:tc>
        <w:tc>
          <w:tcPr>
            <w:tcW w:w="937" w:type="dxa"/>
            <w:noWrap/>
            <w:vAlign w:val="center"/>
            <w:hideMark/>
          </w:tcPr>
          <w:p w14:paraId="050D851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0.24</w:t>
            </w:r>
          </w:p>
        </w:tc>
        <w:tc>
          <w:tcPr>
            <w:tcW w:w="781" w:type="dxa"/>
            <w:noWrap/>
            <w:vAlign w:val="center"/>
            <w:hideMark/>
          </w:tcPr>
          <w:p w14:paraId="72B7525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809" w:type="dxa"/>
            <w:noWrap/>
            <w:vAlign w:val="center"/>
            <w:hideMark/>
          </w:tcPr>
          <w:p w14:paraId="7DDEBA0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493AA6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0FFE42F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85B9AA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5D48D6D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062BB911" w14:textId="77777777" w:rsidTr="009501B5">
        <w:trPr>
          <w:trHeight w:val="292"/>
        </w:trPr>
        <w:tc>
          <w:tcPr>
            <w:tcW w:w="1008" w:type="dxa"/>
            <w:vMerge w:val="restart"/>
            <w:noWrap/>
            <w:vAlign w:val="center"/>
            <w:hideMark/>
          </w:tcPr>
          <w:p w14:paraId="6C5DCC9A"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FSH</w:t>
            </w:r>
          </w:p>
        </w:tc>
        <w:tc>
          <w:tcPr>
            <w:tcW w:w="781" w:type="dxa"/>
            <w:noWrap/>
            <w:vAlign w:val="center"/>
            <w:hideMark/>
          </w:tcPr>
          <w:p w14:paraId="657F13E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0.91</w:t>
            </w:r>
          </w:p>
        </w:tc>
        <w:tc>
          <w:tcPr>
            <w:tcW w:w="781" w:type="dxa"/>
            <w:noWrap/>
            <w:vAlign w:val="center"/>
            <w:hideMark/>
          </w:tcPr>
          <w:p w14:paraId="572B446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0.77</w:t>
            </w:r>
          </w:p>
        </w:tc>
        <w:tc>
          <w:tcPr>
            <w:tcW w:w="786" w:type="dxa"/>
            <w:noWrap/>
            <w:vAlign w:val="center"/>
            <w:hideMark/>
          </w:tcPr>
          <w:p w14:paraId="31EB37A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-0.03</w:t>
            </w:r>
          </w:p>
        </w:tc>
        <w:tc>
          <w:tcPr>
            <w:tcW w:w="937" w:type="dxa"/>
            <w:noWrap/>
            <w:vAlign w:val="center"/>
            <w:hideMark/>
          </w:tcPr>
          <w:p w14:paraId="27C393A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0.23</w:t>
            </w:r>
          </w:p>
        </w:tc>
        <w:tc>
          <w:tcPr>
            <w:tcW w:w="781" w:type="dxa"/>
            <w:noWrap/>
            <w:vAlign w:val="center"/>
            <w:hideMark/>
          </w:tcPr>
          <w:p w14:paraId="15055E0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0.97</w:t>
            </w:r>
          </w:p>
        </w:tc>
        <w:tc>
          <w:tcPr>
            <w:tcW w:w="809" w:type="dxa"/>
            <w:noWrap/>
            <w:vAlign w:val="center"/>
            <w:hideMark/>
          </w:tcPr>
          <w:p w14:paraId="09F4973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0.99</w:t>
            </w:r>
          </w:p>
        </w:tc>
        <w:tc>
          <w:tcPr>
            <w:tcW w:w="781" w:type="dxa"/>
            <w:noWrap/>
            <w:vAlign w:val="center"/>
            <w:hideMark/>
          </w:tcPr>
          <w:p w14:paraId="0759278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781" w:type="dxa"/>
            <w:noWrap/>
            <w:vAlign w:val="center"/>
            <w:hideMark/>
          </w:tcPr>
          <w:p w14:paraId="024EB2D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02F0C6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47FB139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5E21E97A" w14:textId="77777777" w:rsidTr="009501B5">
        <w:trPr>
          <w:trHeight w:val="292"/>
        </w:trPr>
        <w:tc>
          <w:tcPr>
            <w:tcW w:w="1008" w:type="dxa"/>
            <w:vMerge/>
            <w:noWrap/>
            <w:vAlign w:val="center"/>
            <w:hideMark/>
          </w:tcPr>
          <w:p w14:paraId="5667648A"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5788F82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3CA4808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6" w:type="dxa"/>
            <w:noWrap/>
            <w:vAlign w:val="center"/>
            <w:hideMark/>
          </w:tcPr>
          <w:p w14:paraId="0DE29F4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0.87</w:t>
            </w:r>
          </w:p>
        </w:tc>
        <w:tc>
          <w:tcPr>
            <w:tcW w:w="937" w:type="dxa"/>
            <w:noWrap/>
            <w:vAlign w:val="center"/>
            <w:hideMark/>
          </w:tcPr>
          <w:p w14:paraId="4A04DBB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0.18</w:t>
            </w:r>
          </w:p>
        </w:tc>
        <w:tc>
          <w:tcPr>
            <w:tcW w:w="781" w:type="dxa"/>
            <w:noWrap/>
            <w:vAlign w:val="center"/>
            <w:hideMark/>
          </w:tcPr>
          <w:p w14:paraId="376D66B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809" w:type="dxa"/>
            <w:noWrap/>
            <w:vAlign w:val="center"/>
            <w:hideMark/>
          </w:tcPr>
          <w:p w14:paraId="7B0ABB5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65C20DA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60920AF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5DBC97E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271B51E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bookmarkEnd w:id="12"/>
      <w:tr w:rsidR="00EA38DE" w:rsidRPr="00EA38DE" w14:paraId="2806B31F" w14:textId="77777777" w:rsidTr="009501B5">
        <w:trPr>
          <w:trHeight w:val="292"/>
        </w:trPr>
        <w:tc>
          <w:tcPr>
            <w:tcW w:w="1008" w:type="dxa"/>
            <w:vMerge w:val="restart"/>
            <w:noWrap/>
            <w:vAlign w:val="center"/>
            <w:hideMark/>
          </w:tcPr>
          <w:p w14:paraId="5606D000"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IFR</w:t>
            </w:r>
          </w:p>
        </w:tc>
        <w:tc>
          <w:tcPr>
            <w:tcW w:w="781" w:type="dxa"/>
            <w:noWrap/>
            <w:vAlign w:val="center"/>
            <w:hideMark/>
          </w:tcPr>
          <w:p w14:paraId="5E66724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-0.41</w:t>
            </w:r>
          </w:p>
        </w:tc>
        <w:tc>
          <w:tcPr>
            <w:tcW w:w="781" w:type="dxa"/>
            <w:noWrap/>
            <w:vAlign w:val="center"/>
            <w:hideMark/>
          </w:tcPr>
          <w:p w14:paraId="1B3C002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w:t>
            </w:r>
          </w:p>
        </w:tc>
        <w:tc>
          <w:tcPr>
            <w:tcW w:w="786" w:type="dxa"/>
            <w:noWrap/>
            <w:vAlign w:val="center"/>
            <w:hideMark/>
          </w:tcPr>
          <w:p w14:paraId="67DF1F5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0.46</w:t>
            </w:r>
          </w:p>
        </w:tc>
        <w:tc>
          <w:tcPr>
            <w:tcW w:w="937" w:type="dxa"/>
            <w:noWrap/>
            <w:vAlign w:val="center"/>
            <w:hideMark/>
          </w:tcPr>
          <w:p w14:paraId="75C1ABB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0.14</w:t>
            </w:r>
          </w:p>
        </w:tc>
        <w:tc>
          <w:tcPr>
            <w:tcW w:w="781" w:type="dxa"/>
            <w:noWrap/>
            <w:vAlign w:val="center"/>
            <w:hideMark/>
          </w:tcPr>
          <w:p w14:paraId="21E548E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-0.26</w:t>
            </w:r>
          </w:p>
        </w:tc>
        <w:tc>
          <w:tcPr>
            <w:tcW w:w="809" w:type="dxa"/>
            <w:noWrap/>
            <w:vAlign w:val="center"/>
            <w:hideMark/>
          </w:tcPr>
          <w:p w14:paraId="742B5D7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-0.42</w:t>
            </w:r>
          </w:p>
        </w:tc>
        <w:tc>
          <w:tcPr>
            <w:tcW w:w="781" w:type="dxa"/>
            <w:noWrap/>
            <w:vAlign w:val="center"/>
            <w:hideMark/>
          </w:tcPr>
          <w:p w14:paraId="3EADDFB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-0.36</w:t>
            </w:r>
          </w:p>
        </w:tc>
        <w:tc>
          <w:tcPr>
            <w:tcW w:w="781" w:type="dxa"/>
            <w:noWrap/>
            <w:vAlign w:val="center"/>
            <w:hideMark/>
          </w:tcPr>
          <w:p w14:paraId="2F6B898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781" w:type="dxa"/>
            <w:noWrap/>
            <w:vAlign w:val="center"/>
            <w:hideMark/>
          </w:tcPr>
          <w:p w14:paraId="4B86EB8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1206C02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6D74B142" w14:textId="77777777" w:rsidTr="009501B5">
        <w:trPr>
          <w:trHeight w:val="292"/>
        </w:trPr>
        <w:tc>
          <w:tcPr>
            <w:tcW w:w="1008" w:type="dxa"/>
            <w:vMerge/>
            <w:noWrap/>
            <w:vAlign w:val="center"/>
            <w:hideMark/>
          </w:tcPr>
          <w:p w14:paraId="24127804"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7392FD6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w:t>
            </w:r>
          </w:p>
        </w:tc>
        <w:tc>
          <w:tcPr>
            <w:tcW w:w="781" w:type="dxa"/>
            <w:noWrap/>
            <w:vAlign w:val="center"/>
            <w:hideMark/>
          </w:tcPr>
          <w:p w14:paraId="691145D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0.79</w:t>
            </w:r>
          </w:p>
        </w:tc>
        <w:tc>
          <w:tcPr>
            <w:tcW w:w="786" w:type="dxa"/>
            <w:noWrap/>
            <w:vAlign w:val="center"/>
            <w:hideMark/>
          </w:tcPr>
          <w:p w14:paraId="56B144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w:t>
            </w:r>
          </w:p>
        </w:tc>
        <w:tc>
          <w:tcPr>
            <w:tcW w:w="937" w:type="dxa"/>
            <w:noWrap/>
            <w:vAlign w:val="center"/>
            <w:hideMark/>
          </w:tcPr>
          <w:p w14:paraId="698CF66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0.43</w:t>
            </w:r>
          </w:p>
        </w:tc>
        <w:tc>
          <w:tcPr>
            <w:tcW w:w="781" w:type="dxa"/>
            <w:noWrap/>
            <w:vAlign w:val="center"/>
            <w:hideMark/>
          </w:tcPr>
          <w:p w14:paraId="5FD67A8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0.13</w:t>
            </w:r>
          </w:p>
        </w:tc>
        <w:tc>
          <w:tcPr>
            <w:tcW w:w="809" w:type="dxa"/>
            <w:noWrap/>
            <w:vAlign w:val="center"/>
            <w:hideMark/>
          </w:tcPr>
          <w:p w14:paraId="422873F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w:t>
            </w:r>
          </w:p>
        </w:tc>
        <w:tc>
          <w:tcPr>
            <w:tcW w:w="781" w:type="dxa"/>
            <w:noWrap/>
            <w:vAlign w:val="center"/>
            <w:hideMark/>
          </w:tcPr>
          <w:p w14:paraId="24F50D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0.03</w:t>
            </w:r>
          </w:p>
        </w:tc>
        <w:tc>
          <w:tcPr>
            <w:tcW w:w="781" w:type="dxa"/>
            <w:noWrap/>
            <w:vAlign w:val="center"/>
            <w:hideMark/>
          </w:tcPr>
          <w:p w14:paraId="680E8BB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1111D62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7451494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6965FFE4" w14:textId="77777777" w:rsidTr="009501B5">
        <w:trPr>
          <w:trHeight w:val="292"/>
        </w:trPr>
        <w:tc>
          <w:tcPr>
            <w:tcW w:w="1008" w:type="dxa"/>
            <w:vMerge w:val="restart"/>
            <w:noWrap/>
            <w:vAlign w:val="center"/>
            <w:hideMark/>
          </w:tcPr>
          <w:p w14:paraId="30C11F0C"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LAB</w:t>
            </w:r>
          </w:p>
        </w:tc>
        <w:tc>
          <w:tcPr>
            <w:tcW w:w="781" w:type="dxa"/>
            <w:noWrap/>
            <w:vAlign w:val="center"/>
            <w:hideMark/>
          </w:tcPr>
          <w:p w14:paraId="7BD0E2C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0.87</w:t>
            </w:r>
          </w:p>
        </w:tc>
        <w:tc>
          <w:tcPr>
            <w:tcW w:w="781" w:type="dxa"/>
            <w:noWrap/>
            <w:vAlign w:val="center"/>
            <w:hideMark/>
          </w:tcPr>
          <w:p w14:paraId="1797E65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0.93</w:t>
            </w:r>
          </w:p>
        </w:tc>
        <w:tc>
          <w:tcPr>
            <w:tcW w:w="786" w:type="dxa"/>
            <w:noWrap/>
            <w:vAlign w:val="center"/>
            <w:hideMark/>
          </w:tcPr>
          <w:p w14:paraId="396BBA5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0.16</w:t>
            </w:r>
          </w:p>
        </w:tc>
        <w:tc>
          <w:tcPr>
            <w:tcW w:w="937" w:type="dxa"/>
            <w:noWrap/>
            <w:vAlign w:val="center"/>
            <w:hideMark/>
          </w:tcPr>
          <w:p w14:paraId="74D7B02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w:t>
            </w:r>
          </w:p>
        </w:tc>
        <w:tc>
          <w:tcPr>
            <w:tcW w:w="781" w:type="dxa"/>
            <w:noWrap/>
            <w:vAlign w:val="center"/>
            <w:hideMark/>
          </w:tcPr>
          <w:p w14:paraId="118DDC9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0.88</w:t>
            </w:r>
          </w:p>
        </w:tc>
        <w:tc>
          <w:tcPr>
            <w:tcW w:w="809" w:type="dxa"/>
            <w:noWrap/>
            <w:vAlign w:val="center"/>
            <w:hideMark/>
          </w:tcPr>
          <w:p w14:paraId="0A54D35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0.92</w:t>
            </w:r>
          </w:p>
        </w:tc>
        <w:tc>
          <w:tcPr>
            <w:tcW w:w="781" w:type="dxa"/>
            <w:noWrap/>
            <w:vAlign w:val="center"/>
            <w:hideMark/>
          </w:tcPr>
          <w:p w14:paraId="733C90D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0.93</w:t>
            </w:r>
          </w:p>
        </w:tc>
        <w:tc>
          <w:tcPr>
            <w:tcW w:w="781" w:type="dxa"/>
            <w:noWrap/>
            <w:vAlign w:val="center"/>
            <w:hideMark/>
          </w:tcPr>
          <w:p w14:paraId="758C5E1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-0.23</w:t>
            </w:r>
          </w:p>
        </w:tc>
        <w:tc>
          <w:tcPr>
            <w:tcW w:w="781" w:type="dxa"/>
            <w:noWrap/>
            <w:vAlign w:val="center"/>
            <w:hideMark/>
          </w:tcPr>
          <w:p w14:paraId="2502932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781" w:type="dxa"/>
            <w:noWrap/>
            <w:vAlign w:val="center"/>
            <w:hideMark/>
          </w:tcPr>
          <w:p w14:paraId="6ED4810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38BB610A" w14:textId="77777777" w:rsidTr="009501B5">
        <w:trPr>
          <w:trHeight w:val="292"/>
        </w:trPr>
        <w:tc>
          <w:tcPr>
            <w:tcW w:w="1008" w:type="dxa"/>
            <w:vMerge/>
            <w:noWrap/>
            <w:vAlign w:val="center"/>
            <w:hideMark/>
          </w:tcPr>
          <w:p w14:paraId="0916C9D7"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4A49E1D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0F690F4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6" w:type="dxa"/>
            <w:noWrap/>
            <w:vAlign w:val="center"/>
            <w:hideMark/>
          </w:tcPr>
          <w:p w14:paraId="4C7BF66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0.35</w:t>
            </w:r>
          </w:p>
        </w:tc>
        <w:tc>
          <w:tcPr>
            <w:tcW w:w="937" w:type="dxa"/>
            <w:noWrap/>
            <w:vAlign w:val="center"/>
            <w:hideMark/>
          </w:tcPr>
          <w:p w14:paraId="4AA89E9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41D7EFA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809" w:type="dxa"/>
            <w:noWrap/>
            <w:vAlign w:val="center"/>
            <w:hideMark/>
          </w:tcPr>
          <w:p w14:paraId="14119E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02F5B85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27AED2C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0.19</w:t>
            </w:r>
          </w:p>
        </w:tc>
        <w:tc>
          <w:tcPr>
            <w:tcW w:w="781" w:type="dxa"/>
            <w:noWrap/>
            <w:vAlign w:val="center"/>
            <w:hideMark/>
          </w:tcPr>
          <w:p w14:paraId="78D8F3F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781" w:type="dxa"/>
            <w:noWrap/>
            <w:vAlign w:val="center"/>
            <w:hideMark/>
          </w:tcPr>
          <w:p w14:paraId="361402C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29B2F126" w14:textId="77777777" w:rsidTr="009501B5">
        <w:trPr>
          <w:trHeight w:val="292"/>
        </w:trPr>
        <w:tc>
          <w:tcPr>
            <w:tcW w:w="1008" w:type="dxa"/>
            <w:vMerge w:val="restart"/>
            <w:noWrap/>
            <w:vAlign w:val="center"/>
            <w:hideMark/>
          </w:tcPr>
          <w:p w14:paraId="078680D2"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TRF</w:t>
            </w:r>
          </w:p>
        </w:tc>
        <w:tc>
          <w:tcPr>
            <w:tcW w:w="781" w:type="dxa"/>
            <w:noWrap/>
            <w:vAlign w:val="center"/>
            <w:hideMark/>
          </w:tcPr>
          <w:p w14:paraId="4E08B70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0.78</w:t>
            </w:r>
          </w:p>
        </w:tc>
        <w:tc>
          <w:tcPr>
            <w:tcW w:w="781" w:type="dxa"/>
            <w:noWrap/>
            <w:vAlign w:val="center"/>
            <w:hideMark/>
          </w:tcPr>
          <w:p w14:paraId="3F617C7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0.31</w:t>
            </w:r>
          </w:p>
        </w:tc>
        <w:tc>
          <w:tcPr>
            <w:tcW w:w="786" w:type="dxa"/>
            <w:noWrap/>
            <w:vAlign w:val="center"/>
            <w:hideMark/>
          </w:tcPr>
          <w:p w14:paraId="19F129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-0.62</w:t>
            </w:r>
          </w:p>
        </w:tc>
        <w:tc>
          <w:tcPr>
            <w:tcW w:w="937" w:type="dxa"/>
            <w:noWrap/>
            <w:vAlign w:val="center"/>
            <w:hideMark/>
          </w:tcPr>
          <w:p w14:paraId="53CCB4D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0.10</w:t>
            </w:r>
          </w:p>
        </w:tc>
        <w:tc>
          <w:tcPr>
            <w:tcW w:w="781" w:type="dxa"/>
            <w:noWrap/>
            <w:vAlign w:val="center"/>
            <w:hideMark/>
          </w:tcPr>
          <w:p w14:paraId="6F42970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0.54</w:t>
            </w:r>
          </w:p>
        </w:tc>
        <w:tc>
          <w:tcPr>
            <w:tcW w:w="809" w:type="dxa"/>
            <w:noWrap/>
            <w:vAlign w:val="center"/>
            <w:hideMark/>
          </w:tcPr>
          <w:p w14:paraId="68AA1D6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0.68</w:t>
            </w:r>
          </w:p>
        </w:tc>
        <w:tc>
          <w:tcPr>
            <w:tcW w:w="781" w:type="dxa"/>
            <w:noWrap/>
            <w:vAlign w:val="center"/>
            <w:hideMark/>
          </w:tcPr>
          <w:p w14:paraId="6137A58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0.64</w:t>
            </w:r>
          </w:p>
        </w:tc>
        <w:tc>
          <w:tcPr>
            <w:tcW w:w="781" w:type="dxa"/>
            <w:noWrap/>
            <w:vAlign w:val="center"/>
            <w:hideMark/>
          </w:tcPr>
          <w:p w14:paraId="2ED712F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-0.66</w:t>
            </w:r>
          </w:p>
        </w:tc>
        <w:tc>
          <w:tcPr>
            <w:tcW w:w="781" w:type="dxa"/>
            <w:noWrap/>
            <w:vAlign w:val="center"/>
            <w:hideMark/>
          </w:tcPr>
          <w:p w14:paraId="0BFED0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0.55</w:t>
            </w:r>
          </w:p>
        </w:tc>
        <w:tc>
          <w:tcPr>
            <w:tcW w:w="781" w:type="dxa"/>
            <w:vMerge w:val="restart"/>
            <w:noWrap/>
            <w:vAlign w:val="center"/>
            <w:hideMark/>
          </w:tcPr>
          <w:p w14:paraId="498C62B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r>
      <w:tr w:rsidR="00EA38DE" w:rsidRPr="00EA38DE" w14:paraId="4DB07B9D" w14:textId="77777777" w:rsidTr="009501B5">
        <w:trPr>
          <w:trHeight w:val="292"/>
        </w:trPr>
        <w:tc>
          <w:tcPr>
            <w:tcW w:w="1008" w:type="dxa"/>
            <w:vMerge/>
            <w:noWrap/>
            <w:vAlign w:val="center"/>
            <w:hideMark/>
          </w:tcPr>
          <w:p w14:paraId="50DA1845"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781" w:type="dxa"/>
            <w:noWrap/>
            <w:vAlign w:val="center"/>
            <w:hideMark/>
          </w:tcPr>
          <w:p w14:paraId="59E1E44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49FEA5F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0.07</w:t>
            </w:r>
          </w:p>
        </w:tc>
        <w:tc>
          <w:tcPr>
            <w:tcW w:w="786" w:type="dxa"/>
            <w:noWrap/>
            <w:vAlign w:val="center"/>
            <w:hideMark/>
          </w:tcPr>
          <w:p w14:paraId="49320DC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937" w:type="dxa"/>
            <w:noWrap/>
            <w:vAlign w:val="center"/>
            <w:hideMark/>
          </w:tcPr>
          <w:p w14:paraId="20489B9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0.55</w:t>
            </w:r>
          </w:p>
        </w:tc>
        <w:tc>
          <w:tcPr>
            <w:tcW w:w="781" w:type="dxa"/>
            <w:noWrap/>
            <w:vAlign w:val="center"/>
            <w:hideMark/>
          </w:tcPr>
          <w:p w14:paraId="1C84A33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809" w:type="dxa"/>
            <w:noWrap/>
            <w:vAlign w:val="center"/>
            <w:hideMark/>
          </w:tcPr>
          <w:p w14:paraId="2776BF9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11A0BD5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5E8BFF3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noWrap/>
            <w:vAlign w:val="center"/>
            <w:hideMark/>
          </w:tcPr>
          <w:p w14:paraId="3BCA56D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w:t>
            </w:r>
          </w:p>
        </w:tc>
        <w:tc>
          <w:tcPr>
            <w:tcW w:w="781" w:type="dxa"/>
            <w:vMerge/>
            <w:noWrap/>
            <w:vAlign w:val="center"/>
            <w:hideMark/>
          </w:tcPr>
          <w:p w14:paraId="5C73487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bl>
    <w:p w14:paraId="06830337" w14:textId="13782A84" w:rsidR="00BA4645" w:rsidRPr="00EA38DE" w:rsidRDefault="0032713F" w:rsidP="0032713F">
      <w:pPr>
        <w:spacing w:line="480" w:lineRule="auto"/>
        <w:jc w:val="both"/>
        <w:rPr>
          <w:rFonts w:ascii="Times New Roman" w:hAnsi="Times New Roman" w:cs="Times New Roman"/>
          <w:bCs/>
          <w:iCs/>
          <w:sz w:val="24"/>
          <w:szCs w:val="24"/>
        </w:rPr>
      </w:pPr>
      <w:r w:rsidRPr="00EA38DE">
        <w:rPr>
          <w:rFonts w:ascii="Times New Roman" w:hAnsi="Times New Roman" w:cs="Times New Roman"/>
          <w:bCs/>
          <w:sz w:val="20"/>
          <w:szCs w:val="20"/>
        </w:rPr>
        <w:t xml:space="preserve">Source: Author’s computation, 2025, </w:t>
      </w:r>
      <w:r w:rsidRPr="00EA38DE">
        <w:rPr>
          <w:rFonts w:ascii="Times New Roman" w:hAnsi="Times New Roman" w:cs="Times New Roman"/>
          <w:sz w:val="18"/>
          <w:szCs w:val="18"/>
        </w:rPr>
        <w:t>using Eview 13.</w:t>
      </w:r>
    </w:p>
    <w:p w14:paraId="6B1F0BE7"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Among the blue economy factors, all the variables of AQT, DLNT and FSH display very strong positive correlations with each other ranging from 0.93 to 0.99. This demonstrates that there is strong interconnectedness among the blue economy components in Nigeria. These variables also show strong positive correlations with CTP (at 0.85 for AQT, 0.92 for DLNT, 0.91 for FSH) and POR (at 0.74 for AQT, 0.76 for DLNT, 0.77 for FSH). Thus, growth in aquaculture, desalination, and fisheries are significantly associated with higher port activity and revenue. However, their correlations with SHPC are negligible and mostly negative this shows minimal association of blue </w:t>
      </w:r>
      <w:r w:rsidRPr="00EA38DE">
        <w:rPr>
          <w:rFonts w:ascii="Times New Roman" w:hAnsi="Times New Roman" w:cs="Times New Roman"/>
          <w:sz w:val="24"/>
          <w:szCs w:val="24"/>
        </w:rPr>
        <w:lastRenderedPageBreak/>
        <w:t xml:space="preserve">economy factors with shipping costs. Exchange rate volatility (EXRTV) has generally positive and moderate correlations with AQT, DLNT, and FSH at values between 0.21 and 0.23. This imply that exchange rate volatility directly influences blue economy growth in Nigeria. </w:t>
      </w:r>
    </w:p>
    <w:p w14:paraId="21187C3B" w14:textId="77777777" w:rsidR="00BA4645" w:rsidRPr="00EA38DE" w:rsidRDefault="00BA4645" w:rsidP="00BA4645">
      <w:pPr>
        <w:spacing w:after="200" w:line="480" w:lineRule="auto"/>
        <w:jc w:val="both"/>
        <w:rPr>
          <w:rFonts w:ascii="Times New Roman" w:hAnsi="Times New Roman" w:cs="Times New Roman"/>
          <w:bCs/>
          <w:iCs/>
          <w:sz w:val="24"/>
          <w:szCs w:val="24"/>
        </w:rPr>
      </w:pPr>
      <w:r w:rsidRPr="00EA38DE">
        <w:rPr>
          <w:rFonts w:ascii="Times New Roman" w:hAnsi="Times New Roman" w:cs="Times New Roman"/>
          <w:bCs/>
          <w:iCs/>
          <w:sz w:val="24"/>
          <w:szCs w:val="24"/>
        </w:rPr>
        <w:t>Further analysis of the relationships among the blue economy and shipping industry variables is performed to determine whether indirect relationship exists among the variables. In Figure 4.1, the scatterplot for the relationship between shipping cost and port revenue is shown. The chart reveals a non-monotonic and U-shaped relationship between shipping cost and port revenue in Nigeria. This pattern indicates that port revenue does not change linearly with shipping costs but instead reaches a minimum at intermediate cost levels with higher revenues at both low and high ends of the cost spectrum. Specifically, the U-shaped relationship depicted in the chart shows initial decline in port revenue as shipping costs rise. At very low shipping costs, ports attract a high volume of traffic due to affordability. In this case cost-sensitive shippers tend to handle bulk commodities to ensure lower costs which suggests that revenue remains high because the large throughput compensates for potentially slim margins.</w:t>
      </w:r>
    </w:p>
    <w:p w14:paraId="436298B5" w14:textId="77777777" w:rsidR="00BA4645" w:rsidRPr="00EA38DE" w:rsidRDefault="00BA4645" w:rsidP="00BA4645">
      <w:pPr>
        <w:spacing w:after="0" w:line="480" w:lineRule="auto"/>
        <w:jc w:val="both"/>
        <w:rPr>
          <w:rFonts w:ascii="Times New Roman" w:hAnsi="Times New Roman" w:cs="Times New Roman"/>
          <w:bCs/>
          <w:iCs/>
          <w:sz w:val="24"/>
          <w:szCs w:val="24"/>
        </w:rPr>
      </w:pPr>
      <w:r w:rsidRPr="00EA38DE">
        <w:rPr>
          <w:rFonts w:ascii="Times New Roman" w:hAnsi="Times New Roman" w:cs="Times New Roman"/>
          <w:bCs/>
          <w:iCs/>
          <w:sz w:val="24"/>
          <w:szCs w:val="24"/>
        </w:rPr>
        <w:t xml:space="preserve">As shipping costs continue to increase, demand becomes more elastic (the curve is flatter). In this case, shippers tend to seek cheaper alternatives (like neighboring ports) and this leads to a drop in cargo volume. In Nigeria, inefficiencies like congestion and high turnaround times exacerbate this, causing revenue to decline. Further increases in shipping costs beyond a threshold point are shown to appear and shift the port’s focus toward lesser price-sensitive position. The reduced volume due to higher costs is offset by higher per-unit revenue from premiums or specialized services. This leads to a revenue rebound for the ports. Higher costs may also signal investments in port infrastructure or efficiency which (although it increases operational costs) attract premium clients </w:t>
      </w:r>
      <w:r w:rsidRPr="00EA38DE">
        <w:rPr>
          <w:rFonts w:ascii="Times New Roman" w:hAnsi="Times New Roman" w:cs="Times New Roman"/>
          <w:bCs/>
          <w:iCs/>
          <w:sz w:val="24"/>
          <w:szCs w:val="24"/>
        </w:rPr>
        <w:lastRenderedPageBreak/>
        <w:t>willing to pay more. The U-shape of the relationship between shipping costs and port revenue therefore mirrors a transition from elastic demand to inelastic demand for port services in Nigeria.</w:t>
      </w:r>
    </w:p>
    <w:p w14:paraId="38893737" w14:textId="77777777" w:rsidR="00BA4645" w:rsidRPr="00EA38DE" w:rsidRDefault="00BA4645" w:rsidP="0032713F">
      <w:pPr>
        <w:spacing w:after="0" w:line="360" w:lineRule="auto"/>
        <w:jc w:val="both"/>
        <w:rPr>
          <w:rFonts w:ascii="Times New Roman" w:hAnsi="Times New Roman" w:cs="Times New Roman"/>
          <w:b/>
          <w:iCs/>
          <w:sz w:val="24"/>
          <w:szCs w:val="24"/>
        </w:rPr>
      </w:pPr>
      <w:r w:rsidRPr="00EA38DE">
        <w:rPr>
          <w:noProof/>
        </w:rPr>
        <w:drawing>
          <wp:inline distT="0" distB="0" distL="0" distR="0" wp14:anchorId="6C17A664" wp14:editId="7F26A37F">
            <wp:extent cx="4013200" cy="2482850"/>
            <wp:effectExtent l="0" t="0" r="6350" b="12700"/>
            <wp:docPr id="1244381983" name="Chart 1">
              <a:extLst xmlns:a="http://schemas.openxmlformats.org/drawingml/2006/main">
                <a:ext uri="{FF2B5EF4-FFF2-40B4-BE49-F238E27FC236}">
                  <a16:creationId xmlns:a16="http://schemas.microsoft.com/office/drawing/2014/main" id="{C866405C-AB28-45A2-E71B-FF7E446ED7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E071B0B" w14:textId="77777777" w:rsidR="0032713F" w:rsidRPr="00EA38DE" w:rsidRDefault="0032713F" w:rsidP="0032713F">
      <w:pPr>
        <w:spacing w:line="480" w:lineRule="auto"/>
        <w:jc w:val="both"/>
        <w:rPr>
          <w:rFonts w:ascii="Times New Roman" w:hAnsi="Times New Roman" w:cs="Times New Roman"/>
          <w:bCs/>
          <w:iCs/>
          <w:sz w:val="24"/>
          <w:szCs w:val="24"/>
        </w:rPr>
      </w:pPr>
      <w:r w:rsidRPr="00EA38DE">
        <w:rPr>
          <w:rFonts w:ascii="Times New Roman" w:hAnsi="Times New Roman" w:cs="Times New Roman"/>
          <w:b/>
          <w:bCs/>
          <w:iCs/>
          <w:sz w:val="24"/>
          <w:szCs w:val="24"/>
        </w:rPr>
        <w:t>Fig. 4.1: Port revenue and shipping cost</w:t>
      </w:r>
    </w:p>
    <w:p w14:paraId="0317FC32" w14:textId="686B91F0" w:rsidR="00BA4645" w:rsidRPr="00EA38DE" w:rsidRDefault="00BA4645" w:rsidP="00CF07FC">
      <w:pPr>
        <w:spacing w:after="0" w:line="480" w:lineRule="auto"/>
        <w:jc w:val="both"/>
        <w:rPr>
          <w:rFonts w:ascii="Times New Roman" w:hAnsi="Times New Roman" w:cs="Times New Roman"/>
          <w:bCs/>
          <w:iCs/>
          <w:sz w:val="24"/>
          <w:szCs w:val="24"/>
        </w:rPr>
      </w:pPr>
      <w:r w:rsidRPr="00EA38DE">
        <w:rPr>
          <w:rFonts w:ascii="Times New Roman" w:hAnsi="Times New Roman" w:cs="Times New Roman"/>
          <w:bCs/>
          <w:iCs/>
          <w:sz w:val="24"/>
          <w:szCs w:val="24"/>
        </w:rPr>
        <w:t>In terms of the relationship between cargo throughput and port revenue, the scatterplot in</w:t>
      </w:r>
      <w:r w:rsidR="00254055" w:rsidRPr="00EA38DE">
        <w:rPr>
          <w:rFonts w:ascii="Times New Roman" w:hAnsi="Times New Roman" w:cs="Times New Roman"/>
          <w:bCs/>
          <w:iCs/>
          <w:sz w:val="24"/>
          <w:szCs w:val="24"/>
        </w:rPr>
        <w:t xml:space="preserve"> </w:t>
      </w:r>
      <w:r w:rsidRPr="00EA38DE">
        <w:rPr>
          <w:rFonts w:ascii="Times New Roman" w:hAnsi="Times New Roman" w:cs="Times New Roman"/>
          <w:bCs/>
          <w:iCs/>
          <w:sz w:val="24"/>
          <w:szCs w:val="24"/>
        </w:rPr>
        <w:t xml:space="preserve">Figure 4.2 </w:t>
      </w:r>
      <w:r w:rsidR="00CF07FC" w:rsidRPr="00EA38DE">
        <w:rPr>
          <w:rFonts w:ascii="Times New Roman" w:hAnsi="Times New Roman" w:cs="Times New Roman"/>
          <w:bCs/>
          <w:iCs/>
          <w:sz w:val="24"/>
          <w:szCs w:val="24"/>
        </w:rPr>
        <w:t>S</w:t>
      </w:r>
      <w:r w:rsidRPr="00EA38DE">
        <w:rPr>
          <w:rFonts w:ascii="Times New Roman" w:hAnsi="Times New Roman" w:cs="Times New Roman"/>
          <w:bCs/>
          <w:iCs/>
          <w:sz w:val="24"/>
          <w:szCs w:val="24"/>
        </w:rPr>
        <w:t xml:space="preserve">hows that a linear relationship exists. Thus, there is a linear or direct path in terms of how increase in cargo throughput affects port revenue. The upward-sloping trend line indicates that as cargo throughput increases, there is a corresponding and direct increase in port revenue in Nigeria.    </w:t>
      </w:r>
    </w:p>
    <w:p w14:paraId="4A32BB04" w14:textId="77777777" w:rsidR="00BA4645" w:rsidRPr="00EA38DE" w:rsidRDefault="00BA4645" w:rsidP="00BA4645">
      <w:pPr>
        <w:spacing w:after="0" w:line="480" w:lineRule="auto"/>
        <w:jc w:val="both"/>
        <w:rPr>
          <w:rFonts w:ascii="Times New Roman" w:hAnsi="Times New Roman" w:cs="Times New Roman"/>
          <w:b/>
          <w:iCs/>
          <w:sz w:val="24"/>
          <w:szCs w:val="24"/>
        </w:rPr>
      </w:pPr>
      <w:r w:rsidRPr="00EA38DE">
        <w:rPr>
          <w:noProof/>
        </w:rPr>
        <w:drawing>
          <wp:inline distT="0" distB="0" distL="0" distR="0" wp14:anchorId="498B3876" wp14:editId="77467826">
            <wp:extent cx="3949700" cy="2603500"/>
            <wp:effectExtent l="0" t="0" r="12700" b="6350"/>
            <wp:docPr id="1432443104" name="Chart 1">
              <a:extLst xmlns:a="http://schemas.openxmlformats.org/drawingml/2006/main">
                <a:ext uri="{FF2B5EF4-FFF2-40B4-BE49-F238E27FC236}">
                  <a16:creationId xmlns:a16="http://schemas.microsoft.com/office/drawing/2014/main" id="{201D120C-1E15-9F88-22D2-159D2A337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45CD3DE" w14:textId="2EAF6495" w:rsidR="0032713F" w:rsidRPr="00EA38DE" w:rsidRDefault="0032713F" w:rsidP="0032713F">
      <w:pPr>
        <w:spacing w:line="480" w:lineRule="auto"/>
        <w:jc w:val="both"/>
        <w:rPr>
          <w:rFonts w:ascii="Times New Roman" w:hAnsi="Times New Roman" w:cs="Times New Roman"/>
          <w:bCs/>
          <w:iCs/>
          <w:sz w:val="24"/>
          <w:szCs w:val="24"/>
        </w:rPr>
      </w:pPr>
      <w:r w:rsidRPr="00EA38DE">
        <w:rPr>
          <w:rFonts w:ascii="Times New Roman" w:hAnsi="Times New Roman" w:cs="Times New Roman"/>
          <w:b/>
          <w:bCs/>
          <w:iCs/>
          <w:sz w:val="24"/>
          <w:szCs w:val="24"/>
        </w:rPr>
        <w:t>Fig. 4.2: Cargo thr</w:t>
      </w:r>
      <w:r w:rsidR="00762B46" w:rsidRPr="00EA38DE">
        <w:rPr>
          <w:rFonts w:ascii="Times New Roman" w:hAnsi="Times New Roman" w:cs="Times New Roman"/>
          <w:b/>
          <w:bCs/>
          <w:iCs/>
          <w:sz w:val="24"/>
          <w:szCs w:val="24"/>
        </w:rPr>
        <w:t>o</w:t>
      </w:r>
      <w:r w:rsidRPr="00EA38DE">
        <w:rPr>
          <w:rFonts w:ascii="Times New Roman" w:hAnsi="Times New Roman" w:cs="Times New Roman"/>
          <w:b/>
          <w:bCs/>
          <w:iCs/>
          <w:sz w:val="24"/>
          <w:szCs w:val="24"/>
        </w:rPr>
        <w:t>u</w:t>
      </w:r>
      <w:r w:rsidR="00762B46" w:rsidRPr="00EA38DE">
        <w:rPr>
          <w:rFonts w:ascii="Times New Roman" w:hAnsi="Times New Roman" w:cs="Times New Roman"/>
          <w:b/>
          <w:bCs/>
          <w:iCs/>
          <w:sz w:val="24"/>
          <w:szCs w:val="24"/>
        </w:rPr>
        <w:t>gh</w:t>
      </w:r>
      <w:r w:rsidRPr="00EA38DE">
        <w:rPr>
          <w:rFonts w:ascii="Times New Roman" w:hAnsi="Times New Roman" w:cs="Times New Roman"/>
          <w:b/>
          <w:bCs/>
          <w:iCs/>
          <w:sz w:val="24"/>
          <w:szCs w:val="24"/>
        </w:rPr>
        <w:t>put and port revenue</w:t>
      </w:r>
    </w:p>
    <w:p w14:paraId="173D72C8" w14:textId="77777777" w:rsidR="00BA4645" w:rsidRPr="00EA38DE" w:rsidRDefault="00BA4645" w:rsidP="0032713F">
      <w:pPr>
        <w:spacing w:line="480" w:lineRule="auto"/>
        <w:jc w:val="both"/>
        <w:rPr>
          <w:rFonts w:ascii="Times New Roman" w:hAnsi="Times New Roman" w:cs="Times New Roman"/>
          <w:bCs/>
          <w:iCs/>
          <w:sz w:val="24"/>
          <w:szCs w:val="24"/>
        </w:rPr>
      </w:pPr>
      <w:r w:rsidRPr="00EA38DE">
        <w:rPr>
          <w:rFonts w:ascii="Times New Roman" w:hAnsi="Times New Roman" w:cs="Times New Roman"/>
          <w:bCs/>
          <w:iCs/>
          <w:sz w:val="24"/>
          <w:szCs w:val="24"/>
        </w:rPr>
        <w:lastRenderedPageBreak/>
        <w:t xml:space="preserve">The relationship between cargo throughput and shipping costs is also shown in the scatterplot in Figure 4.3. The relationship is also non-linear with a U-shaped structure. This is similar to the relationship between shipping cost and port revenue. The chart shows that as shipping costs continue to increase over time, cargo throughput initially decreases. The decrease is however reversed after a threshold is reached. Beyond this threshold, further increases in shipping costs tend to lead to higher cargo throughput in the Nigerian port system.    </w:t>
      </w:r>
    </w:p>
    <w:p w14:paraId="2B692379" w14:textId="77777777" w:rsidR="00BA4645" w:rsidRPr="00EA38DE" w:rsidRDefault="00BA4645" w:rsidP="00BA4645">
      <w:pPr>
        <w:spacing w:after="0" w:line="480" w:lineRule="auto"/>
        <w:jc w:val="both"/>
        <w:rPr>
          <w:rFonts w:ascii="Times New Roman" w:hAnsi="Times New Roman" w:cs="Times New Roman"/>
          <w:b/>
          <w:iCs/>
          <w:sz w:val="24"/>
          <w:szCs w:val="24"/>
        </w:rPr>
      </w:pPr>
      <w:r w:rsidRPr="00EA38DE">
        <w:rPr>
          <w:noProof/>
        </w:rPr>
        <w:drawing>
          <wp:inline distT="0" distB="0" distL="0" distR="0" wp14:anchorId="4C4CEEF8" wp14:editId="3C7E1C7C">
            <wp:extent cx="4184650" cy="2381250"/>
            <wp:effectExtent l="0" t="0" r="6350" b="0"/>
            <wp:docPr id="1967429579" name="Chart 1">
              <a:extLst xmlns:a="http://schemas.openxmlformats.org/drawingml/2006/main">
                <a:ext uri="{FF2B5EF4-FFF2-40B4-BE49-F238E27FC236}">
                  <a16:creationId xmlns:a16="http://schemas.microsoft.com/office/drawing/2014/main" id="{9717DEC8-B4FA-8F10-0729-7C56EFBB02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1738A35" w14:textId="5742F953" w:rsidR="0032713F" w:rsidRPr="00EA38DE" w:rsidRDefault="0032713F" w:rsidP="0032713F">
      <w:pPr>
        <w:spacing w:line="480" w:lineRule="auto"/>
        <w:jc w:val="both"/>
        <w:rPr>
          <w:rFonts w:ascii="Times New Roman" w:hAnsi="Times New Roman" w:cs="Times New Roman"/>
          <w:bCs/>
          <w:iCs/>
          <w:sz w:val="24"/>
          <w:szCs w:val="24"/>
        </w:rPr>
      </w:pPr>
      <w:r w:rsidRPr="00EA38DE">
        <w:rPr>
          <w:rFonts w:ascii="Times New Roman" w:hAnsi="Times New Roman" w:cs="Times New Roman"/>
          <w:b/>
          <w:bCs/>
          <w:iCs/>
          <w:sz w:val="24"/>
          <w:szCs w:val="24"/>
        </w:rPr>
        <w:t>Fig. 4.3: Cargo thr</w:t>
      </w:r>
      <w:r w:rsidR="00254055" w:rsidRPr="00EA38DE">
        <w:rPr>
          <w:rFonts w:ascii="Times New Roman" w:hAnsi="Times New Roman" w:cs="Times New Roman"/>
          <w:b/>
          <w:bCs/>
          <w:iCs/>
          <w:sz w:val="24"/>
          <w:szCs w:val="24"/>
        </w:rPr>
        <w:t>o</w:t>
      </w:r>
      <w:r w:rsidRPr="00EA38DE">
        <w:rPr>
          <w:rFonts w:ascii="Times New Roman" w:hAnsi="Times New Roman" w:cs="Times New Roman"/>
          <w:b/>
          <w:bCs/>
          <w:iCs/>
          <w:sz w:val="24"/>
          <w:szCs w:val="24"/>
        </w:rPr>
        <w:t>u</w:t>
      </w:r>
      <w:r w:rsidR="00254055" w:rsidRPr="00EA38DE">
        <w:rPr>
          <w:rFonts w:ascii="Times New Roman" w:hAnsi="Times New Roman" w:cs="Times New Roman"/>
          <w:b/>
          <w:bCs/>
          <w:iCs/>
          <w:sz w:val="24"/>
          <w:szCs w:val="24"/>
        </w:rPr>
        <w:t>gh</w:t>
      </w:r>
      <w:r w:rsidRPr="00EA38DE">
        <w:rPr>
          <w:rFonts w:ascii="Times New Roman" w:hAnsi="Times New Roman" w:cs="Times New Roman"/>
          <w:b/>
          <w:bCs/>
          <w:iCs/>
          <w:sz w:val="24"/>
          <w:szCs w:val="24"/>
        </w:rPr>
        <w:t>put and shipping cost</w:t>
      </w:r>
    </w:p>
    <w:p w14:paraId="7B829100" w14:textId="77777777" w:rsidR="00BA4645" w:rsidRPr="00EA38DE" w:rsidRDefault="00BA4645" w:rsidP="0032713F">
      <w:pPr>
        <w:spacing w:line="480" w:lineRule="auto"/>
        <w:jc w:val="both"/>
        <w:rPr>
          <w:rFonts w:ascii="Times New Roman" w:hAnsi="Times New Roman" w:cs="Times New Roman"/>
          <w:bCs/>
          <w:iCs/>
          <w:sz w:val="24"/>
          <w:szCs w:val="24"/>
        </w:rPr>
      </w:pPr>
      <w:r w:rsidRPr="00EA38DE">
        <w:rPr>
          <w:rFonts w:ascii="Times New Roman" w:hAnsi="Times New Roman" w:cs="Times New Roman"/>
          <w:bCs/>
          <w:iCs/>
          <w:sz w:val="24"/>
          <w:szCs w:val="24"/>
        </w:rPr>
        <w:t xml:space="preserve">The scatterplot for the relationship between aquaculture production and fishery production is presented in Figure 4.4. A linear relationship is shown between the two variables which indicates that as one blue economy factor increases, the other is also increasing. In particular, the trend equation shows that for every one percent increase in aquaculture production in Nigeria, fishing output also increases by up to 0.33 percentage point.  </w:t>
      </w:r>
    </w:p>
    <w:p w14:paraId="5B01A81B" w14:textId="77777777" w:rsidR="00BA4645" w:rsidRPr="00EA38DE" w:rsidRDefault="00BA4645" w:rsidP="0032713F">
      <w:pPr>
        <w:spacing w:after="0" w:line="240" w:lineRule="auto"/>
        <w:jc w:val="both"/>
        <w:rPr>
          <w:rFonts w:ascii="Times New Roman" w:hAnsi="Times New Roman" w:cs="Times New Roman"/>
          <w:b/>
          <w:iCs/>
          <w:sz w:val="24"/>
          <w:szCs w:val="24"/>
        </w:rPr>
      </w:pPr>
      <w:r w:rsidRPr="00EA38DE">
        <w:rPr>
          <w:noProof/>
        </w:rPr>
        <w:lastRenderedPageBreak/>
        <w:drawing>
          <wp:inline distT="0" distB="0" distL="0" distR="0" wp14:anchorId="2E9FDADC" wp14:editId="738EE4D9">
            <wp:extent cx="3835400" cy="2470150"/>
            <wp:effectExtent l="0" t="0" r="12700" b="6350"/>
            <wp:docPr id="1982576723" name="Chart 1">
              <a:extLst xmlns:a="http://schemas.openxmlformats.org/drawingml/2006/main">
                <a:ext uri="{FF2B5EF4-FFF2-40B4-BE49-F238E27FC236}">
                  <a16:creationId xmlns:a16="http://schemas.microsoft.com/office/drawing/2014/main" id="{9F500C3A-3461-904C-29C4-B134C4AA63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B2716B8" w14:textId="2FBB38C8" w:rsidR="0032713F" w:rsidRPr="00EA38DE" w:rsidRDefault="0032713F" w:rsidP="00164181">
      <w:pPr>
        <w:spacing w:line="480" w:lineRule="auto"/>
        <w:jc w:val="both"/>
        <w:rPr>
          <w:rFonts w:ascii="Times New Roman" w:hAnsi="Times New Roman" w:cs="Times New Roman"/>
          <w:bCs/>
          <w:iCs/>
          <w:sz w:val="24"/>
          <w:szCs w:val="24"/>
        </w:rPr>
      </w:pPr>
      <w:r w:rsidRPr="00EA38DE">
        <w:rPr>
          <w:rFonts w:ascii="Times New Roman" w:hAnsi="Times New Roman" w:cs="Times New Roman"/>
          <w:b/>
          <w:bCs/>
          <w:iCs/>
          <w:sz w:val="24"/>
          <w:szCs w:val="24"/>
        </w:rPr>
        <w:t>Fig. 4.4: Aquaculture and fishery</w:t>
      </w:r>
    </w:p>
    <w:p w14:paraId="699AFE6E" w14:textId="505F41FE" w:rsidR="00BA4645" w:rsidRPr="00EA38DE" w:rsidRDefault="00BA4645" w:rsidP="00BA4645">
      <w:pPr>
        <w:spacing w:after="0" w:line="480" w:lineRule="auto"/>
        <w:jc w:val="both"/>
        <w:rPr>
          <w:rFonts w:ascii="Times New Roman" w:hAnsi="Times New Roman" w:cs="Times New Roman"/>
          <w:bCs/>
          <w:iCs/>
          <w:sz w:val="24"/>
          <w:szCs w:val="24"/>
        </w:rPr>
      </w:pPr>
      <w:r w:rsidRPr="00EA38DE">
        <w:rPr>
          <w:rFonts w:ascii="Times New Roman" w:hAnsi="Times New Roman" w:cs="Times New Roman"/>
          <w:bCs/>
          <w:iCs/>
          <w:sz w:val="24"/>
          <w:szCs w:val="24"/>
        </w:rPr>
        <w:t>A linear relationship is also observed for the relationship betwee</w:t>
      </w:r>
      <w:r w:rsidR="00164181" w:rsidRPr="00EA38DE">
        <w:rPr>
          <w:rFonts w:ascii="Times New Roman" w:hAnsi="Times New Roman" w:cs="Times New Roman"/>
          <w:bCs/>
          <w:iCs/>
          <w:sz w:val="24"/>
          <w:szCs w:val="24"/>
        </w:rPr>
        <w:t xml:space="preserve">n desalination and fishery, and </w:t>
      </w:r>
      <w:r w:rsidRPr="00EA38DE">
        <w:rPr>
          <w:rFonts w:ascii="Times New Roman" w:hAnsi="Times New Roman" w:cs="Times New Roman"/>
          <w:bCs/>
          <w:iCs/>
          <w:sz w:val="24"/>
          <w:szCs w:val="24"/>
        </w:rPr>
        <w:t xml:space="preserve">between desalination and aquaculture as shown in Figures 4.5 and 4.6 respectively. This shows that an increase in one of the variables effectively stimulates increase in the other. In both cases, the slope of the linear function is positive and greater than 1.0. This shows that increase in desalination leads to a more than proportionate increase in both fishery output and aquaculture in Nigeria. This shows the central role of the component of desalination within the blue economy system in Nigeria. </w:t>
      </w:r>
    </w:p>
    <w:p w14:paraId="7A1FAE01" w14:textId="77777777" w:rsidR="00BA4645" w:rsidRPr="00EA38DE" w:rsidRDefault="00BA4645" w:rsidP="00BA4645">
      <w:pPr>
        <w:spacing w:after="0" w:line="480" w:lineRule="auto"/>
        <w:jc w:val="both"/>
        <w:rPr>
          <w:rFonts w:ascii="Times New Roman" w:hAnsi="Times New Roman" w:cs="Times New Roman"/>
          <w:b/>
          <w:iCs/>
          <w:sz w:val="24"/>
          <w:szCs w:val="24"/>
        </w:rPr>
      </w:pPr>
      <w:r w:rsidRPr="00EA38DE">
        <w:rPr>
          <w:noProof/>
        </w:rPr>
        <w:drawing>
          <wp:inline distT="0" distB="0" distL="0" distR="0" wp14:anchorId="0C073000" wp14:editId="46440013">
            <wp:extent cx="2870200" cy="2114550"/>
            <wp:effectExtent l="0" t="0" r="6350" b="0"/>
            <wp:docPr id="575731205" name="Chart 1">
              <a:extLst xmlns:a="http://schemas.openxmlformats.org/drawingml/2006/main">
                <a:ext uri="{FF2B5EF4-FFF2-40B4-BE49-F238E27FC236}">
                  <a16:creationId xmlns:a16="http://schemas.microsoft.com/office/drawing/2014/main" id="{547C4796-62E4-7662-FB8D-50BAEA7B5B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EA38DE">
        <w:rPr>
          <w:noProof/>
        </w:rPr>
        <w:drawing>
          <wp:inline distT="0" distB="0" distL="0" distR="0" wp14:anchorId="617F8FB2" wp14:editId="09B0249E">
            <wp:extent cx="2870200" cy="2139950"/>
            <wp:effectExtent l="0" t="0" r="6350" b="12700"/>
            <wp:docPr id="330271480" name="Chart 1">
              <a:extLst xmlns:a="http://schemas.openxmlformats.org/drawingml/2006/main">
                <a:ext uri="{FF2B5EF4-FFF2-40B4-BE49-F238E27FC236}">
                  <a16:creationId xmlns:a16="http://schemas.microsoft.com/office/drawing/2014/main" id="{2A2F63BB-E89C-1725-D9CD-EDC0C883FB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C6359B8" w14:textId="257779F8" w:rsidR="00BA4645" w:rsidRPr="00EA38DE" w:rsidRDefault="0032713F" w:rsidP="0032713F">
      <w:pPr>
        <w:spacing w:line="480" w:lineRule="auto"/>
        <w:jc w:val="both"/>
        <w:rPr>
          <w:rFonts w:ascii="Times New Roman" w:hAnsi="Times New Roman" w:cs="Times New Roman"/>
          <w:b/>
          <w:iCs/>
          <w:sz w:val="24"/>
          <w:szCs w:val="24"/>
        </w:rPr>
      </w:pPr>
      <w:r w:rsidRPr="00EA38DE">
        <w:rPr>
          <w:rFonts w:ascii="Times New Roman" w:hAnsi="Times New Roman" w:cs="Times New Roman"/>
          <w:b/>
          <w:bCs/>
          <w:iCs/>
          <w:sz w:val="24"/>
          <w:szCs w:val="24"/>
        </w:rPr>
        <w:t>Fig. 4.5: Desalination and fishing</w:t>
      </w:r>
      <w:r w:rsidRPr="00EA38DE">
        <w:rPr>
          <w:rFonts w:ascii="Times New Roman" w:hAnsi="Times New Roman" w:cs="Times New Roman"/>
          <w:b/>
          <w:bCs/>
          <w:iCs/>
          <w:sz w:val="24"/>
          <w:szCs w:val="24"/>
        </w:rPr>
        <w:tab/>
      </w:r>
      <w:r w:rsidRPr="00EA38DE">
        <w:rPr>
          <w:rFonts w:ascii="Times New Roman" w:hAnsi="Times New Roman" w:cs="Times New Roman"/>
          <w:b/>
          <w:bCs/>
          <w:iCs/>
          <w:sz w:val="24"/>
          <w:szCs w:val="24"/>
        </w:rPr>
        <w:tab/>
      </w:r>
      <w:r w:rsidRPr="00EA38DE">
        <w:rPr>
          <w:rFonts w:ascii="Times New Roman" w:hAnsi="Times New Roman" w:cs="Times New Roman"/>
          <w:b/>
          <w:bCs/>
          <w:iCs/>
          <w:sz w:val="24"/>
          <w:szCs w:val="24"/>
        </w:rPr>
        <w:tab/>
        <w:t>Fig. 4.6: Desalination and aquaculture</w:t>
      </w:r>
    </w:p>
    <w:p w14:paraId="7A75BD55" w14:textId="4F12BF27" w:rsidR="00BA4645" w:rsidRPr="00EA38DE" w:rsidRDefault="00BA4645" w:rsidP="0032713F">
      <w:pPr>
        <w:spacing w:line="480" w:lineRule="auto"/>
        <w:jc w:val="both"/>
        <w:rPr>
          <w:rFonts w:ascii="Times New Roman" w:hAnsi="Times New Roman" w:cs="Times New Roman"/>
          <w:b/>
          <w:iCs/>
          <w:sz w:val="24"/>
          <w:szCs w:val="24"/>
        </w:rPr>
      </w:pPr>
      <w:r w:rsidRPr="00EA38DE">
        <w:rPr>
          <w:rFonts w:ascii="Times New Roman" w:hAnsi="Times New Roman" w:cs="Times New Roman"/>
          <w:b/>
          <w:iCs/>
          <w:sz w:val="24"/>
          <w:szCs w:val="24"/>
        </w:rPr>
        <w:lastRenderedPageBreak/>
        <w:t>4.3</w:t>
      </w:r>
      <w:bookmarkStart w:id="13" w:name="_Hlk174985622"/>
      <w:r w:rsidR="0032713F" w:rsidRPr="00EA38DE">
        <w:rPr>
          <w:rFonts w:ascii="Times New Roman" w:hAnsi="Times New Roman" w:cs="Times New Roman"/>
          <w:b/>
          <w:iCs/>
          <w:sz w:val="24"/>
          <w:szCs w:val="24"/>
        </w:rPr>
        <w:tab/>
      </w:r>
      <w:r w:rsidRPr="00EA38DE">
        <w:rPr>
          <w:rFonts w:ascii="Times New Roman" w:hAnsi="Times New Roman" w:cs="Times New Roman"/>
          <w:b/>
          <w:iCs/>
          <w:sz w:val="24"/>
          <w:szCs w:val="24"/>
        </w:rPr>
        <w:t xml:space="preserve">Unit Root and Cointegration Analysis   </w:t>
      </w:r>
    </w:p>
    <w:p w14:paraId="11ED6FC0" w14:textId="77777777" w:rsidR="00BA4645" w:rsidRPr="00EA38DE" w:rsidRDefault="00BA4645" w:rsidP="0032713F">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unit root test for the variables is used to examine the level of stationarity of the time series used in the empirical analysis. This test is important because non-stationary time series are non-mean reverting and analysis based on such data may result in spurious regression relationships. In this study, the Augmented Dickey Fuller (ADF) and the Kwiatkowski-Phillips-Schmidt-Shin (KPSS) tests of unit roots (test of the stationarity of the datasets) are employed. The ADF test has the advantage of being an indirect approach to testing unit roots with particular focus on stationarity processes of the dataset. On the other hand, the KPSS presents a deeper outcome by directly testing for unit roots. The results of the unit root tests are presented in Table 4.3. </w:t>
      </w:r>
    </w:p>
    <w:p w14:paraId="70540C2A" w14:textId="2F04CA4C" w:rsidR="00BA4645" w:rsidRPr="00EA38DE" w:rsidRDefault="00BA4645" w:rsidP="00BA4645">
      <w:pPr>
        <w:autoSpaceDE w:val="0"/>
        <w:autoSpaceDN w:val="0"/>
        <w:adjustRightInd w:val="0"/>
        <w:spacing w:after="0"/>
        <w:jc w:val="both"/>
        <w:rPr>
          <w:rFonts w:ascii="Times New Roman" w:hAnsi="Times New Roman" w:cs="Times New Roman"/>
          <w:b/>
          <w:sz w:val="20"/>
          <w:szCs w:val="20"/>
        </w:rPr>
      </w:pPr>
      <w:r w:rsidRPr="00EA38DE">
        <w:rPr>
          <w:rFonts w:ascii="Times New Roman" w:hAnsi="Times New Roman" w:cs="Times New Roman"/>
          <w:b/>
          <w:sz w:val="20"/>
          <w:szCs w:val="20"/>
        </w:rPr>
        <w:t xml:space="preserve">Table 4.3: Unit Root </w:t>
      </w:r>
      <w:r w:rsidR="00244442" w:rsidRPr="00EA38DE">
        <w:rPr>
          <w:rFonts w:ascii="Times New Roman" w:hAnsi="Times New Roman" w:cs="Times New Roman"/>
          <w:b/>
          <w:sz w:val="20"/>
          <w:szCs w:val="20"/>
        </w:rPr>
        <w:t xml:space="preserve">Test </w:t>
      </w:r>
      <w:r w:rsidRPr="00EA38DE">
        <w:rPr>
          <w:rFonts w:ascii="Times New Roman" w:hAnsi="Times New Roman" w:cs="Times New Roman"/>
          <w:b/>
          <w:sz w:val="20"/>
          <w:szCs w:val="20"/>
        </w:rPr>
        <w:t xml:space="preserve">for Variables </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1278"/>
        <w:gridCol w:w="1414"/>
        <w:gridCol w:w="1278"/>
        <w:gridCol w:w="1414"/>
        <w:gridCol w:w="2180"/>
      </w:tblGrid>
      <w:tr w:rsidR="00EA38DE" w:rsidRPr="00EA38DE" w14:paraId="519C3B4B" w14:textId="77777777" w:rsidTr="009501B5">
        <w:trPr>
          <w:trHeight w:val="294"/>
        </w:trPr>
        <w:tc>
          <w:tcPr>
            <w:tcW w:w="1280" w:type="dxa"/>
            <w:vMerge w:val="restart"/>
            <w:vAlign w:val="center"/>
            <w:hideMark/>
          </w:tcPr>
          <w:p w14:paraId="63639F7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Variable</w:t>
            </w:r>
          </w:p>
        </w:tc>
        <w:tc>
          <w:tcPr>
            <w:tcW w:w="2692" w:type="dxa"/>
            <w:gridSpan w:val="2"/>
            <w:vAlign w:val="center"/>
            <w:hideMark/>
          </w:tcPr>
          <w:p w14:paraId="7FE89960"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ADF Test</w:t>
            </w:r>
          </w:p>
        </w:tc>
        <w:tc>
          <w:tcPr>
            <w:tcW w:w="2692" w:type="dxa"/>
            <w:gridSpan w:val="2"/>
            <w:vAlign w:val="center"/>
            <w:hideMark/>
          </w:tcPr>
          <w:p w14:paraId="1950E439"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KPSS</w:t>
            </w:r>
          </w:p>
        </w:tc>
        <w:tc>
          <w:tcPr>
            <w:tcW w:w="2180" w:type="dxa"/>
            <w:vMerge w:val="restart"/>
            <w:vAlign w:val="center"/>
            <w:hideMark/>
          </w:tcPr>
          <w:p w14:paraId="4F502B5C"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Order of Integration</w:t>
            </w:r>
          </w:p>
        </w:tc>
      </w:tr>
      <w:tr w:rsidR="00EA38DE" w:rsidRPr="00EA38DE" w14:paraId="5F4EC854" w14:textId="77777777" w:rsidTr="009501B5">
        <w:trPr>
          <w:trHeight w:val="775"/>
        </w:trPr>
        <w:tc>
          <w:tcPr>
            <w:tcW w:w="1280" w:type="dxa"/>
            <w:vMerge/>
            <w:vAlign w:val="center"/>
            <w:hideMark/>
          </w:tcPr>
          <w:p w14:paraId="719B8209" w14:textId="77777777" w:rsidR="00BA4645" w:rsidRPr="00EA38DE" w:rsidRDefault="00BA4645" w:rsidP="009501B5">
            <w:pPr>
              <w:spacing w:after="0" w:line="240" w:lineRule="auto"/>
              <w:rPr>
                <w:rFonts w:ascii="Times New Roman" w:eastAsia="Times New Roman" w:hAnsi="Times New Roman" w:cs="Times New Roman"/>
                <w:b/>
                <w:bCs/>
                <w:sz w:val="20"/>
                <w:szCs w:val="20"/>
              </w:rPr>
            </w:pPr>
          </w:p>
        </w:tc>
        <w:tc>
          <w:tcPr>
            <w:tcW w:w="1278" w:type="dxa"/>
            <w:vAlign w:val="center"/>
            <w:hideMark/>
          </w:tcPr>
          <w:p w14:paraId="75D892A5"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Levels</w:t>
            </w:r>
          </w:p>
        </w:tc>
        <w:tc>
          <w:tcPr>
            <w:tcW w:w="1413" w:type="dxa"/>
            <w:vAlign w:val="center"/>
            <w:hideMark/>
          </w:tcPr>
          <w:p w14:paraId="107EBC0E"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First Difference</w:t>
            </w:r>
          </w:p>
        </w:tc>
        <w:tc>
          <w:tcPr>
            <w:tcW w:w="1278" w:type="dxa"/>
            <w:vAlign w:val="center"/>
            <w:hideMark/>
          </w:tcPr>
          <w:p w14:paraId="69011F27"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Levels</w:t>
            </w:r>
          </w:p>
        </w:tc>
        <w:tc>
          <w:tcPr>
            <w:tcW w:w="1413" w:type="dxa"/>
            <w:vAlign w:val="center"/>
            <w:hideMark/>
          </w:tcPr>
          <w:p w14:paraId="6B15129A"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First Difference</w:t>
            </w:r>
          </w:p>
        </w:tc>
        <w:tc>
          <w:tcPr>
            <w:tcW w:w="2180" w:type="dxa"/>
            <w:vMerge/>
            <w:vAlign w:val="center"/>
            <w:hideMark/>
          </w:tcPr>
          <w:p w14:paraId="22778C5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p>
        </w:tc>
      </w:tr>
      <w:tr w:rsidR="00EA38DE" w:rsidRPr="00EA38DE" w14:paraId="4C903AC0" w14:textId="77777777" w:rsidTr="009501B5">
        <w:trPr>
          <w:trHeight w:val="294"/>
        </w:trPr>
        <w:tc>
          <w:tcPr>
            <w:tcW w:w="1280" w:type="dxa"/>
            <w:vAlign w:val="center"/>
            <w:hideMark/>
          </w:tcPr>
          <w:p w14:paraId="6C68349A"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CTP</w:t>
            </w:r>
          </w:p>
        </w:tc>
        <w:tc>
          <w:tcPr>
            <w:tcW w:w="1278" w:type="dxa"/>
            <w:noWrap/>
            <w:vAlign w:val="center"/>
            <w:hideMark/>
          </w:tcPr>
          <w:p w14:paraId="74B6DBF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-1.649</w:t>
            </w:r>
          </w:p>
        </w:tc>
        <w:tc>
          <w:tcPr>
            <w:tcW w:w="1413" w:type="dxa"/>
            <w:vAlign w:val="center"/>
            <w:hideMark/>
          </w:tcPr>
          <w:p w14:paraId="2621CC2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-4.792</w:t>
            </w:r>
          </w:p>
        </w:tc>
        <w:tc>
          <w:tcPr>
            <w:tcW w:w="1278" w:type="dxa"/>
            <w:noWrap/>
            <w:vAlign w:val="center"/>
            <w:hideMark/>
          </w:tcPr>
          <w:p w14:paraId="79A2C9C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0.656</w:t>
            </w:r>
          </w:p>
        </w:tc>
        <w:tc>
          <w:tcPr>
            <w:tcW w:w="1413" w:type="dxa"/>
            <w:vAlign w:val="center"/>
            <w:hideMark/>
          </w:tcPr>
          <w:p w14:paraId="752341D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0.291</w:t>
            </w:r>
          </w:p>
        </w:tc>
        <w:tc>
          <w:tcPr>
            <w:tcW w:w="2180" w:type="dxa"/>
            <w:vAlign w:val="center"/>
            <w:hideMark/>
          </w:tcPr>
          <w:p w14:paraId="64A2973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r w:rsidR="00EA38DE" w:rsidRPr="00EA38DE" w14:paraId="13765CD1" w14:textId="77777777" w:rsidTr="009501B5">
        <w:trPr>
          <w:trHeight w:val="294"/>
        </w:trPr>
        <w:tc>
          <w:tcPr>
            <w:tcW w:w="1280" w:type="dxa"/>
            <w:vAlign w:val="center"/>
            <w:hideMark/>
          </w:tcPr>
          <w:p w14:paraId="542AB7CF"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SHPC</w:t>
            </w:r>
          </w:p>
        </w:tc>
        <w:tc>
          <w:tcPr>
            <w:tcW w:w="1278" w:type="dxa"/>
            <w:noWrap/>
            <w:vAlign w:val="center"/>
            <w:hideMark/>
          </w:tcPr>
          <w:p w14:paraId="05DA54C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w:t>
            </w:r>
          </w:p>
        </w:tc>
        <w:tc>
          <w:tcPr>
            <w:tcW w:w="1413" w:type="dxa"/>
            <w:vAlign w:val="center"/>
            <w:hideMark/>
          </w:tcPr>
          <w:p w14:paraId="23F3CC5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-3.429</w:t>
            </w:r>
          </w:p>
        </w:tc>
        <w:tc>
          <w:tcPr>
            <w:tcW w:w="1278" w:type="dxa"/>
            <w:vAlign w:val="center"/>
            <w:hideMark/>
          </w:tcPr>
          <w:p w14:paraId="5AF3AC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0.654</w:t>
            </w:r>
          </w:p>
        </w:tc>
        <w:tc>
          <w:tcPr>
            <w:tcW w:w="1413" w:type="dxa"/>
            <w:noWrap/>
            <w:vAlign w:val="center"/>
            <w:hideMark/>
          </w:tcPr>
          <w:p w14:paraId="5128DF9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0.205</w:t>
            </w:r>
          </w:p>
        </w:tc>
        <w:tc>
          <w:tcPr>
            <w:tcW w:w="2180" w:type="dxa"/>
            <w:vAlign w:val="center"/>
            <w:hideMark/>
          </w:tcPr>
          <w:p w14:paraId="2816F30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r w:rsidR="00EA38DE" w:rsidRPr="00EA38DE" w14:paraId="6765C43B" w14:textId="77777777" w:rsidTr="009501B5">
        <w:trPr>
          <w:trHeight w:val="294"/>
        </w:trPr>
        <w:tc>
          <w:tcPr>
            <w:tcW w:w="1280" w:type="dxa"/>
            <w:vAlign w:val="center"/>
            <w:hideMark/>
          </w:tcPr>
          <w:p w14:paraId="3ED36869"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POR</w:t>
            </w:r>
          </w:p>
        </w:tc>
        <w:tc>
          <w:tcPr>
            <w:tcW w:w="1278" w:type="dxa"/>
            <w:noWrap/>
            <w:vAlign w:val="center"/>
            <w:hideMark/>
          </w:tcPr>
          <w:p w14:paraId="4F595D9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-3.189</w:t>
            </w:r>
          </w:p>
        </w:tc>
        <w:tc>
          <w:tcPr>
            <w:tcW w:w="1413" w:type="dxa"/>
            <w:noWrap/>
            <w:vAlign w:val="center"/>
            <w:hideMark/>
          </w:tcPr>
          <w:p w14:paraId="3268FED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-6.487</w:t>
            </w:r>
          </w:p>
        </w:tc>
        <w:tc>
          <w:tcPr>
            <w:tcW w:w="1278" w:type="dxa"/>
            <w:noWrap/>
            <w:vAlign w:val="center"/>
            <w:hideMark/>
          </w:tcPr>
          <w:p w14:paraId="0106524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0.758</w:t>
            </w:r>
          </w:p>
        </w:tc>
        <w:tc>
          <w:tcPr>
            <w:tcW w:w="1413" w:type="dxa"/>
            <w:vAlign w:val="center"/>
            <w:hideMark/>
          </w:tcPr>
          <w:p w14:paraId="6A8F608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0.334</w:t>
            </w:r>
          </w:p>
        </w:tc>
        <w:tc>
          <w:tcPr>
            <w:tcW w:w="2180" w:type="dxa"/>
            <w:vAlign w:val="center"/>
            <w:hideMark/>
          </w:tcPr>
          <w:p w14:paraId="1976389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r w:rsidR="00EA38DE" w:rsidRPr="00EA38DE" w14:paraId="620AD9A1" w14:textId="77777777" w:rsidTr="009501B5">
        <w:trPr>
          <w:trHeight w:val="294"/>
        </w:trPr>
        <w:tc>
          <w:tcPr>
            <w:tcW w:w="1280" w:type="dxa"/>
            <w:vAlign w:val="center"/>
            <w:hideMark/>
          </w:tcPr>
          <w:p w14:paraId="4626014C"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EXRTV</w:t>
            </w:r>
          </w:p>
        </w:tc>
        <w:tc>
          <w:tcPr>
            <w:tcW w:w="1278" w:type="dxa"/>
            <w:noWrap/>
            <w:vAlign w:val="center"/>
            <w:hideMark/>
          </w:tcPr>
          <w:p w14:paraId="3B0C8FB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2.573</w:t>
            </w:r>
          </w:p>
        </w:tc>
        <w:tc>
          <w:tcPr>
            <w:tcW w:w="1413" w:type="dxa"/>
            <w:vAlign w:val="center"/>
            <w:hideMark/>
          </w:tcPr>
          <w:p w14:paraId="6BF2F1F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-3.162</w:t>
            </w:r>
          </w:p>
        </w:tc>
        <w:tc>
          <w:tcPr>
            <w:tcW w:w="1278" w:type="dxa"/>
            <w:noWrap/>
            <w:vAlign w:val="center"/>
            <w:hideMark/>
          </w:tcPr>
          <w:p w14:paraId="623891C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0.394</w:t>
            </w:r>
          </w:p>
        </w:tc>
        <w:tc>
          <w:tcPr>
            <w:tcW w:w="1413" w:type="dxa"/>
            <w:vAlign w:val="center"/>
            <w:hideMark/>
          </w:tcPr>
          <w:p w14:paraId="2F3E4B0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0.305</w:t>
            </w:r>
          </w:p>
        </w:tc>
        <w:tc>
          <w:tcPr>
            <w:tcW w:w="2180" w:type="dxa"/>
            <w:vAlign w:val="center"/>
            <w:hideMark/>
          </w:tcPr>
          <w:p w14:paraId="03D01D9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I(0)</w:t>
            </w:r>
          </w:p>
        </w:tc>
      </w:tr>
      <w:tr w:rsidR="00EA38DE" w:rsidRPr="00EA38DE" w14:paraId="137B6468" w14:textId="77777777" w:rsidTr="009501B5">
        <w:trPr>
          <w:trHeight w:val="294"/>
        </w:trPr>
        <w:tc>
          <w:tcPr>
            <w:tcW w:w="1280" w:type="dxa"/>
            <w:vAlign w:val="center"/>
            <w:hideMark/>
          </w:tcPr>
          <w:p w14:paraId="554BD7CB"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FSH</w:t>
            </w:r>
          </w:p>
        </w:tc>
        <w:tc>
          <w:tcPr>
            <w:tcW w:w="1278" w:type="dxa"/>
            <w:noWrap/>
            <w:vAlign w:val="center"/>
            <w:hideMark/>
          </w:tcPr>
          <w:p w14:paraId="59A26C9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-0.651</w:t>
            </w:r>
          </w:p>
        </w:tc>
        <w:tc>
          <w:tcPr>
            <w:tcW w:w="1413" w:type="dxa"/>
            <w:vAlign w:val="center"/>
            <w:hideMark/>
          </w:tcPr>
          <w:p w14:paraId="472C177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-6.04</w:t>
            </w:r>
          </w:p>
        </w:tc>
        <w:tc>
          <w:tcPr>
            <w:tcW w:w="1278" w:type="dxa"/>
            <w:noWrap/>
            <w:vAlign w:val="center"/>
            <w:hideMark/>
          </w:tcPr>
          <w:p w14:paraId="018D4F2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0.650</w:t>
            </w:r>
          </w:p>
        </w:tc>
        <w:tc>
          <w:tcPr>
            <w:tcW w:w="1413" w:type="dxa"/>
            <w:vAlign w:val="center"/>
            <w:hideMark/>
          </w:tcPr>
          <w:p w14:paraId="25226EF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0.160</w:t>
            </w:r>
          </w:p>
        </w:tc>
        <w:tc>
          <w:tcPr>
            <w:tcW w:w="2180" w:type="dxa"/>
            <w:vAlign w:val="center"/>
            <w:hideMark/>
          </w:tcPr>
          <w:p w14:paraId="35081E3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r w:rsidR="00EA38DE" w:rsidRPr="00EA38DE" w14:paraId="2E98798D" w14:textId="77777777" w:rsidTr="009501B5">
        <w:trPr>
          <w:trHeight w:val="294"/>
        </w:trPr>
        <w:tc>
          <w:tcPr>
            <w:tcW w:w="1280" w:type="dxa"/>
            <w:vAlign w:val="center"/>
            <w:hideMark/>
          </w:tcPr>
          <w:p w14:paraId="7FC7ABC1"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AQT</w:t>
            </w:r>
          </w:p>
        </w:tc>
        <w:tc>
          <w:tcPr>
            <w:tcW w:w="1278" w:type="dxa"/>
            <w:noWrap/>
            <w:vAlign w:val="center"/>
            <w:hideMark/>
          </w:tcPr>
          <w:p w14:paraId="2A14F5A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-1.841</w:t>
            </w:r>
          </w:p>
        </w:tc>
        <w:tc>
          <w:tcPr>
            <w:tcW w:w="1413" w:type="dxa"/>
            <w:vAlign w:val="center"/>
            <w:hideMark/>
          </w:tcPr>
          <w:p w14:paraId="011FC99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-1.365</w:t>
            </w:r>
          </w:p>
        </w:tc>
        <w:tc>
          <w:tcPr>
            <w:tcW w:w="1278" w:type="dxa"/>
            <w:noWrap/>
            <w:vAlign w:val="center"/>
            <w:hideMark/>
          </w:tcPr>
          <w:p w14:paraId="3B84ED0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0.598</w:t>
            </w:r>
          </w:p>
        </w:tc>
        <w:tc>
          <w:tcPr>
            <w:tcW w:w="1413" w:type="dxa"/>
            <w:vAlign w:val="center"/>
            <w:hideMark/>
          </w:tcPr>
          <w:p w14:paraId="75873E6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0.157</w:t>
            </w:r>
          </w:p>
        </w:tc>
        <w:tc>
          <w:tcPr>
            <w:tcW w:w="2180" w:type="dxa"/>
            <w:vAlign w:val="center"/>
            <w:hideMark/>
          </w:tcPr>
          <w:p w14:paraId="6072C91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r w:rsidR="00EA38DE" w:rsidRPr="00EA38DE" w14:paraId="43F0DC39" w14:textId="77777777" w:rsidTr="009501B5">
        <w:trPr>
          <w:trHeight w:val="294"/>
        </w:trPr>
        <w:tc>
          <w:tcPr>
            <w:tcW w:w="1280" w:type="dxa"/>
            <w:vAlign w:val="center"/>
            <w:hideMark/>
          </w:tcPr>
          <w:p w14:paraId="2A7BF10A"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DLNT</w:t>
            </w:r>
          </w:p>
        </w:tc>
        <w:tc>
          <w:tcPr>
            <w:tcW w:w="1278" w:type="dxa"/>
            <w:noWrap/>
            <w:vAlign w:val="center"/>
            <w:hideMark/>
          </w:tcPr>
          <w:p w14:paraId="6FDAC5C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-1.088</w:t>
            </w:r>
          </w:p>
        </w:tc>
        <w:tc>
          <w:tcPr>
            <w:tcW w:w="1413" w:type="dxa"/>
            <w:vAlign w:val="center"/>
            <w:hideMark/>
          </w:tcPr>
          <w:p w14:paraId="36E33A0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-5.583</w:t>
            </w:r>
          </w:p>
        </w:tc>
        <w:tc>
          <w:tcPr>
            <w:tcW w:w="1278" w:type="dxa"/>
            <w:noWrap/>
            <w:vAlign w:val="center"/>
            <w:hideMark/>
          </w:tcPr>
          <w:p w14:paraId="46357EB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0.659</w:t>
            </w:r>
          </w:p>
        </w:tc>
        <w:tc>
          <w:tcPr>
            <w:tcW w:w="1413" w:type="dxa"/>
            <w:vAlign w:val="center"/>
            <w:hideMark/>
          </w:tcPr>
          <w:p w14:paraId="0D4A6B4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0.135</w:t>
            </w:r>
          </w:p>
        </w:tc>
        <w:tc>
          <w:tcPr>
            <w:tcW w:w="2180" w:type="dxa"/>
            <w:vAlign w:val="center"/>
            <w:hideMark/>
          </w:tcPr>
          <w:p w14:paraId="7B032D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r w:rsidR="00EA38DE" w:rsidRPr="00EA38DE" w14:paraId="414ADF43" w14:textId="77777777" w:rsidTr="009501B5">
        <w:trPr>
          <w:trHeight w:val="294"/>
        </w:trPr>
        <w:tc>
          <w:tcPr>
            <w:tcW w:w="1280" w:type="dxa"/>
            <w:vAlign w:val="center"/>
            <w:hideMark/>
          </w:tcPr>
          <w:p w14:paraId="0A3D4576"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IFR</w:t>
            </w:r>
          </w:p>
        </w:tc>
        <w:tc>
          <w:tcPr>
            <w:tcW w:w="1278" w:type="dxa"/>
            <w:noWrap/>
            <w:vAlign w:val="center"/>
            <w:hideMark/>
          </w:tcPr>
          <w:p w14:paraId="6B9E6FA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-2.137</w:t>
            </w:r>
          </w:p>
        </w:tc>
        <w:tc>
          <w:tcPr>
            <w:tcW w:w="1413" w:type="dxa"/>
            <w:vAlign w:val="center"/>
            <w:hideMark/>
          </w:tcPr>
          <w:p w14:paraId="382EEEF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-4.668</w:t>
            </w:r>
          </w:p>
        </w:tc>
        <w:tc>
          <w:tcPr>
            <w:tcW w:w="1278" w:type="dxa"/>
            <w:vAlign w:val="center"/>
            <w:hideMark/>
          </w:tcPr>
          <w:p w14:paraId="7B92D06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0.591</w:t>
            </w:r>
          </w:p>
        </w:tc>
        <w:tc>
          <w:tcPr>
            <w:tcW w:w="1413" w:type="dxa"/>
            <w:vAlign w:val="center"/>
            <w:hideMark/>
          </w:tcPr>
          <w:p w14:paraId="4A51C24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0.187</w:t>
            </w:r>
          </w:p>
        </w:tc>
        <w:tc>
          <w:tcPr>
            <w:tcW w:w="2180" w:type="dxa"/>
            <w:vAlign w:val="center"/>
            <w:hideMark/>
          </w:tcPr>
          <w:p w14:paraId="3D96125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r w:rsidR="00EA38DE" w:rsidRPr="00EA38DE" w14:paraId="09D463F4" w14:textId="77777777" w:rsidTr="009501B5">
        <w:trPr>
          <w:trHeight w:val="294"/>
        </w:trPr>
        <w:tc>
          <w:tcPr>
            <w:tcW w:w="1280" w:type="dxa"/>
            <w:vAlign w:val="center"/>
            <w:hideMark/>
          </w:tcPr>
          <w:p w14:paraId="7063DBA3"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LAB</w:t>
            </w:r>
          </w:p>
        </w:tc>
        <w:tc>
          <w:tcPr>
            <w:tcW w:w="1278" w:type="dxa"/>
            <w:noWrap/>
            <w:vAlign w:val="center"/>
            <w:hideMark/>
          </w:tcPr>
          <w:p w14:paraId="41EDF54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-1.269</w:t>
            </w:r>
          </w:p>
        </w:tc>
        <w:tc>
          <w:tcPr>
            <w:tcW w:w="1413" w:type="dxa"/>
            <w:vAlign w:val="center"/>
            <w:hideMark/>
          </w:tcPr>
          <w:p w14:paraId="60E852D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2.986</w:t>
            </w:r>
          </w:p>
        </w:tc>
        <w:tc>
          <w:tcPr>
            <w:tcW w:w="1278" w:type="dxa"/>
            <w:vAlign w:val="center"/>
            <w:hideMark/>
          </w:tcPr>
          <w:p w14:paraId="4BBE704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0.582</w:t>
            </w:r>
          </w:p>
        </w:tc>
        <w:tc>
          <w:tcPr>
            <w:tcW w:w="1413" w:type="dxa"/>
            <w:vAlign w:val="center"/>
            <w:hideMark/>
          </w:tcPr>
          <w:p w14:paraId="63E5FE6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0.229</w:t>
            </w:r>
          </w:p>
        </w:tc>
        <w:tc>
          <w:tcPr>
            <w:tcW w:w="2180" w:type="dxa"/>
            <w:vAlign w:val="center"/>
            <w:hideMark/>
          </w:tcPr>
          <w:p w14:paraId="095E830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I(0)</w:t>
            </w:r>
          </w:p>
        </w:tc>
      </w:tr>
      <w:tr w:rsidR="00EA38DE" w:rsidRPr="00EA38DE" w14:paraId="23279945" w14:textId="77777777" w:rsidTr="009501B5">
        <w:trPr>
          <w:trHeight w:val="294"/>
        </w:trPr>
        <w:tc>
          <w:tcPr>
            <w:tcW w:w="1280" w:type="dxa"/>
            <w:vAlign w:val="center"/>
            <w:hideMark/>
          </w:tcPr>
          <w:p w14:paraId="340B5006"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TRF</w:t>
            </w:r>
          </w:p>
        </w:tc>
        <w:tc>
          <w:tcPr>
            <w:tcW w:w="1278" w:type="dxa"/>
            <w:noWrap/>
            <w:vAlign w:val="center"/>
            <w:hideMark/>
          </w:tcPr>
          <w:p w14:paraId="3109BB7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-1.543</w:t>
            </w:r>
          </w:p>
        </w:tc>
        <w:tc>
          <w:tcPr>
            <w:tcW w:w="1413" w:type="dxa"/>
            <w:vAlign w:val="center"/>
            <w:hideMark/>
          </w:tcPr>
          <w:p w14:paraId="5D6A84E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-7.031</w:t>
            </w:r>
          </w:p>
        </w:tc>
        <w:tc>
          <w:tcPr>
            <w:tcW w:w="1278" w:type="dxa"/>
            <w:vAlign w:val="center"/>
            <w:hideMark/>
          </w:tcPr>
          <w:p w14:paraId="5A7A3BC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0.6182</w:t>
            </w:r>
          </w:p>
        </w:tc>
        <w:tc>
          <w:tcPr>
            <w:tcW w:w="1413" w:type="dxa"/>
            <w:vAlign w:val="center"/>
            <w:hideMark/>
          </w:tcPr>
          <w:p w14:paraId="1E535C2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0.272</w:t>
            </w:r>
          </w:p>
        </w:tc>
        <w:tc>
          <w:tcPr>
            <w:tcW w:w="2180" w:type="dxa"/>
            <w:vAlign w:val="center"/>
            <w:hideMark/>
          </w:tcPr>
          <w:p w14:paraId="7F02A2A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I(1)</w:t>
            </w:r>
          </w:p>
        </w:tc>
      </w:tr>
    </w:tbl>
    <w:p w14:paraId="412FBE6A" w14:textId="77777777" w:rsidR="00BA4645" w:rsidRPr="00EA38DE" w:rsidRDefault="00BA4645" w:rsidP="00BA4645">
      <w:pPr>
        <w:spacing w:after="0" w:line="240" w:lineRule="auto"/>
        <w:jc w:val="both"/>
        <w:rPr>
          <w:rFonts w:ascii="Times New Roman" w:hAnsi="Times New Roman" w:cs="Times New Roman"/>
          <w:bCs/>
          <w:sz w:val="20"/>
          <w:szCs w:val="20"/>
        </w:rPr>
      </w:pPr>
      <w:r w:rsidRPr="00EA38DE">
        <w:rPr>
          <w:rFonts w:ascii="Times New Roman" w:hAnsi="Times New Roman" w:cs="Times New Roman"/>
          <w:i/>
          <w:sz w:val="20"/>
          <w:szCs w:val="20"/>
        </w:rPr>
        <w:t xml:space="preserve">  Note: * and ** indicate signifies at 5 and 1 percent levels respectively. </w:t>
      </w:r>
      <w:r w:rsidRPr="00EA38DE">
        <w:rPr>
          <w:rFonts w:ascii="Times New Roman" w:hAnsi="Times New Roman" w:cs="Times New Roman"/>
          <w:bCs/>
          <w:sz w:val="20"/>
          <w:szCs w:val="20"/>
        </w:rPr>
        <w:t xml:space="preserve">Source: Author’s computation, 2025. </w:t>
      </w:r>
    </w:p>
    <w:p w14:paraId="5FA8B3E2" w14:textId="77777777" w:rsidR="00BA4645" w:rsidRPr="00EA38DE" w:rsidRDefault="00BA4645" w:rsidP="00BA4645">
      <w:pPr>
        <w:spacing w:after="0" w:line="480" w:lineRule="auto"/>
        <w:jc w:val="both"/>
        <w:rPr>
          <w:rFonts w:ascii="Times New Roman" w:hAnsi="Times New Roman" w:cs="Times New Roman"/>
        </w:rPr>
      </w:pPr>
    </w:p>
    <w:p w14:paraId="6609DAF6"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It is seen from Table 4.3 that the ADF test results for all the variables (except EXRTV and IFR) have insignificant ADF statistics when the variables are in levels. All the variables however have significant ADF coefficients after first differences. This shows that all the variables (apart from EXRTV) are integrated at order one (i.e., I[1]) while the variables EXRTV and IFR are integrated of zero (i.e., I[0]). Thus, the variables exhibit mixed stationarity status. These results are also </w:t>
      </w:r>
      <w:r w:rsidRPr="00EA38DE">
        <w:rPr>
          <w:rFonts w:ascii="Times New Roman" w:hAnsi="Times New Roman" w:cs="Times New Roman"/>
          <w:sz w:val="24"/>
          <w:szCs w:val="24"/>
        </w:rPr>
        <w:lastRenderedPageBreak/>
        <w:t xml:space="preserve">demonstrated by the KPSS test outcomes. Note that the hypotheses for KPSS are reversed to indicate that coefficients that are significant suggest non-stationarity.  </w:t>
      </w:r>
    </w:p>
    <w:p w14:paraId="232204DB" w14:textId="77777777" w:rsidR="00BA4645" w:rsidRPr="00EA38DE" w:rsidRDefault="00BA4645" w:rsidP="00BA4645">
      <w:p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From the unit root tests, it is seen that the integration status of the variables is mixed (some variables are I(1) while others are I(0)). Thus, all variables in the model are not integrated of the same order, which implies that the normal cointegration test may not generate adequate estimates. In the study, the Bounds cointegration test procedure within the ARDL approach to cointegration is employed for the cointegration test. The results of the Bounds cointegration test are reported in Table 4.4. The test evaluation is based on the estimated F-statistic values for each of the equations which are tested against the critical values for the lower (I0 Bounds) and upper (I0 Bounds) based on their critical F-values. </w:t>
      </w:r>
      <w:bookmarkEnd w:id="13"/>
    </w:p>
    <w:p w14:paraId="6B211834" w14:textId="77777777" w:rsidR="00BA4645" w:rsidRPr="00EA38DE" w:rsidRDefault="00BA4645" w:rsidP="00BA4645">
      <w:pPr>
        <w:spacing w:after="0"/>
        <w:jc w:val="both"/>
        <w:rPr>
          <w:rFonts w:ascii="Times New Roman" w:hAnsi="Times New Roman" w:cs="Times New Roman"/>
          <w:b/>
          <w:sz w:val="20"/>
          <w:szCs w:val="20"/>
        </w:rPr>
      </w:pPr>
      <w:r w:rsidRPr="00EA38DE">
        <w:rPr>
          <w:rFonts w:ascii="Times New Roman" w:hAnsi="Times New Roman" w:cs="Times New Roman"/>
          <w:b/>
          <w:sz w:val="20"/>
          <w:szCs w:val="20"/>
        </w:rPr>
        <w:t>Table 4.4: Bounds Cointegration Test</w:t>
      </w:r>
    </w:p>
    <w:tbl>
      <w:tblPr>
        <w:tblW w:w="8713" w:type="dxa"/>
        <w:tblInd w:w="108" w:type="dxa"/>
        <w:tblBorders>
          <w:top w:val="single" w:sz="8" w:space="0" w:color="auto"/>
          <w:bottom w:val="single" w:sz="8" w:space="0" w:color="auto"/>
        </w:tblBorders>
        <w:tblLayout w:type="fixed"/>
        <w:tblLook w:val="04A0" w:firstRow="1" w:lastRow="0" w:firstColumn="1" w:lastColumn="0" w:noHBand="0" w:noVBand="1"/>
      </w:tblPr>
      <w:tblGrid>
        <w:gridCol w:w="2473"/>
        <w:gridCol w:w="1560"/>
        <w:gridCol w:w="1560"/>
        <w:gridCol w:w="1560"/>
        <w:gridCol w:w="1560"/>
      </w:tblGrid>
      <w:tr w:rsidR="00EA38DE" w:rsidRPr="00EA38DE" w14:paraId="7A9C535B" w14:textId="77777777" w:rsidTr="009501B5">
        <w:trPr>
          <w:trHeight w:val="342"/>
        </w:trPr>
        <w:tc>
          <w:tcPr>
            <w:tcW w:w="2473" w:type="dxa"/>
            <w:tcBorders>
              <w:top w:val="single" w:sz="4" w:space="0" w:color="auto"/>
              <w:bottom w:val="single" w:sz="4" w:space="0" w:color="auto"/>
            </w:tcBorders>
            <w:vAlign w:val="center"/>
          </w:tcPr>
          <w:p w14:paraId="6FAA6A24" w14:textId="77777777" w:rsidR="00BA4645" w:rsidRPr="00EA38DE" w:rsidRDefault="00BA4645" w:rsidP="009501B5">
            <w:pPr>
              <w:spacing w:after="0" w:line="240" w:lineRule="auto"/>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Test Statistic</w:t>
            </w:r>
          </w:p>
        </w:tc>
        <w:tc>
          <w:tcPr>
            <w:tcW w:w="1560" w:type="dxa"/>
            <w:tcBorders>
              <w:top w:val="single" w:sz="4" w:space="0" w:color="auto"/>
              <w:bottom w:val="single" w:sz="4" w:space="0" w:color="auto"/>
            </w:tcBorders>
            <w:vAlign w:val="center"/>
          </w:tcPr>
          <w:p w14:paraId="77B6CC9A"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Value</w:t>
            </w:r>
          </w:p>
        </w:tc>
        <w:tc>
          <w:tcPr>
            <w:tcW w:w="1560" w:type="dxa"/>
            <w:tcBorders>
              <w:top w:val="single" w:sz="4" w:space="0" w:color="auto"/>
              <w:bottom w:val="single" w:sz="4" w:space="0" w:color="auto"/>
            </w:tcBorders>
            <w:vAlign w:val="center"/>
          </w:tcPr>
          <w:p w14:paraId="3AD434F2"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Significance</w:t>
            </w:r>
          </w:p>
        </w:tc>
        <w:tc>
          <w:tcPr>
            <w:tcW w:w="1560" w:type="dxa"/>
            <w:tcBorders>
              <w:top w:val="single" w:sz="4" w:space="0" w:color="auto"/>
              <w:bottom w:val="single" w:sz="4" w:space="0" w:color="auto"/>
            </w:tcBorders>
            <w:vAlign w:val="center"/>
          </w:tcPr>
          <w:p w14:paraId="79FFEB45"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I(0)</w:t>
            </w:r>
          </w:p>
        </w:tc>
        <w:tc>
          <w:tcPr>
            <w:tcW w:w="1560" w:type="dxa"/>
            <w:tcBorders>
              <w:top w:val="single" w:sz="4" w:space="0" w:color="auto"/>
              <w:bottom w:val="single" w:sz="4" w:space="0" w:color="auto"/>
            </w:tcBorders>
            <w:vAlign w:val="center"/>
          </w:tcPr>
          <w:p w14:paraId="69F1C195"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I(1)</w:t>
            </w:r>
          </w:p>
        </w:tc>
      </w:tr>
      <w:tr w:rsidR="00EA38DE" w:rsidRPr="00EA38DE" w14:paraId="1B2D9A81" w14:textId="77777777" w:rsidTr="009501B5">
        <w:trPr>
          <w:trHeight w:val="280"/>
        </w:trPr>
        <w:tc>
          <w:tcPr>
            <w:tcW w:w="2473" w:type="dxa"/>
            <w:tcBorders>
              <w:top w:val="single" w:sz="4" w:space="0" w:color="auto"/>
              <w:bottom w:val="single" w:sz="4" w:space="0" w:color="auto"/>
            </w:tcBorders>
            <w:vAlign w:val="center"/>
          </w:tcPr>
          <w:p w14:paraId="5A36CF48"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Eqn: with EXRTV</w:t>
            </w:r>
          </w:p>
        </w:tc>
        <w:tc>
          <w:tcPr>
            <w:tcW w:w="1560" w:type="dxa"/>
            <w:tcBorders>
              <w:top w:val="single" w:sz="4" w:space="0" w:color="auto"/>
            </w:tcBorders>
            <w:vAlign w:val="center"/>
          </w:tcPr>
          <w:p w14:paraId="03BAD58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560" w:type="dxa"/>
            <w:tcBorders>
              <w:top w:val="single" w:sz="4" w:space="0" w:color="auto"/>
            </w:tcBorders>
            <w:vAlign w:val="center"/>
          </w:tcPr>
          <w:p w14:paraId="319D48E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560" w:type="dxa"/>
            <w:tcBorders>
              <w:top w:val="single" w:sz="4" w:space="0" w:color="auto"/>
            </w:tcBorders>
            <w:vAlign w:val="center"/>
          </w:tcPr>
          <w:p w14:paraId="7A02584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560" w:type="dxa"/>
            <w:tcBorders>
              <w:top w:val="single" w:sz="4" w:space="0" w:color="auto"/>
            </w:tcBorders>
            <w:vAlign w:val="center"/>
          </w:tcPr>
          <w:p w14:paraId="4701628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1EBE924E" w14:textId="77777777" w:rsidTr="009501B5">
        <w:trPr>
          <w:trHeight w:val="280"/>
        </w:trPr>
        <w:tc>
          <w:tcPr>
            <w:tcW w:w="2473" w:type="dxa"/>
            <w:tcBorders>
              <w:top w:val="single" w:sz="4" w:space="0" w:color="auto"/>
            </w:tcBorders>
            <w:vAlign w:val="center"/>
          </w:tcPr>
          <w:p w14:paraId="3F8D08F3"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F-statistic</w:t>
            </w:r>
          </w:p>
        </w:tc>
        <w:tc>
          <w:tcPr>
            <w:tcW w:w="1560" w:type="dxa"/>
            <w:vAlign w:val="center"/>
          </w:tcPr>
          <w:p w14:paraId="209D34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3.805</w:t>
            </w:r>
          </w:p>
        </w:tc>
        <w:tc>
          <w:tcPr>
            <w:tcW w:w="1560" w:type="dxa"/>
            <w:vAlign w:val="center"/>
          </w:tcPr>
          <w:p w14:paraId="49E2FED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10%</w:t>
            </w:r>
          </w:p>
        </w:tc>
        <w:tc>
          <w:tcPr>
            <w:tcW w:w="1560" w:type="dxa"/>
            <w:vAlign w:val="center"/>
          </w:tcPr>
          <w:p w14:paraId="24582ED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2.08</w:t>
            </w:r>
          </w:p>
        </w:tc>
        <w:tc>
          <w:tcPr>
            <w:tcW w:w="1560" w:type="dxa"/>
            <w:vAlign w:val="center"/>
          </w:tcPr>
          <w:p w14:paraId="6609BDA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w:t>
            </w:r>
          </w:p>
        </w:tc>
      </w:tr>
      <w:tr w:rsidR="00EA38DE" w:rsidRPr="00EA38DE" w14:paraId="4D1097AA" w14:textId="77777777" w:rsidTr="009501B5">
        <w:trPr>
          <w:trHeight w:val="280"/>
        </w:trPr>
        <w:tc>
          <w:tcPr>
            <w:tcW w:w="2473" w:type="dxa"/>
            <w:vAlign w:val="center"/>
          </w:tcPr>
          <w:p w14:paraId="0FFF88D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K</w:t>
            </w:r>
          </w:p>
        </w:tc>
        <w:tc>
          <w:tcPr>
            <w:tcW w:w="1560" w:type="dxa"/>
            <w:vAlign w:val="center"/>
          </w:tcPr>
          <w:p w14:paraId="5932478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5</w:t>
            </w:r>
          </w:p>
        </w:tc>
        <w:tc>
          <w:tcPr>
            <w:tcW w:w="1560" w:type="dxa"/>
            <w:vAlign w:val="center"/>
          </w:tcPr>
          <w:p w14:paraId="78EFA7B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5%</w:t>
            </w:r>
          </w:p>
        </w:tc>
        <w:tc>
          <w:tcPr>
            <w:tcW w:w="1560" w:type="dxa"/>
            <w:vAlign w:val="center"/>
          </w:tcPr>
          <w:p w14:paraId="1D01F9D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2.39</w:t>
            </w:r>
          </w:p>
        </w:tc>
        <w:tc>
          <w:tcPr>
            <w:tcW w:w="1560" w:type="dxa"/>
            <w:vAlign w:val="center"/>
          </w:tcPr>
          <w:p w14:paraId="6FDB59C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3.38</w:t>
            </w:r>
          </w:p>
        </w:tc>
      </w:tr>
      <w:tr w:rsidR="00EA38DE" w:rsidRPr="00EA38DE" w14:paraId="47D0BADF" w14:textId="77777777" w:rsidTr="009501B5">
        <w:trPr>
          <w:trHeight w:val="280"/>
        </w:trPr>
        <w:tc>
          <w:tcPr>
            <w:tcW w:w="2473" w:type="dxa"/>
            <w:vAlign w:val="center"/>
          </w:tcPr>
          <w:p w14:paraId="10972336"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1560" w:type="dxa"/>
            <w:vAlign w:val="center"/>
          </w:tcPr>
          <w:p w14:paraId="112E88EA"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vAlign w:val="center"/>
          </w:tcPr>
          <w:p w14:paraId="4147389F"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w:t>
            </w:r>
          </w:p>
        </w:tc>
        <w:tc>
          <w:tcPr>
            <w:tcW w:w="1560" w:type="dxa"/>
            <w:vAlign w:val="center"/>
          </w:tcPr>
          <w:p w14:paraId="64540DC4"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3.06</w:t>
            </w:r>
          </w:p>
        </w:tc>
        <w:tc>
          <w:tcPr>
            <w:tcW w:w="1560" w:type="dxa"/>
            <w:vAlign w:val="center"/>
          </w:tcPr>
          <w:p w14:paraId="07A10886"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4.15</w:t>
            </w:r>
          </w:p>
        </w:tc>
      </w:tr>
      <w:tr w:rsidR="00EA38DE" w:rsidRPr="00EA38DE" w14:paraId="63B4123D" w14:textId="77777777" w:rsidTr="009501B5">
        <w:trPr>
          <w:trHeight w:val="280"/>
        </w:trPr>
        <w:tc>
          <w:tcPr>
            <w:tcW w:w="2473" w:type="dxa"/>
            <w:tcBorders>
              <w:top w:val="nil"/>
              <w:bottom w:val="single" w:sz="4" w:space="0" w:color="auto"/>
            </w:tcBorders>
            <w:vAlign w:val="center"/>
          </w:tcPr>
          <w:p w14:paraId="2D9DCDB6"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Eqn: with FSH</w:t>
            </w:r>
          </w:p>
        </w:tc>
        <w:tc>
          <w:tcPr>
            <w:tcW w:w="1560" w:type="dxa"/>
            <w:vAlign w:val="center"/>
          </w:tcPr>
          <w:p w14:paraId="19E98AA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560" w:type="dxa"/>
            <w:vAlign w:val="center"/>
          </w:tcPr>
          <w:p w14:paraId="2F78B9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560" w:type="dxa"/>
            <w:vAlign w:val="center"/>
          </w:tcPr>
          <w:p w14:paraId="456C851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560" w:type="dxa"/>
            <w:vAlign w:val="center"/>
          </w:tcPr>
          <w:p w14:paraId="6F3BC9A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6ECC2E39" w14:textId="77777777" w:rsidTr="009501B5">
        <w:trPr>
          <w:trHeight w:val="280"/>
        </w:trPr>
        <w:tc>
          <w:tcPr>
            <w:tcW w:w="2473" w:type="dxa"/>
            <w:tcBorders>
              <w:top w:val="single" w:sz="4" w:space="0" w:color="auto"/>
              <w:bottom w:val="nil"/>
            </w:tcBorders>
            <w:vAlign w:val="center"/>
          </w:tcPr>
          <w:p w14:paraId="0E2C90B2"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F-statistic</w:t>
            </w:r>
          </w:p>
        </w:tc>
        <w:tc>
          <w:tcPr>
            <w:tcW w:w="1560" w:type="dxa"/>
            <w:tcBorders>
              <w:bottom w:val="nil"/>
            </w:tcBorders>
            <w:vAlign w:val="center"/>
          </w:tcPr>
          <w:p w14:paraId="5EB7AAA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4.571</w:t>
            </w:r>
          </w:p>
        </w:tc>
        <w:tc>
          <w:tcPr>
            <w:tcW w:w="1560" w:type="dxa"/>
            <w:tcBorders>
              <w:bottom w:val="nil"/>
            </w:tcBorders>
            <w:vAlign w:val="center"/>
          </w:tcPr>
          <w:p w14:paraId="471B503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10%</w:t>
            </w:r>
          </w:p>
        </w:tc>
        <w:tc>
          <w:tcPr>
            <w:tcW w:w="1560" w:type="dxa"/>
            <w:tcBorders>
              <w:bottom w:val="nil"/>
            </w:tcBorders>
            <w:vAlign w:val="center"/>
          </w:tcPr>
          <w:p w14:paraId="7DE03B1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2.08</w:t>
            </w:r>
          </w:p>
        </w:tc>
        <w:tc>
          <w:tcPr>
            <w:tcW w:w="1560" w:type="dxa"/>
            <w:tcBorders>
              <w:bottom w:val="nil"/>
            </w:tcBorders>
            <w:vAlign w:val="center"/>
          </w:tcPr>
          <w:p w14:paraId="1E48ED8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w:t>
            </w:r>
          </w:p>
        </w:tc>
      </w:tr>
      <w:tr w:rsidR="00EA38DE" w:rsidRPr="00EA38DE" w14:paraId="3E3EC30C" w14:textId="77777777" w:rsidTr="009501B5">
        <w:trPr>
          <w:trHeight w:val="280"/>
        </w:trPr>
        <w:tc>
          <w:tcPr>
            <w:tcW w:w="2473" w:type="dxa"/>
            <w:tcBorders>
              <w:top w:val="nil"/>
              <w:bottom w:val="nil"/>
            </w:tcBorders>
            <w:vAlign w:val="center"/>
          </w:tcPr>
          <w:p w14:paraId="2A164209"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K</w:t>
            </w:r>
          </w:p>
        </w:tc>
        <w:tc>
          <w:tcPr>
            <w:tcW w:w="1560" w:type="dxa"/>
            <w:tcBorders>
              <w:top w:val="nil"/>
              <w:bottom w:val="nil"/>
            </w:tcBorders>
            <w:vAlign w:val="center"/>
          </w:tcPr>
          <w:p w14:paraId="32F01A8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5</w:t>
            </w:r>
          </w:p>
        </w:tc>
        <w:tc>
          <w:tcPr>
            <w:tcW w:w="1560" w:type="dxa"/>
            <w:tcBorders>
              <w:top w:val="nil"/>
              <w:bottom w:val="nil"/>
            </w:tcBorders>
            <w:vAlign w:val="center"/>
          </w:tcPr>
          <w:p w14:paraId="40367CE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5%</w:t>
            </w:r>
          </w:p>
        </w:tc>
        <w:tc>
          <w:tcPr>
            <w:tcW w:w="1560" w:type="dxa"/>
            <w:tcBorders>
              <w:top w:val="nil"/>
              <w:bottom w:val="nil"/>
            </w:tcBorders>
            <w:vAlign w:val="center"/>
          </w:tcPr>
          <w:p w14:paraId="05630EF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2.39</w:t>
            </w:r>
          </w:p>
        </w:tc>
        <w:tc>
          <w:tcPr>
            <w:tcW w:w="1560" w:type="dxa"/>
            <w:tcBorders>
              <w:top w:val="nil"/>
              <w:bottom w:val="nil"/>
            </w:tcBorders>
            <w:vAlign w:val="center"/>
          </w:tcPr>
          <w:p w14:paraId="44424AD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3.38</w:t>
            </w:r>
          </w:p>
        </w:tc>
      </w:tr>
      <w:tr w:rsidR="00EA38DE" w:rsidRPr="00EA38DE" w14:paraId="0EDC05AC" w14:textId="77777777" w:rsidTr="009501B5">
        <w:trPr>
          <w:trHeight w:val="280"/>
        </w:trPr>
        <w:tc>
          <w:tcPr>
            <w:tcW w:w="2473" w:type="dxa"/>
            <w:tcBorders>
              <w:top w:val="nil"/>
              <w:bottom w:val="nil"/>
            </w:tcBorders>
            <w:vAlign w:val="center"/>
          </w:tcPr>
          <w:p w14:paraId="08CD7722"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1560" w:type="dxa"/>
            <w:tcBorders>
              <w:top w:val="nil"/>
              <w:bottom w:val="nil"/>
            </w:tcBorders>
            <w:vAlign w:val="center"/>
          </w:tcPr>
          <w:p w14:paraId="4D6009AD"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785FFFC5"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w:t>
            </w:r>
          </w:p>
        </w:tc>
        <w:tc>
          <w:tcPr>
            <w:tcW w:w="1560" w:type="dxa"/>
            <w:tcBorders>
              <w:top w:val="nil"/>
              <w:bottom w:val="nil"/>
            </w:tcBorders>
            <w:vAlign w:val="center"/>
          </w:tcPr>
          <w:p w14:paraId="15E4252D"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3.06</w:t>
            </w:r>
          </w:p>
        </w:tc>
        <w:tc>
          <w:tcPr>
            <w:tcW w:w="1560" w:type="dxa"/>
            <w:tcBorders>
              <w:top w:val="nil"/>
              <w:bottom w:val="nil"/>
            </w:tcBorders>
            <w:vAlign w:val="center"/>
          </w:tcPr>
          <w:p w14:paraId="6C72E585"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4.15</w:t>
            </w:r>
          </w:p>
        </w:tc>
      </w:tr>
      <w:tr w:rsidR="00EA38DE" w:rsidRPr="00EA38DE" w14:paraId="06DCBCC3" w14:textId="77777777" w:rsidTr="009501B5">
        <w:trPr>
          <w:trHeight w:val="280"/>
        </w:trPr>
        <w:tc>
          <w:tcPr>
            <w:tcW w:w="2473" w:type="dxa"/>
            <w:tcBorders>
              <w:top w:val="nil"/>
              <w:bottom w:val="nil"/>
            </w:tcBorders>
            <w:vAlign w:val="center"/>
          </w:tcPr>
          <w:p w14:paraId="29D24FC2"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i/>
                <w:iCs/>
                <w:sz w:val="20"/>
                <w:szCs w:val="20"/>
              </w:rPr>
              <w:t>Eqn: with AQT</w:t>
            </w:r>
          </w:p>
        </w:tc>
        <w:tc>
          <w:tcPr>
            <w:tcW w:w="1560" w:type="dxa"/>
            <w:tcBorders>
              <w:top w:val="nil"/>
              <w:bottom w:val="nil"/>
            </w:tcBorders>
            <w:vAlign w:val="center"/>
          </w:tcPr>
          <w:p w14:paraId="044A88C4"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3A6D7F06"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15AEEF63"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73225326" w14:textId="77777777" w:rsidR="00BA4645" w:rsidRPr="00EA38DE" w:rsidRDefault="00BA4645" w:rsidP="009501B5">
            <w:pPr>
              <w:spacing w:after="0" w:line="240" w:lineRule="auto"/>
              <w:jc w:val="center"/>
              <w:rPr>
                <w:rFonts w:ascii="Times New Roman" w:hAnsi="Times New Roman" w:cs="Times New Roman"/>
                <w:sz w:val="20"/>
                <w:szCs w:val="20"/>
              </w:rPr>
            </w:pPr>
          </w:p>
        </w:tc>
      </w:tr>
      <w:tr w:rsidR="00EA38DE" w:rsidRPr="00EA38DE" w14:paraId="6CFD6505" w14:textId="77777777" w:rsidTr="009501B5">
        <w:trPr>
          <w:trHeight w:val="280"/>
        </w:trPr>
        <w:tc>
          <w:tcPr>
            <w:tcW w:w="2473" w:type="dxa"/>
            <w:tcBorders>
              <w:top w:val="nil"/>
              <w:bottom w:val="nil"/>
            </w:tcBorders>
            <w:vAlign w:val="center"/>
          </w:tcPr>
          <w:p w14:paraId="5D42444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F-statistic</w:t>
            </w:r>
          </w:p>
        </w:tc>
        <w:tc>
          <w:tcPr>
            <w:tcW w:w="1560" w:type="dxa"/>
            <w:tcBorders>
              <w:top w:val="nil"/>
              <w:bottom w:val="nil"/>
            </w:tcBorders>
            <w:vAlign w:val="center"/>
          </w:tcPr>
          <w:p w14:paraId="52433868"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4.510</w:t>
            </w:r>
          </w:p>
        </w:tc>
        <w:tc>
          <w:tcPr>
            <w:tcW w:w="1560" w:type="dxa"/>
            <w:tcBorders>
              <w:top w:val="nil"/>
              <w:bottom w:val="nil"/>
            </w:tcBorders>
            <w:vAlign w:val="center"/>
          </w:tcPr>
          <w:p w14:paraId="77D7BFF9"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10%</w:t>
            </w:r>
          </w:p>
        </w:tc>
        <w:tc>
          <w:tcPr>
            <w:tcW w:w="1560" w:type="dxa"/>
            <w:tcBorders>
              <w:top w:val="nil"/>
              <w:bottom w:val="nil"/>
            </w:tcBorders>
            <w:vAlign w:val="center"/>
          </w:tcPr>
          <w:p w14:paraId="2AECBDA0"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2.08</w:t>
            </w:r>
          </w:p>
        </w:tc>
        <w:tc>
          <w:tcPr>
            <w:tcW w:w="1560" w:type="dxa"/>
            <w:tcBorders>
              <w:top w:val="nil"/>
              <w:bottom w:val="nil"/>
            </w:tcBorders>
            <w:vAlign w:val="center"/>
          </w:tcPr>
          <w:p w14:paraId="57337ADD"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w:t>
            </w:r>
          </w:p>
        </w:tc>
      </w:tr>
      <w:tr w:rsidR="00EA38DE" w:rsidRPr="00EA38DE" w14:paraId="40239431" w14:textId="77777777" w:rsidTr="009501B5">
        <w:trPr>
          <w:trHeight w:val="280"/>
        </w:trPr>
        <w:tc>
          <w:tcPr>
            <w:tcW w:w="2473" w:type="dxa"/>
            <w:tcBorders>
              <w:top w:val="nil"/>
              <w:bottom w:val="nil"/>
            </w:tcBorders>
            <w:vAlign w:val="center"/>
          </w:tcPr>
          <w:p w14:paraId="501970DE"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K</w:t>
            </w:r>
          </w:p>
        </w:tc>
        <w:tc>
          <w:tcPr>
            <w:tcW w:w="1560" w:type="dxa"/>
            <w:tcBorders>
              <w:top w:val="nil"/>
              <w:bottom w:val="nil"/>
            </w:tcBorders>
            <w:vAlign w:val="center"/>
          </w:tcPr>
          <w:p w14:paraId="7B0BDED2"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w:t>
            </w:r>
          </w:p>
        </w:tc>
        <w:tc>
          <w:tcPr>
            <w:tcW w:w="1560" w:type="dxa"/>
            <w:tcBorders>
              <w:top w:val="nil"/>
              <w:bottom w:val="nil"/>
            </w:tcBorders>
            <w:vAlign w:val="center"/>
          </w:tcPr>
          <w:p w14:paraId="117006E4"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w:t>
            </w:r>
          </w:p>
        </w:tc>
        <w:tc>
          <w:tcPr>
            <w:tcW w:w="1560" w:type="dxa"/>
            <w:tcBorders>
              <w:top w:val="nil"/>
              <w:bottom w:val="nil"/>
            </w:tcBorders>
            <w:vAlign w:val="center"/>
          </w:tcPr>
          <w:p w14:paraId="11C52230"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2.39</w:t>
            </w:r>
          </w:p>
        </w:tc>
        <w:tc>
          <w:tcPr>
            <w:tcW w:w="1560" w:type="dxa"/>
            <w:tcBorders>
              <w:top w:val="nil"/>
              <w:bottom w:val="nil"/>
            </w:tcBorders>
            <w:vAlign w:val="center"/>
          </w:tcPr>
          <w:p w14:paraId="52BD383E"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3.38</w:t>
            </w:r>
          </w:p>
        </w:tc>
      </w:tr>
      <w:tr w:rsidR="00EA38DE" w:rsidRPr="00EA38DE" w14:paraId="3CFA4260" w14:textId="77777777" w:rsidTr="009501B5">
        <w:trPr>
          <w:trHeight w:val="280"/>
        </w:trPr>
        <w:tc>
          <w:tcPr>
            <w:tcW w:w="2473" w:type="dxa"/>
            <w:tcBorders>
              <w:top w:val="nil"/>
              <w:bottom w:val="nil"/>
            </w:tcBorders>
            <w:vAlign w:val="center"/>
          </w:tcPr>
          <w:p w14:paraId="2FF8E455"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1560" w:type="dxa"/>
            <w:tcBorders>
              <w:top w:val="nil"/>
              <w:bottom w:val="nil"/>
            </w:tcBorders>
            <w:vAlign w:val="center"/>
          </w:tcPr>
          <w:p w14:paraId="7A5C641F"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4579F1E5"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w:t>
            </w:r>
          </w:p>
        </w:tc>
        <w:tc>
          <w:tcPr>
            <w:tcW w:w="1560" w:type="dxa"/>
            <w:tcBorders>
              <w:top w:val="nil"/>
              <w:bottom w:val="nil"/>
            </w:tcBorders>
            <w:vAlign w:val="center"/>
          </w:tcPr>
          <w:p w14:paraId="7241C91D"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3.06</w:t>
            </w:r>
          </w:p>
        </w:tc>
        <w:tc>
          <w:tcPr>
            <w:tcW w:w="1560" w:type="dxa"/>
            <w:tcBorders>
              <w:top w:val="nil"/>
              <w:bottom w:val="nil"/>
            </w:tcBorders>
            <w:vAlign w:val="center"/>
          </w:tcPr>
          <w:p w14:paraId="60CD3F17"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4.15</w:t>
            </w:r>
          </w:p>
        </w:tc>
      </w:tr>
      <w:tr w:rsidR="00EA38DE" w:rsidRPr="00EA38DE" w14:paraId="58546BAB" w14:textId="77777777" w:rsidTr="009501B5">
        <w:trPr>
          <w:trHeight w:val="280"/>
        </w:trPr>
        <w:tc>
          <w:tcPr>
            <w:tcW w:w="2473" w:type="dxa"/>
            <w:tcBorders>
              <w:top w:val="nil"/>
              <w:bottom w:val="nil"/>
            </w:tcBorders>
            <w:vAlign w:val="center"/>
          </w:tcPr>
          <w:p w14:paraId="67D141BA"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i/>
                <w:iCs/>
                <w:sz w:val="20"/>
                <w:szCs w:val="20"/>
              </w:rPr>
              <w:t>Eqn: with DLNT</w:t>
            </w:r>
          </w:p>
        </w:tc>
        <w:tc>
          <w:tcPr>
            <w:tcW w:w="1560" w:type="dxa"/>
            <w:tcBorders>
              <w:top w:val="nil"/>
              <w:bottom w:val="nil"/>
            </w:tcBorders>
            <w:vAlign w:val="center"/>
          </w:tcPr>
          <w:p w14:paraId="61D36924"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06756B7D"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61A952FB"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nil"/>
            </w:tcBorders>
            <w:vAlign w:val="center"/>
          </w:tcPr>
          <w:p w14:paraId="37E14658" w14:textId="77777777" w:rsidR="00BA4645" w:rsidRPr="00EA38DE" w:rsidRDefault="00BA4645" w:rsidP="009501B5">
            <w:pPr>
              <w:spacing w:after="0" w:line="240" w:lineRule="auto"/>
              <w:jc w:val="center"/>
              <w:rPr>
                <w:rFonts w:ascii="Times New Roman" w:hAnsi="Times New Roman" w:cs="Times New Roman"/>
                <w:sz w:val="20"/>
                <w:szCs w:val="20"/>
              </w:rPr>
            </w:pPr>
          </w:p>
        </w:tc>
      </w:tr>
      <w:tr w:rsidR="00EA38DE" w:rsidRPr="00EA38DE" w14:paraId="3CD45270" w14:textId="77777777" w:rsidTr="009501B5">
        <w:trPr>
          <w:trHeight w:val="280"/>
        </w:trPr>
        <w:tc>
          <w:tcPr>
            <w:tcW w:w="2473" w:type="dxa"/>
            <w:tcBorders>
              <w:top w:val="nil"/>
              <w:bottom w:val="nil"/>
            </w:tcBorders>
            <w:vAlign w:val="center"/>
          </w:tcPr>
          <w:p w14:paraId="39B366D3"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F-statistic</w:t>
            </w:r>
          </w:p>
        </w:tc>
        <w:tc>
          <w:tcPr>
            <w:tcW w:w="1560" w:type="dxa"/>
            <w:tcBorders>
              <w:top w:val="nil"/>
              <w:bottom w:val="nil"/>
            </w:tcBorders>
            <w:vAlign w:val="center"/>
          </w:tcPr>
          <w:p w14:paraId="327C6F1D"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6.318</w:t>
            </w:r>
          </w:p>
        </w:tc>
        <w:tc>
          <w:tcPr>
            <w:tcW w:w="1560" w:type="dxa"/>
            <w:tcBorders>
              <w:top w:val="nil"/>
              <w:bottom w:val="nil"/>
            </w:tcBorders>
            <w:vAlign w:val="center"/>
          </w:tcPr>
          <w:p w14:paraId="6ABF89CB"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10%</w:t>
            </w:r>
          </w:p>
        </w:tc>
        <w:tc>
          <w:tcPr>
            <w:tcW w:w="1560" w:type="dxa"/>
            <w:tcBorders>
              <w:top w:val="nil"/>
              <w:bottom w:val="nil"/>
            </w:tcBorders>
            <w:vAlign w:val="center"/>
          </w:tcPr>
          <w:p w14:paraId="51161DEA"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2.75</w:t>
            </w:r>
          </w:p>
        </w:tc>
        <w:tc>
          <w:tcPr>
            <w:tcW w:w="1560" w:type="dxa"/>
            <w:tcBorders>
              <w:top w:val="nil"/>
              <w:bottom w:val="nil"/>
            </w:tcBorders>
            <w:vAlign w:val="center"/>
          </w:tcPr>
          <w:p w14:paraId="58868CCC"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3.79</w:t>
            </w:r>
          </w:p>
        </w:tc>
      </w:tr>
      <w:tr w:rsidR="00EA38DE" w:rsidRPr="00EA38DE" w14:paraId="6B9B9499" w14:textId="77777777" w:rsidTr="009501B5">
        <w:trPr>
          <w:trHeight w:val="280"/>
        </w:trPr>
        <w:tc>
          <w:tcPr>
            <w:tcW w:w="2473" w:type="dxa"/>
            <w:tcBorders>
              <w:top w:val="nil"/>
              <w:bottom w:val="nil"/>
            </w:tcBorders>
            <w:vAlign w:val="center"/>
          </w:tcPr>
          <w:p w14:paraId="386B74D8"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K</w:t>
            </w:r>
          </w:p>
        </w:tc>
        <w:tc>
          <w:tcPr>
            <w:tcW w:w="1560" w:type="dxa"/>
            <w:tcBorders>
              <w:top w:val="nil"/>
              <w:bottom w:val="nil"/>
            </w:tcBorders>
            <w:vAlign w:val="center"/>
          </w:tcPr>
          <w:p w14:paraId="0D6E5A5D"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w:t>
            </w:r>
          </w:p>
        </w:tc>
        <w:tc>
          <w:tcPr>
            <w:tcW w:w="1560" w:type="dxa"/>
            <w:tcBorders>
              <w:top w:val="nil"/>
              <w:bottom w:val="nil"/>
            </w:tcBorders>
            <w:vAlign w:val="center"/>
          </w:tcPr>
          <w:p w14:paraId="5D8D57BB"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w:t>
            </w:r>
          </w:p>
        </w:tc>
        <w:tc>
          <w:tcPr>
            <w:tcW w:w="1560" w:type="dxa"/>
            <w:tcBorders>
              <w:top w:val="nil"/>
              <w:bottom w:val="nil"/>
            </w:tcBorders>
            <w:vAlign w:val="center"/>
          </w:tcPr>
          <w:p w14:paraId="126B98BF"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3.12</w:t>
            </w:r>
          </w:p>
        </w:tc>
        <w:tc>
          <w:tcPr>
            <w:tcW w:w="1560" w:type="dxa"/>
            <w:tcBorders>
              <w:top w:val="nil"/>
              <w:bottom w:val="nil"/>
            </w:tcBorders>
            <w:vAlign w:val="center"/>
          </w:tcPr>
          <w:p w14:paraId="44CF9BDF"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4.25</w:t>
            </w:r>
          </w:p>
        </w:tc>
      </w:tr>
      <w:tr w:rsidR="00EA38DE" w:rsidRPr="00EA38DE" w14:paraId="6D371A14" w14:textId="77777777" w:rsidTr="009501B5">
        <w:trPr>
          <w:trHeight w:val="280"/>
        </w:trPr>
        <w:tc>
          <w:tcPr>
            <w:tcW w:w="2473" w:type="dxa"/>
            <w:tcBorders>
              <w:top w:val="nil"/>
              <w:bottom w:val="single" w:sz="4" w:space="0" w:color="auto"/>
            </w:tcBorders>
            <w:vAlign w:val="center"/>
          </w:tcPr>
          <w:p w14:paraId="4AA0A293" w14:textId="77777777" w:rsidR="00BA4645" w:rsidRPr="00EA38DE" w:rsidRDefault="00BA4645" w:rsidP="009501B5">
            <w:pPr>
              <w:spacing w:after="0" w:line="240" w:lineRule="auto"/>
              <w:rPr>
                <w:rFonts w:ascii="Times New Roman" w:eastAsia="Times New Roman" w:hAnsi="Times New Roman" w:cs="Times New Roman"/>
                <w:sz w:val="20"/>
                <w:szCs w:val="20"/>
              </w:rPr>
            </w:pPr>
          </w:p>
        </w:tc>
        <w:tc>
          <w:tcPr>
            <w:tcW w:w="1560" w:type="dxa"/>
            <w:tcBorders>
              <w:top w:val="nil"/>
              <w:bottom w:val="single" w:sz="4" w:space="0" w:color="auto"/>
            </w:tcBorders>
            <w:vAlign w:val="center"/>
          </w:tcPr>
          <w:p w14:paraId="0F89B7F3" w14:textId="77777777" w:rsidR="00BA4645" w:rsidRPr="00EA38DE" w:rsidRDefault="00BA4645" w:rsidP="009501B5">
            <w:pPr>
              <w:spacing w:after="0" w:line="240" w:lineRule="auto"/>
              <w:jc w:val="center"/>
              <w:rPr>
                <w:rFonts w:ascii="Times New Roman" w:hAnsi="Times New Roman" w:cs="Times New Roman"/>
                <w:sz w:val="20"/>
                <w:szCs w:val="20"/>
              </w:rPr>
            </w:pPr>
          </w:p>
        </w:tc>
        <w:tc>
          <w:tcPr>
            <w:tcW w:w="1560" w:type="dxa"/>
            <w:tcBorders>
              <w:top w:val="nil"/>
              <w:bottom w:val="single" w:sz="4" w:space="0" w:color="auto"/>
            </w:tcBorders>
            <w:vAlign w:val="center"/>
          </w:tcPr>
          <w:p w14:paraId="316290E3"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w:t>
            </w:r>
          </w:p>
        </w:tc>
        <w:tc>
          <w:tcPr>
            <w:tcW w:w="1560" w:type="dxa"/>
            <w:tcBorders>
              <w:top w:val="nil"/>
              <w:bottom w:val="single" w:sz="4" w:space="0" w:color="auto"/>
            </w:tcBorders>
            <w:vAlign w:val="center"/>
          </w:tcPr>
          <w:p w14:paraId="2D5D235E"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3.93</w:t>
            </w:r>
          </w:p>
        </w:tc>
        <w:tc>
          <w:tcPr>
            <w:tcW w:w="1560" w:type="dxa"/>
            <w:tcBorders>
              <w:top w:val="nil"/>
              <w:bottom w:val="single" w:sz="4" w:space="0" w:color="auto"/>
            </w:tcBorders>
            <w:vAlign w:val="center"/>
          </w:tcPr>
          <w:p w14:paraId="69228AE3"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5.23</w:t>
            </w:r>
          </w:p>
        </w:tc>
      </w:tr>
    </w:tbl>
    <w:p w14:paraId="75F05584" w14:textId="77777777" w:rsidR="00BA4645" w:rsidRPr="00EA38DE" w:rsidRDefault="00BA4645" w:rsidP="00BA4645">
      <w:pPr>
        <w:spacing w:after="360"/>
        <w:jc w:val="both"/>
        <w:rPr>
          <w:rFonts w:ascii="Times New Roman" w:hAnsi="Times New Roman" w:cs="Times New Roman"/>
          <w:bCs/>
          <w:sz w:val="20"/>
          <w:szCs w:val="20"/>
        </w:rPr>
      </w:pPr>
      <w:r w:rsidRPr="00EA38DE">
        <w:rPr>
          <w:rFonts w:ascii="Times New Roman" w:hAnsi="Times New Roman" w:cs="Times New Roman"/>
          <w:bCs/>
          <w:sz w:val="20"/>
          <w:szCs w:val="20"/>
        </w:rPr>
        <w:t>Source: Author’s computation, 2025</w:t>
      </w:r>
    </w:p>
    <w:p w14:paraId="200DAAA8" w14:textId="77777777" w:rsidR="00BA4645" w:rsidRPr="00EA38DE" w:rsidRDefault="00BA4645" w:rsidP="0032713F">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From the results in Table 4.4, it is seen that the computed F-statistics for the models are between 3.8 and 6.32 while the 5 percent critical values for the I(0) and I(1) bounds are between 2.39 and 4.25 (note that the F statistic of 6.32 for DLNT variable is greater than the I(1) critical value of </w:t>
      </w:r>
      <w:r w:rsidRPr="00EA38DE">
        <w:rPr>
          <w:rFonts w:ascii="Times New Roman" w:hAnsi="Times New Roman" w:cs="Times New Roman"/>
          <w:sz w:val="24"/>
          <w:szCs w:val="24"/>
        </w:rPr>
        <w:lastRenderedPageBreak/>
        <w:t xml:space="preserve">4.25). This shows that the F-statistics values are all greater than both the I(0) and I(1) values in the critical test outcomes at the 5 percent level. Therefore, the estimated F-statistics pass the significance test at the 5 percent level. The null hypothesis of no cointegration is rejected for each equation, stating that a long run relationship actually exists among the combination of variables for each of the equations. This further establishes the robustness of the ARDL estimation framework used in the study.  </w:t>
      </w:r>
    </w:p>
    <w:p w14:paraId="4B67A3F0" w14:textId="67716054" w:rsidR="00BA4645" w:rsidRPr="00EA38DE" w:rsidRDefault="0032713F" w:rsidP="0032713F">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4.4</w:t>
      </w:r>
      <w:r w:rsidRPr="00EA38DE">
        <w:rPr>
          <w:rFonts w:ascii="Times New Roman" w:hAnsi="Times New Roman" w:cs="Times New Roman"/>
          <w:b/>
          <w:bCs/>
          <w:sz w:val="24"/>
          <w:szCs w:val="24"/>
        </w:rPr>
        <w:tab/>
      </w:r>
      <w:r w:rsidR="00BA4645" w:rsidRPr="00EA38DE">
        <w:rPr>
          <w:rFonts w:ascii="Times New Roman" w:hAnsi="Times New Roman" w:cs="Times New Roman"/>
          <w:b/>
          <w:bCs/>
          <w:sz w:val="24"/>
          <w:szCs w:val="24"/>
        </w:rPr>
        <w:t>Regression Analysis</w:t>
      </w:r>
    </w:p>
    <w:p w14:paraId="62090088" w14:textId="3E1D6D0B" w:rsidR="00BA4645" w:rsidRPr="00EA38DE" w:rsidRDefault="0032713F" w:rsidP="0032713F">
      <w:pPr>
        <w:spacing w:line="480" w:lineRule="auto"/>
        <w:jc w:val="both"/>
        <w:rPr>
          <w:rFonts w:ascii="Times New Roman" w:hAnsi="Times New Roman"/>
          <w:b/>
          <w:bCs/>
          <w:sz w:val="24"/>
          <w:szCs w:val="24"/>
        </w:rPr>
      </w:pPr>
      <w:r w:rsidRPr="00EA38DE">
        <w:rPr>
          <w:rFonts w:ascii="Times New Roman" w:hAnsi="Times New Roman"/>
          <w:b/>
          <w:bCs/>
          <w:sz w:val="24"/>
          <w:szCs w:val="24"/>
        </w:rPr>
        <w:t>4.4.1</w:t>
      </w:r>
      <w:r w:rsidRPr="00EA38DE">
        <w:rPr>
          <w:rFonts w:ascii="Times New Roman" w:hAnsi="Times New Roman"/>
          <w:b/>
          <w:bCs/>
          <w:sz w:val="24"/>
          <w:szCs w:val="24"/>
        </w:rPr>
        <w:tab/>
      </w:r>
      <w:r w:rsidR="00BA4645" w:rsidRPr="00EA38DE">
        <w:rPr>
          <w:rFonts w:ascii="Times New Roman" w:hAnsi="Times New Roman"/>
          <w:b/>
          <w:bCs/>
          <w:sz w:val="24"/>
          <w:szCs w:val="24"/>
        </w:rPr>
        <w:t xml:space="preserve">GARCH Estimation of </w:t>
      </w:r>
      <w:bookmarkStart w:id="14" w:name="_Hlk209971632"/>
      <w:r w:rsidR="00BA4645" w:rsidRPr="00EA38DE">
        <w:rPr>
          <w:rFonts w:ascii="Times New Roman" w:hAnsi="Times New Roman"/>
          <w:b/>
          <w:bCs/>
          <w:sz w:val="24"/>
          <w:szCs w:val="24"/>
        </w:rPr>
        <w:t>Exchange Rate Volatility</w:t>
      </w:r>
      <w:bookmarkEnd w:id="14"/>
    </w:p>
    <w:p w14:paraId="0690A84F" w14:textId="77777777" w:rsidR="00BA4645" w:rsidRPr="00EA38DE" w:rsidRDefault="00BA4645" w:rsidP="0032713F">
      <w:pPr>
        <w:tabs>
          <w:tab w:val="num" w:pos="720"/>
        </w:tabs>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volatility in the naira exchange rate is estimated using the GARCH estimation framework to generate volatilities. The results from the GARCH estimates are presented in Table 4.5. From the mean result, it is seen that the lag of exchange rate plays a critically significant role in current exchange rate outcomes. This shows that past exchange rates tend to influence current exchange rates outcomes in Nigeria. The variance equations of the GARCH estimations also contain important indicators that highlight the pattern of volatilities in exchange rates in the country. The mean term in the result (</w:t>
      </w:r>
      <m:oMath>
        <m:r>
          <w:rPr>
            <w:rFonts w:ascii="Cambria Math" w:hAnsi="Cambria Math"/>
            <w:sz w:val="24"/>
            <w:szCs w:val="24"/>
          </w:rPr>
          <m:t>ω</m:t>
        </m:r>
      </m:oMath>
      <w:r w:rsidRPr="00EA38DE">
        <w:rPr>
          <w:rFonts w:ascii="Times New Roman" w:eastAsia="Times New Roman" w:hAnsi="Times New Roman" w:cs="Times New Roman"/>
          <w:sz w:val="24"/>
          <w:szCs w:val="24"/>
        </w:rPr>
        <w:t xml:space="preserve">) is negative and significant at the 5 percent level. This </w:t>
      </w:r>
      <w:r w:rsidRPr="00EA38DE">
        <w:rPr>
          <w:rFonts w:ascii="Times New Roman" w:hAnsi="Times New Roman" w:cs="Times New Roman"/>
          <w:sz w:val="24"/>
          <w:szCs w:val="24"/>
        </w:rPr>
        <w:t>indicates a baseline negative contribution to the log of conditional variance. Thus, in the absence of other effects the volatility of the exchange rate tends to be lower than a reference level of zero. This also shows that the naira exchange rate has</w:t>
      </w:r>
      <w:r w:rsidRPr="00EA38DE">
        <w:rPr>
          <w:rFonts w:ascii="Times New Roman" w:eastAsia="Times New Roman" w:hAnsi="Times New Roman" w:cs="Times New Roman"/>
          <w:sz w:val="24"/>
          <w:szCs w:val="24"/>
        </w:rPr>
        <w:t xml:space="preserve"> a general tendency to spiral upwards at any given time.  </w:t>
      </w:r>
    </w:p>
    <w:p w14:paraId="78976F41" w14:textId="77777777" w:rsidR="00164181" w:rsidRPr="00EA38DE" w:rsidRDefault="00164181">
      <w:pPr>
        <w:rPr>
          <w:rFonts w:ascii="Times New Roman" w:hAnsi="Times New Roman"/>
          <w:b/>
          <w:bCs/>
          <w:sz w:val="20"/>
          <w:szCs w:val="20"/>
        </w:rPr>
      </w:pPr>
      <w:r w:rsidRPr="00EA38DE">
        <w:rPr>
          <w:rFonts w:ascii="Times New Roman" w:hAnsi="Times New Roman"/>
          <w:b/>
          <w:bCs/>
          <w:sz w:val="20"/>
          <w:szCs w:val="20"/>
        </w:rPr>
        <w:br w:type="page"/>
      </w:r>
    </w:p>
    <w:p w14:paraId="76958775" w14:textId="71738A8E" w:rsidR="00BA4645" w:rsidRPr="00EA38DE" w:rsidRDefault="00BA4645" w:rsidP="00BA4645">
      <w:pPr>
        <w:autoSpaceDE w:val="0"/>
        <w:autoSpaceDN w:val="0"/>
        <w:adjustRightInd w:val="0"/>
        <w:spacing w:after="0" w:line="240" w:lineRule="auto"/>
        <w:rPr>
          <w:rFonts w:ascii="Times New Roman" w:hAnsi="Times New Roman"/>
          <w:b/>
          <w:bCs/>
          <w:sz w:val="20"/>
          <w:szCs w:val="20"/>
        </w:rPr>
      </w:pPr>
      <w:r w:rsidRPr="00EA38DE">
        <w:rPr>
          <w:rFonts w:ascii="Times New Roman" w:hAnsi="Times New Roman"/>
          <w:b/>
          <w:bCs/>
          <w:sz w:val="20"/>
          <w:szCs w:val="20"/>
        </w:rPr>
        <w:lastRenderedPageBreak/>
        <w:t>Table 4.5: EGARCH Results for Exchange Rate Volatility</w:t>
      </w:r>
    </w:p>
    <w:tbl>
      <w:tblPr>
        <w:tblW w:w="8949" w:type="dxa"/>
        <w:tblLook w:val="04A0" w:firstRow="1" w:lastRow="0" w:firstColumn="1" w:lastColumn="0" w:noHBand="0" w:noVBand="1"/>
      </w:tblPr>
      <w:tblGrid>
        <w:gridCol w:w="2297"/>
        <w:gridCol w:w="1933"/>
        <w:gridCol w:w="2361"/>
        <w:gridCol w:w="2358"/>
      </w:tblGrid>
      <w:tr w:rsidR="00EA38DE" w:rsidRPr="00EA38DE" w14:paraId="56F0453F" w14:textId="77777777" w:rsidTr="0032713F">
        <w:trPr>
          <w:trHeight w:val="412"/>
        </w:trPr>
        <w:tc>
          <w:tcPr>
            <w:tcW w:w="2297" w:type="dxa"/>
            <w:tcBorders>
              <w:top w:val="single" w:sz="4" w:space="0" w:color="auto"/>
              <w:left w:val="nil"/>
              <w:bottom w:val="single" w:sz="4" w:space="0" w:color="auto"/>
              <w:right w:val="nil"/>
            </w:tcBorders>
            <w:noWrap/>
            <w:vAlign w:val="center"/>
            <w:hideMark/>
          </w:tcPr>
          <w:p w14:paraId="617A8C83" w14:textId="77777777" w:rsidR="00BA4645" w:rsidRPr="00EA38DE" w:rsidRDefault="00BA4645" w:rsidP="009501B5">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Variable</w:t>
            </w:r>
          </w:p>
        </w:tc>
        <w:tc>
          <w:tcPr>
            <w:tcW w:w="1933" w:type="dxa"/>
            <w:tcBorders>
              <w:top w:val="single" w:sz="4" w:space="0" w:color="auto"/>
              <w:left w:val="nil"/>
              <w:bottom w:val="single" w:sz="4" w:space="0" w:color="auto"/>
              <w:right w:val="nil"/>
            </w:tcBorders>
            <w:noWrap/>
            <w:vAlign w:val="center"/>
            <w:hideMark/>
          </w:tcPr>
          <w:p w14:paraId="356D64EB" w14:textId="77777777" w:rsidR="00BA4645" w:rsidRPr="00EA38DE" w:rsidRDefault="00BA4645" w:rsidP="009501B5">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Coeff</w:t>
            </w:r>
          </w:p>
        </w:tc>
        <w:tc>
          <w:tcPr>
            <w:tcW w:w="2361" w:type="dxa"/>
            <w:tcBorders>
              <w:top w:val="single" w:sz="4" w:space="0" w:color="auto"/>
              <w:left w:val="nil"/>
              <w:bottom w:val="single" w:sz="4" w:space="0" w:color="auto"/>
              <w:right w:val="nil"/>
            </w:tcBorders>
            <w:noWrap/>
            <w:vAlign w:val="center"/>
            <w:hideMark/>
          </w:tcPr>
          <w:p w14:paraId="40C5515B" w14:textId="77777777" w:rsidR="00BA4645" w:rsidRPr="00EA38DE" w:rsidRDefault="00BA4645" w:rsidP="009501B5">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t-stat</w:t>
            </w:r>
          </w:p>
        </w:tc>
        <w:tc>
          <w:tcPr>
            <w:tcW w:w="2358" w:type="dxa"/>
            <w:tcBorders>
              <w:top w:val="single" w:sz="4" w:space="0" w:color="auto"/>
              <w:left w:val="nil"/>
              <w:bottom w:val="single" w:sz="4" w:space="0" w:color="auto"/>
              <w:right w:val="nil"/>
            </w:tcBorders>
            <w:noWrap/>
            <w:vAlign w:val="center"/>
            <w:hideMark/>
          </w:tcPr>
          <w:p w14:paraId="6CCEDC8F" w14:textId="77777777" w:rsidR="00BA4645" w:rsidRPr="00EA38DE" w:rsidRDefault="00BA4645" w:rsidP="009501B5">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Prob.</w:t>
            </w:r>
          </w:p>
        </w:tc>
      </w:tr>
      <w:tr w:rsidR="00EA38DE" w:rsidRPr="00EA38DE" w14:paraId="22232437" w14:textId="77777777" w:rsidTr="0032713F">
        <w:trPr>
          <w:trHeight w:val="412"/>
        </w:trPr>
        <w:tc>
          <w:tcPr>
            <w:tcW w:w="2297" w:type="dxa"/>
            <w:tcBorders>
              <w:top w:val="single" w:sz="4" w:space="0" w:color="auto"/>
              <w:left w:val="nil"/>
              <w:right w:val="nil"/>
            </w:tcBorders>
            <w:noWrap/>
            <w:vAlign w:val="center"/>
            <w:hideMark/>
          </w:tcPr>
          <w:p w14:paraId="5A9D5FE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Constant</w:t>
            </w:r>
          </w:p>
        </w:tc>
        <w:tc>
          <w:tcPr>
            <w:tcW w:w="1933" w:type="dxa"/>
            <w:tcBorders>
              <w:top w:val="single" w:sz="4" w:space="0" w:color="auto"/>
              <w:left w:val="nil"/>
              <w:right w:val="nil"/>
            </w:tcBorders>
            <w:noWrap/>
            <w:vAlign w:val="center"/>
            <w:hideMark/>
          </w:tcPr>
          <w:p w14:paraId="6275B90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0.498</w:t>
            </w:r>
          </w:p>
        </w:tc>
        <w:tc>
          <w:tcPr>
            <w:tcW w:w="2361" w:type="dxa"/>
            <w:tcBorders>
              <w:top w:val="single" w:sz="4" w:space="0" w:color="auto"/>
              <w:left w:val="nil"/>
              <w:right w:val="nil"/>
            </w:tcBorders>
            <w:noWrap/>
            <w:vAlign w:val="center"/>
            <w:hideMark/>
          </w:tcPr>
          <w:p w14:paraId="59470DC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3.324</w:t>
            </w:r>
          </w:p>
        </w:tc>
        <w:tc>
          <w:tcPr>
            <w:tcW w:w="2358" w:type="dxa"/>
            <w:tcBorders>
              <w:top w:val="single" w:sz="4" w:space="0" w:color="auto"/>
              <w:left w:val="nil"/>
              <w:right w:val="nil"/>
            </w:tcBorders>
            <w:noWrap/>
            <w:vAlign w:val="center"/>
            <w:hideMark/>
          </w:tcPr>
          <w:p w14:paraId="15E8E19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0.001</w:t>
            </w:r>
          </w:p>
        </w:tc>
      </w:tr>
      <w:tr w:rsidR="00EA38DE" w:rsidRPr="00EA38DE" w14:paraId="59FD491E" w14:textId="77777777" w:rsidTr="0032713F">
        <w:trPr>
          <w:trHeight w:val="412"/>
        </w:trPr>
        <w:tc>
          <w:tcPr>
            <w:tcW w:w="2297" w:type="dxa"/>
            <w:tcBorders>
              <w:top w:val="nil"/>
              <w:left w:val="nil"/>
              <w:bottom w:val="single" w:sz="4" w:space="0" w:color="auto"/>
              <w:right w:val="nil"/>
            </w:tcBorders>
            <w:noWrap/>
            <w:vAlign w:val="center"/>
            <w:hideMark/>
          </w:tcPr>
          <w:p w14:paraId="39311AF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exrt</w:t>
            </w:r>
            <w:r w:rsidRPr="00EA38DE">
              <w:rPr>
                <w:rFonts w:ascii="Times New Roman" w:eastAsia="Times New Roman" w:hAnsi="Times New Roman" w:cs="Times New Roman"/>
                <w:sz w:val="20"/>
                <w:szCs w:val="20"/>
                <w:vertAlign w:val="subscript"/>
              </w:rPr>
              <w:t>t-1</w:t>
            </w:r>
          </w:p>
        </w:tc>
        <w:tc>
          <w:tcPr>
            <w:tcW w:w="1933" w:type="dxa"/>
            <w:tcBorders>
              <w:top w:val="nil"/>
              <w:left w:val="nil"/>
              <w:bottom w:val="single" w:sz="4" w:space="0" w:color="auto"/>
              <w:right w:val="nil"/>
            </w:tcBorders>
            <w:noWrap/>
            <w:vAlign w:val="center"/>
            <w:hideMark/>
          </w:tcPr>
          <w:p w14:paraId="2BE426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0.906</w:t>
            </w:r>
          </w:p>
        </w:tc>
        <w:tc>
          <w:tcPr>
            <w:tcW w:w="2361" w:type="dxa"/>
            <w:tcBorders>
              <w:top w:val="nil"/>
              <w:left w:val="nil"/>
              <w:bottom w:val="single" w:sz="4" w:space="0" w:color="auto"/>
              <w:right w:val="nil"/>
            </w:tcBorders>
            <w:noWrap/>
            <w:vAlign w:val="center"/>
            <w:hideMark/>
          </w:tcPr>
          <w:p w14:paraId="6A94ED5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30.769</w:t>
            </w:r>
          </w:p>
        </w:tc>
        <w:tc>
          <w:tcPr>
            <w:tcW w:w="2358" w:type="dxa"/>
            <w:tcBorders>
              <w:top w:val="nil"/>
              <w:left w:val="nil"/>
              <w:bottom w:val="single" w:sz="4" w:space="0" w:color="auto"/>
              <w:right w:val="nil"/>
            </w:tcBorders>
            <w:noWrap/>
            <w:vAlign w:val="center"/>
            <w:hideMark/>
          </w:tcPr>
          <w:p w14:paraId="6E62A91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0.000</w:t>
            </w:r>
          </w:p>
        </w:tc>
      </w:tr>
      <w:tr w:rsidR="00EA38DE" w:rsidRPr="00EA38DE" w14:paraId="26446BB8" w14:textId="77777777" w:rsidTr="0032713F">
        <w:trPr>
          <w:trHeight w:val="412"/>
        </w:trPr>
        <w:tc>
          <w:tcPr>
            <w:tcW w:w="6591" w:type="dxa"/>
            <w:gridSpan w:val="3"/>
            <w:tcBorders>
              <w:top w:val="single" w:sz="4" w:space="0" w:color="auto"/>
              <w:left w:val="nil"/>
              <w:bottom w:val="single" w:sz="4" w:space="0" w:color="auto"/>
              <w:right w:val="nil"/>
            </w:tcBorders>
            <w:noWrap/>
            <w:vAlign w:val="center"/>
            <w:hideMark/>
          </w:tcPr>
          <w:p w14:paraId="64EAF09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Variance Equation</w:t>
            </w:r>
          </w:p>
        </w:tc>
        <w:tc>
          <w:tcPr>
            <w:tcW w:w="2358" w:type="dxa"/>
            <w:tcBorders>
              <w:top w:val="single" w:sz="4" w:space="0" w:color="auto"/>
              <w:left w:val="nil"/>
              <w:bottom w:val="nil"/>
              <w:right w:val="nil"/>
            </w:tcBorders>
            <w:noWrap/>
            <w:vAlign w:val="center"/>
          </w:tcPr>
          <w:p w14:paraId="241DCCB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228FE989" w14:textId="77777777" w:rsidTr="0032713F">
        <w:trPr>
          <w:trHeight w:val="412"/>
        </w:trPr>
        <w:tc>
          <w:tcPr>
            <w:tcW w:w="2297" w:type="dxa"/>
            <w:tcBorders>
              <w:top w:val="single" w:sz="4" w:space="0" w:color="auto"/>
              <w:left w:val="nil"/>
              <w:bottom w:val="nil"/>
              <w:right w:val="nil"/>
            </w:tcBorders>
            <w:noWrap/>
            <w:vAlign w:val="center"/>
            <w:hideMark/>
          </w:tcPr>
          <w:p w14:paraId="29E52B6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m:oMathPara>
              <m:oMath>
                <m:r>
                  <w:rPr>
                    <w:rFonts w:ascii="Cambria Math" w:hAnsi="Cambria Math"/>
                    <w:sz w:val="20"/>
                    <w:szCs w:val="20"/>
                  </w:rPr>
                  <m:t>ω</m:t>
                </m:r>
              </m:oMath>
            </m:oMathPara>
          </w:p>
        </w:tc>
        <w:tc>
          <w:tcPr>
            <w:tcW w:w="1933" w:type="dxa"/>
            <w:tcBorders>
              <w:top w:val="single" w:sz="4" w:space="0" w:color="auto"/>
              <w:left w:val="nil"/>
              <w:bottom w:val="nil"/>
              <w:right w:val="nil"/>
            </w:tcBorders>
            <w:noWrap/>
            <w:vAlign w:val="center"/>
            <w:hideMark/>
          </w:tcPr>
          <w:p w14:paraId="57BE61F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-1.784</w:t>
            </w:r>
          </w:p>
        </w:tc>
        <w:tc>
          <w:tcPr>
            <w:tcW w:w="2361" w:type="dxa"/>
            <w:tcBorders>
              <w:top w:val="single" w:sz="4" w:space="0" w:color="auto"/>
              <w:left w:val="nil"/>
              <w:bottom w:val="nil"/>
              <w:right w:val="nil"/>
            </w:tcBorders>
            <w:noWrap/>
            <w:vAlign w:val="center"/>
            <w:hideMark/>
          </w:tcPr>
          <w:p w14:paraId="3DC1E56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-2.123</w:t>
            </w:r>
          </w:p>
        </w:tc>
        <w:tc>
          <w:tcPr>
            <w:tcW w:w="2358" w:type="dxa"/>
            <w:tcBorders>
              <w:top w:val="nil"/>
              <w:left w:val="nil"/>
              <w:bottom w:val="nil"/>
              <w:right w:val="nil"/>
            </w:tcBorders>
            <w:noWrap/>
            <w:vAlign w:val="center"/>
            <w:hideMark/>
          </w:tcPr>
          <w:p w14:paraId="528A66A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0.038</w:t>
            </w:r>
          </w:p>
        </w:tc>
      </w:tr>
      <w:tr w:rsidR="00EA38DE" w:rsidRPr="00EA38DE" w14:paraId="63BBF039" w14:textId="77777777" w:rsidTr="0032713F">
        <w:trPr>
          <w:trHeight w:val="412"/>
        </w:trPr>
        <w:tc>
          <w:tcPr>
            <w:tcW w:w="2297" w:type="dxa"/>
            <w:tcBorders>
              <w:top w:val="nil"/>
              <w:left w:val="nil"/>
              <w:bottom w:val="nil"/>
              <w:right w:val="nil"/>
            </w:tcBorders>
            <w:noWrap/>
            <w:vAlign w:val="center"/>
            <w:hideMark/>
          </w:tcPr>
          <w:p w14:paraId="05FEE55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m:oMathPara>
              <m:oMath>
                <m:r>
                  <w:rPr>
                    <w:rFonts w:ascii="Cambria Math" w:hAnsi="Cambria Math"/>
                    <w:sz w:val="20"/>
                    <w:szCs w:val="20"/>
                  </w:rPr>
                  <m:t>α</m:t>
                </m:r>
              </m:oMath>
            </m:oMathPara>
          </w:p>
        </w:tc>
        <w:tc>
          <w:tcPr>
            <w:tcW w:w="1933" w:type="dxa"/>
            <w:tcBorders>
              <w:top w:val="nil"/>
              <w:left w:val="nil"/>
              <w:bottom w:val="nil"/>
              <w:right w:val="nil"/>
            </w:tcBorders>
            <w:noWrap/>
            <w:vAlign w:val="center"/>
            <w:hideMark/>
          </w:tcPr>
          <w:p w14:paraId="1EB119C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1.437</w:t>
            </w:r>
          </w:p>
        </w:tc>
        <w:tc>
          <w:tcPr>
            <w:tcW w:w="2361" w:type="dxa"/>
            <w:tcBorders>
              <w:top w:val="nil"/>
              <w:left w:val="nil"/>
              <w:bottom w:val="nil"/>
              <w:right w:val="nil"/>
            </w:tcBorders>
            <w:noWrap/>
            <w:vAlign w:val="center"/>
            <w:hideMark/>
          </w:tcPr>
          <w:p w14:paraId="0B3641E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2.150</w:t>
            </w:r>
          </w:p>
        </w:tc>
        <w:tc>
          <w:tcPr>
            <w:tcW w:w="2358" w:type="dxa"/>
            <w:tcBorders>
              <w:top w:val="nil"/>
              <w:left w:val="nil"/>
              <w:bottom w:val="nil"/>
              <w:right w:val="nil"/>
            </w:tcBorders>
            <w:noWrap/>
            <w:vAlign w:val="center"/>
            <w:hideMark/>
          </w:tcPr>
          <w:p w14:paraId="3B8B229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0.030</w:t>
            </w:r>
          </w:p>
        </w:tc>
      </w:tr>
      <w:tr w:rsidR="00EA38DE" w:rsidRPr="00EA38DE" w14:paraId="500E8BC4" w14:textId="77777777" w:rsidTr="0032713F">
        <w:trPr>
          <w:trHeight w:val="412"/>
        </w:trPr>
        <w:tc>
          <w:tcPr>
            <w:tcW w:w="2297" w:type="dxa"/>
            <w:tcBorders>
              <w:top w:val="nil"/>
              <w:left w:val="nil"/>
              <w:bottom w:val="nil"/>
              <w:right w:val="nil"/>
            </w:tcBorders>
            <w:noWrap/>
            <w:vAlign w:val="center"/>
            <w:hideMark/>
          </w:tcPr>
          <w:p w14:paraId="3BFB98F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m:oMathPara>
              <m:oMath>
                <m:r>
                  <w:rPr>
                    <w:rFonts w:ascii="Cambria Math" w:hAnsi="Cambria Math"/>
                    <w:sz w:val="20"/>
                    <w:szCs w:val="20"/>
                  </w:rPr>
                  <m:t>γ</m:t>
                </m:r>
              </m:oMath>
            </m:oMathPara>
          </w:p>
        </w:tc>
        <w:tc>
          <w:tcPr>
            <w:tcW w:w="1933" w:type="dxa"/>
            <w:tcBorders>
              <w:top w:val="nil"/>
              <w:left w:val="nil"/>
              <w:bottom w:val="nil"/>
              <w:right w:val="nil"/>
            </w:tcBorders>
            <w:noWrap/>
            <w:vAlign w:val="center"/>
            <w:hideMark/>
          </w:tcPr>
          <w:p w14:paraId="3E2828E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-0.685</w:t>
            </w:r>
          </w:p>
        </w:tc>
        <w:tc>
          <w:tcPr>
            <w:tcW w:w="2361" w:type="dxa"/>
            <w:tcBorders>
              <w:top w:val="nil"/>
              <w:left w:val="nil"/>
              <w:bottom w:val="nil"/>
              <w:right w:val="nil"/>
            </w:tcBorders>
            <w:noWrap/>
            <w:vAlign w:val="center"/>
            <w:hideMark/>
          </w:tcPr>
          <w:p w14:paraId="25B5F25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-1.134</w:t>
            </w:r>
          </w:p>
        </w:tc>
        <w:tc>
          <w:tcPr>
            <w:tcW w:w="2358" w:type="dxa"/>
            <w:tcBorders>
              <w:top w:val="nil"/>
              <w:left w:val="nil"/>
              <w:bottom w:val="nil"/>
              <w:right w:val="nil"/>
            </w:tcBorders>
            <w:noWrap/>
            <w:vAlign w:val="center"/>
            <w:hideMark/>
          </w:tcPr>
          <w:p w14:paraId="501EFE4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0.257</w:t>
            </w:r>
          </w:p>
        </w:tc>
      </w:tr>
      <w:tr w:rsidR="00EA38DE" w:rsidRPr="00EA38DE" w14:paraId="12D51D16" w14:textId="77777777" w:rsidTr="0032713F">
        <w:trPr>
          <w:trHeight w:val="412"/>
        </w:trPr>
        <w:tc>
          <w:tcPr>
            <w:tcW w:w="2297" w:type="dxa"/>
            <w:tcBorders>
              <w:top w:val="nil"/>
              <w:left w:val="nil"/>
              <w:right w:val="nil"/>
            </w:tcBorders>
            <w:noWrap/>
            <w:vAlign w:val="center"/>
            <w:hideMark/>
          </w:tcPr>
          <w:p w14:paraId="5914B61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m:oMathPara>
              <m:oMath>
                <m:r>
                  <w:rPr>
                    <w:rFonts w:ascii="Cambria Math" w:hAnsi="Cambria Math"/>
                    <w:sz w:val="20"/>
                    <w:szCs w:val="20"/>
                  </w:rPr>
                  <m:t>β</m:t>
                </m:r>
              </m:oMath>
            </m:oMathPara>
          </w:p>
        </w:tc>
        <w:tc>
          <w:tcPr>
            <w:tcW w:w="1933" w:type="dxa"/>
            <w:tcBorders>
              <w:top w:val="nil"/>
              <w:left w:val="nil"/>
              <w:right w:val="nil"/>
            </w:tcBorders>
            <w:noWrap/>
            <w:vAlign w:val="center"/>
            <w:hideMark/>
          </w:tcPr>
          <w:p w14:paraId="0A9A930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0.668</w:t>
            </w:r>
          </w:p>
        </w:tc>
        <w:tc>
          <w:tcPr>
            <w:tcW w:w="2361" w:type="dxa"/>
            <w:tcBorders>
              <w:top w:val="nil"/>
              <w:left w:val="nil"/>
              <w:right w:val="nil"/>
            </w:tcBorders>
            <w:noWrap/>
            <w:vAlign w:val="center"/>
            <w:hideMark/>
          </w:tcPr>
          <w:p w14:paraId="67076B5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2.366</w:t>
            </w:r>
          </w:p>
        </w:tc>
        <w:tc>
          <w:tcPr>
            <w:tcW w:w="2358" w:type="dxa"/>
            <w:tcBorders>
              <w:top w:val="nil"/>
              <w:left w:val="nil"/>
              <w:right w:val="nil"/>
            </w:tcBorders>
            <w:noWrap/>
            <w:vAlign w:val="center"/>
            <w:hideMark/>
          </w:tcPr>
          <w:p w14:paraId="22AE468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0.018</w:t>
            </w:r>
          </w:p>
        </w:tc>
      </w:tr>
      <w:tr w:rsidR="00EA38DE" w:rsidRPr="00EA38DE" w14:paraId="36571B4F" w14:textId="77777777" w:rsidTr="009501B5">
        <w:trPr>
          <w:trHeight w:val="412"/>
        </w:trPr>
        <w:tc>
          <w:tcPr>
            <w:tcW w:w="2297" w:type="dxa"/>
            <w:tcBorders>
              <w:top w:val="nil"/>
              <w:left w:val="nil"/>
              <w:bottom w:val="nil"/>
              <w:right w:val="nil"/>
            </w:tcBorders>
            <w:noWrap/>
            <w:vAlign w:val="center"/>
            <w:hideMark/>
          </w:tcPr>
          <w:p w14:paraId="14C99FA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Adj. R-sq.</w:t>
            </w:r>
          </w:p>
        </w:tc>
        <w:tc>
          <w:tcPr>
            <w:tcW w:w="6652" w:type="dxa"/>
            <w:gridSpan w:val="3"/>
            <w:tcBorders>
              <w:top w:val="nil"/>
              <w:left w:val="nil"/>
              <w:bottom w:val="nil"/>
              <w:right w:val="nil"/>
            </w:tcBorders>
            <w:noWrap/>
            <w:vAlign w:val="center"/>
            <w:hideMark/>
          </w:tcPr>
          <w:p w14:paraId="15FD6D4F" w14:textId="3FC51A78" w:rsidR="00BA4645" w:rsidRPr="00EA38DE" w:rsidRDefault="00F11AC5" w:rsidP="00F11AC5">
            <w:pPr>
              <w:spacing w:after="0" w:line="240" w:lineRule="auto"/>
              <w:rPr>
                <w:rFonts w:ascii="Times New Roman" w:eastAsia="Times New Roman" w:hAnsi="Times New Roman" w:cs="Times New Roman"/>
                <w:sz w:val="20"/>
                <w:szCs w:val="20"/>
              </w:rPr>
            </w:pPr>
            <w:r w:rsidRPr="00EA38DE">
              <w:rPr>
                <w:rFonts w:ascii="Times New Roman" w:hAnsi="Times New Roman" w:cs="Times New Roman"/>
                <w:sz w:val="20"/>
                <w:szCs w:val="20"/>
              </w:rPr>
              <w:t xml:space="preserve">                                                        </w:t>
            </w:r>
            <w:r w:rsidR="00BA4645" w:rsidRPr="00EA38DE">
              <w:rPr>
                <w:rFonts w:ascii="Times New Roman" w:hAnsi="Times New Roman" w:cs="Times New Roman"/>
                <w:sz w:val="20"/>
                <w:szCs w:val="20"/>
              </w:rPr>
              <w:t>0.967</w:t>
            </w:r>
          </w:p>
        </w:tc>
      </w:tr>
      <w:tr w:rsidR="00EA38DE" w:rsidRPr="00EA38DE" w14:paraId="39262E30" w14:textId="77777777" w:rsidTr="009501B5">
        <w:trPr>
          <w:trHeight w:val="412"/>
        </w:trPr>
        <w:tc>
          <w:tcPr>
            <w:tcW w:w="2297" w:type="dxa"/>
            <w:tcBorders>
              <w:top w:val="nil"/>
              <w:left w:val="nil"/>
              <w:bottom w:val="single" w:sz="4" w:space="0" w:color="auto"/>
              <w:right w:val="nil"/>
            </w:tcBorders>
            <w:noWrap/>
            <w:vAlign w:val="center"/>
            <w:hideMark/>
          </w:tcPr>
          <w:p w14:paraId="46BF749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D-W stat</w:t>
            </w:r>
          </w:p>
        </w:tc>
        <w:tc>
          <w:tcPr>
            <w:tcW w:w="6652" w:type="dxa"/>
            <w:gridSpan w:val="3"/>
            <w:tcBorders>
              <w:top w:val="nil"/>
              <w:left w:val="nil"/>
              <w:bottom w:val="single" w:sz="4" w:space="0" w:color="auto"/>
              <w:right w:val="nil"/>
            </w:tcBorders>
            <w:noWrap/>
            <w:vAlign w:val="center"/>
            <w:hideMark/>
          </w:tcPr>
          <w:p w14:paraId="39E8F5B0" w14:textId="7DBC116E" w:rsidR="00BA4645" w:rsidRPr="00EA38DE" w:rsidRDefault="00F11AC5" w:rsidP="00F11AC5">
            <w:pPr>
              <w:spacing w:after="0" w:line="240" w:lineRule="auto"/>
              <w:rPr>
                <w:rFonts w:ascii="Times New Roman" w:eastAsia="Times New Roman" w:hAnsi="Times New Roman" w:cs="Times New Roman"/>
                <w:sz w:val="20"/>
                <w:szCs w:val="20"/>
              </w:rPr>
            </w:pPr>
            <w:r w:rsidRPr="00EA38DE">
              <w:rPr>
                <w:rFonts w:ascii="Times New Roman" w:hAnsi="Times New Roman" w:cs="Times New Roman"/>
                <w:sz w:val="20"/>
                <w:szCs w:val="20"/>
              </w:rPr>
              <w:t xml:space="preserve">                                                        </w:t>
            </w:r>
            <w:r w:rsidR="00BA4645" w:rsidRPr="00EA38DE">
              <w:rPr>
                <w:rFonts w:ascii="Times New Roman" w:hAnsi="Times New Roman" w:cs="Times New Roman"/>
                <w:sz w:val="20"/>
                <w:szCs w:val="20"/>
              </w:rPr>
              <w:t>1.838</w:t>
            </w:r>
          </w:p>
        </w:tc>
      </w:tr>
    </w:tbl>
    <w:p w14:paraId="08C6CBB2" w14:textId="674677CD" w:rsidR="00BA4645" w:rsidRPr="00EA38DE" w:rsidRDefault="0032713F" w:rsidP="00164181">
      <w:pPr>
        <w:spacing w:line="480" w:lineRule="auto"/>
        <w:jc w:val="both"/>
        <w:rPr>
          <w:rFonts w:ascii="Times New Roman" w:hAnsi="Times New Roman" w:cs="Times New Roman"/>
          <w:sz w:val="18"/>
          <w:szCs w:val="18"/>
        </w:rPr>
      </w:pPr>
      <w:r w:rsidRPr="00EA38DE">
        <w:rPr>
          <w:rFonts w:ascii="Times New Roman" w:hAnsi="Times New Roman" w:cs="Times New Roman"/>
          <w:bCs/>
          <w:sz w:val="20"/>
          <w:szCs w:val="20"/>
        </w:rPr>
        <w:t>Source: Author’s computation, 2025,</w:t>
      </w:r>
      <w:r w:rsidR="00BA4645" w:rsidRPr="00EA38DE">
        <w:rPr>
          <w:rFonts w:ascii="Times New Roman" w:hAnsi="Times New Roman" w:cs="Times New Roman"/>
          <w:sz w:val="18"/>
          <w:szCs w:val="18"/>
        </w:rPr>
        <w:t xml:space="preserve"> using Eview 13.</w:t>
      </w:r>
    </w:p>
    <w:p w14:paraId="6DC8376B" w14:textId="77777777" w:rsidR="00BA4645" w:rsidRPr="00EA38DE" w:rsidRDefault="00BA4645" w:rsidP="009501B5">
      <w:pPr>
        <w:autoSpaceDE w:val="0"/>
        <w:autoSpaceDN w:val="0"/>
        <w:adjustRightInd w:val="0"/>
        <w:spacing w:line="480" w:lineRule="auto"/>
        <w:jc w:val="both"/>
      </w:pPr>
      <w:r w:rsidRPr="00EA38DE">
        <w:rPr>
          <w:rFonts w:ascii="Times New Roman" w:hAnsi="Times New Roman" w:cs="Times New Roman"/>
          <w:sz w:val="24"/>
          <w:szCs w:val="24"/>
        </w:rPr>
        <w:t xml:space="preserve">The coefficient of </w:t>
      </w:r>
      <w:r w:rsidRPr="00EA38DE">
        <w:rPr>
          <w:rFonts w:ascii="Times New Roman" w:hAnsi="Times New Roman" w:cs="Times New Roman"/>
          <w:i/>
          <w:iCs/>
          <w:sz w:val="24"/>
          <w:szCs w:val="24"/>
        </w:rPr>
        <w:t>α</w:t>
      </w:r>
      <w:r w:rsidRPr="00EA38DE">
        <w:rPr>
          <w:rFonts w:ascii="Times New Roman" w:hAnsi="Times New Roman" w:cs="Times New Roman"/>
          <w:sz w:val="24"/>
          <w:szCs w:val="24"/>
        </w:rPr>
        <w:t xml:space="preserve"> is positive and significant in the estimate. This shows that the magnitude of past standardised exchange rate shocks significantly increases current volatility. A larger absolute shock in the previous period increases the current rate of volatility of the naira exchange rate by up to 1.437 units. This also indicates that exchange rate volatility in Nigeria is highly responsive to the size of past shocks in the currency value. The asymmetry parameter (</w:t>
      </w:r>
      <w:r w:rsidRPr="00EA38DE">
        <w:rPr>
          <w:rFonts w:ascii="Times New Roman" w:hAnsi="Times New Roman" w:cs="Times New Roman"/>
          <w:i/>
          <w:iCs/>
          <w:sz w:val="24"/>
          <w:szCs w:val="24"/>
        </w:rPr>
        <w:t>γ</w:t>
      </w:r>
      <w:r w:rsidRPr="00EA38DE">
        <w:rPr>
          <w:rFonts w:ascii="Times New Roman" w:hAnsi="Times New Roman" w:cs="Times New Roman"/>
          <w:sz w:val="24"/>
          <w:szCs w:val="24"/>
        </w:rPr>
        <w:t xml:space="preserve">) is negative but not significant. This shows that there is no strong evidence of a leverage effect in terms of exchange rate movements over time. The lack of a significant leverage effect suggests that both positive and negative exchange rate shocks have similar impacts on current volatility. The coefficient of </w:t>
      </w:r>
      <w:r w:rsidRPr="00EA38DE">
        <w:rPr>
          <w:rFonts w:ascii="Times New Roman" w:hAnsi="Times New Roman" w:cs="Times New Roman"/>
          <w:i/>
          <w:iCs/>
          <w:sz w:val="24"/>
          <w:szCs w:val="24"/>
        </w:rPr>
        <w:t>β</w:t>
      </w:r>
      <w:r w:rsidRPr="00EA38DE">
        <w:rPr>
          <w:rFonts w:ascii="Times New Roman" w:hAnsi="Times New Roman" w:cs="Times New Roman"/>
          <w:sz w:val="24"/>
          <w:szCs w:val="24"/>
        </w:rPr>
        <w:t xml:space="preserve"> is significant and positive. This shows that past volatility influences current volatility. Thus, there is evidence of persistence in exchange rate volatility in Nigeria. The results from the GARCH estimates also have very impressive goodness of fit outcomes. The adjusted R-squared is very high at 96.7%.  This shows that the model captures most of the dynamics in the exchange rate series. Thus, the use of the model to generate volatility in the study is justified.</w:t>
      </w:r>
      <w:r w:rsidRPr="00EA38DE">
        <w:t xml:space="preserve"> </w:t>
      </w:r>
    </w:p>
    <w:p w14:paraId="0CFAA164" w14:textId="77777777" w:rsidR="00164181" w:rsidRPr="00EA38DE" w:rsidRDefault="00164181" w:rsidP="009501B5">
      <w:pPr>
        <w:autoSpaceDE w:val="0"/>
        <w:autoSpaceDN w:val="0"/>
        <w:adjustRightInd w:val="0"/>
        <w:spacing w:line="480" w:lineRule="auto"/>
        <w:jc w:val="both"/>
        <w:rPr>
          <w:rFonts w:ascii="Times New Roman" w:hAnsi="Times New Roman" w:cs="Times New Roman"/>
          <w:b/>
          <w:bCs/>
          <w:sz w:val="24"/>
          <w:szCs w:val="24"/>
        </w:rPr>
      </w:pPr>
    </w:p>
    <w:p w14:paraId="50109B07" w14:textId="55BEEACF" w:rsidR="00BA4645" w:rsidRPr="00EA38DE" w:rsidRDefault="00BA4645" w:rsidP="00164181">
      <w:pPr>
        <w:autoSpaceDE w:val="0"/>
        <w:autoSpaceDN w:val="0"/>
        <w:adjustRightInd w:val="0"/>
        <w:spacing w:line="36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lastRenderedPageBreak/>
        <w:t>4.5</w:t>
      </w:r>
      <w:r w:rsidR="009501B5" w:rsidRPr="00EA38DE">
        <w:rPr>
          <w:rFonts w:ascii="Times New Roman" w:hAnsi="Times New Roman" w:cs="Times New Roman"/>
          <w:b/>
          <w:bCs/>
          <w:sz w:val="24"/>
          <w:szCs w:val="24"/>
        </w:rPr>
        <w:tab/>
      </w:r>
      <w:r w:rsidRPr="00EA38DE">
        <w:rPr>
          <w:rFonts w:ascii="Times New Roman" w:hAnsi="Times New Roman" w:cs="Times New Roman"/>
          <w:b/>
          <w:bCs/>
          <w:sz w:val="24"/>
          <w:szCs w:val="24"/>
        </w:rPr>
        <w:t>Analysis of the ARDL Results</w:t>
      </w:r>
    </w:p>
    <w:p w14:paraId="28183B9A" w14:textId="77777777" w:rsidR="00BA4645" w:rsidRPr="00EA38DE" w:rsidRDefault="00BA4645" w:rsidP="009501B5">
      <w:pPr>
        <w:autoSpaceDE w:val="0"/>
        <w:autoSpaceDN w:val="0"/>
        <w:adjustRightInd w:val="0"/>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the section the processes for the analysis of regression results are outlined. These involve initially estimation of the ARDL models for the study. The initial analysis involves the test for lag length for the ARDL estimates. </w:t>
      </w:r>
    </w:p>
    <w:p w14:paraId="2F3225BF" w14:textId="5A6F3AE8" w:rsidR="00BA4645" w:rsidRPr="00EA38DE" w:rsidRDefault="00BA4645" w:rsidP="00164181">
      <w:pPr>
        <w:autoSpaceDE w:val="0"/>
        <w:autoSpaceDN w:val="0"/>
        <w:adjustRightInd w:val="0"/>
        <w:spacing w:line="36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4.5</w:t>
      </w:r>
      <w:r w:rsidR="009501B5" w:rsidRPr="00EA38DE">
        <w:rPr>
          <w:rFonts w:ascii="Times New Roman" w:hAnsi="Times New Roman" w:cs="Times New Roman"/>
          <w:b/>
          <w:bCs/>
          <w:sz w:val="24"/>
          <w:szCs w:val="24"/>
        </w:rPr>
        <w:t>.1</w:t>
      </w:r>
      <w:r w:rsidR="009501B5" w:rsidRPr="00EA38DE">
        <w:rPr>
          <w:rFonts w:ascii="Times New Roman" w:hAnsi="Times New Roman" w:cs="Times New Roman"/>
          <w:b/>
          <w:bCs/>
          <w:sz w:val="24"/>
          <w:szCs w:val="24"/>
        </w:rPr>
        <w:tab/>
      </w:r>
      <w:r w:rsidRPr="00EA38DE">
        <w:rPr>
          <w:rFonts w:ascii="Times New Roman" w:hAnsi="Times New Roman" w:cs="Times New Roman"/>
          <w:b/>
          <w:bCs/>
          <w:sz w:val="24"/>
          <w:szCs w:val="24"/>
        </w:rPr>
        <w:t>Lag Length Selection</w:t>
      </w:r>
    </w:p>
    <w:p w14:paraId="31DED758" w14:textId="77777777" w:rsidR="00BA4645" w:rsidRPr="00EA38DE" w:rsidRDefault="00BA4645" w:rsidP="00164181">
      <w:pPr>
        <w:autoSpaceDE w:val="0"/>
        <w:autoSpaceDN w:val="0"/>
        <w:adjustRightInd w:val="0"/>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Generally, cointegration-based analyses (such as the ARDL) are susceptible to variations and instability on the basis of their lag structures. The lag-induced instability is more serious for autoregressive estimations that require dynamic interpretation (Greene, 2011). Hence, given that the collection of variables in the study is assumed to be cointegrated, the lag selection test is also performed to determine the maximum lag that can generate optimum values for the coefficients in the ARDL estimation. In the lag selection, optimality of the model was determined using both the Akaike Information Criterion (AIC) and Schwarz–Bayesian Criterion (SC). The optimum lag length is determined by considering the minimum AIC and SC values for each lag length, with those with the least selected values selected. The results shown in Table 4.6 indicates that the second lag is the optimal lag for the model with EXRTV, while the third lag is optimal for the other models. The estimations of the ARDL models are performed based on the selected optimal lags. </w:t>
      </w:r>
    </w:p>
    <w:p w14:paraId="4CF82555" w14:textId="77777777" w:rsidR="00BA4645" w:rsidRPr="00EA38DE" w:rsidRDefault="00BA4645" w:rsidP="00BA4645">
      <w:pPr>
        <w:autoSpaceDE w:val="0"/>
        <w:autoSpaceDN w:val="0"/>
        <w:adjustRightInd w:val="0"/>
        <w:spacing w:after="0"/>
        <w:jc w:val="both"/>
        <w:rPr>
          <w:rFonts w:ascii="Times New Roman" w:hAnsi="Times New Roman" w:cs="Times New Roman"/>
          <w:b/>
          <w:bCs/>
          <w:shd w:val="clear" w:color="auto" w:fill="FFFFFF"/>
        </w:rPr>
      </w:pPr>
      <w:r w:rsidRPr="00EA38DE">
        <w:rPr>
          <w:rFonts w:ascii="Times New Roman" w:hAnsi="Times New Roman" w:cs="Times New Roman"/>
          <w:b/>
          <w:sz w:val="20"/>
        </w:rPr>
        <w:t>Table 4.6: Lag Length Selection Criteria</w:t>
      </w:r>
    </w:p>
    <w:tbl>
      <w:tblPr>
        <w:tblW w:w="9348" w:type="dxa"/>
        <w:tblLook w:val="04A0" w:firstRow="1" w:lastRow="0" w:firstColumn="1" w:lastColumn="0" w:noHBand="0" w:noVBand="1"/>
      </w:tblPr>
      <w:tblGrid>
        <w:gridCol w:w="945"/>
        <w:gridCol w:w="969"/>
        <w:gridCol w:w="1253"/>
        <w:gridCol w:w="867"/>
        <w:gridCol w:w="1157"/>
        <w:gridCol w:w="820"/>
        <w:gridCol w:w="1187"/>
        <w:gridCol w:w="820"/>
        <w:gridCol w:w="1330"/>
      </w:tblGrid>
      <w:tr w:rsidR="00EA38DE" w:rsidRPr="00EA38DE" w14:paraId="2D597B6F" w14:textId="77777777" w:rsidTr="009501B5">
        <w:trPr>
          <w:trHeight w:val="297"/>
        </w:trPr>
        <w:tc>
          <w:tcPr>
            <w:tcW w:w="945" w:type="dxa"/>
            <w:vMerge w:val="restart"/>
            <w:tcBorders>
              <w:top w:val="single" w:sz="4" w:space="0" w:color="auto"/>
              <w:left w:val="nil"/>
              <w:bottom w:val="single" w:sz="8" w:space="0" w:color="000000"/>
              <w:right w:val="single" w:sz="8" w:space="0" w:color="auto"/>
            </w:tcBorders>
            <w:vAlign w:val="center"/>
            <w:hideMark/>
          </w:tcPr>
          <w:p w14:paraId="66BD09F7" w14:textId="77777777" w:rsidR="00BA4645" w:rsidRPr="00EA38DE" w:rsidRDefault="00BA4645" w:rsidP="009501B5">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No of Lags</w:t>
            </w:r>
          </w:p>
        </w:tc>
        <w:tc>
          <w:tcPr>
            <w:tcW w:w="2222" w:type="dxa"/>
            <w:gridSpan w:val="2"/>
            <w:tcBorders>
              <w:top w:val="single" w:sz="4" w:space="0" w:color="auto"/>
              <w:left w:val="nil"/>
              <w:bottom w:val="single" w:sz="4" w:space="0" w:color="auto"/>
              <w:right w:val="single" w:sz="4" w:space="0" w:color="auto"/>
            </w:tcBorders>
            <w:noWrap/>
            <w:vAlign w:val="center"/>
          </w:tcPr>
          <w:p w14:paraId="7D342BA2"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Model with EXRTV</w:t>
            </w:r>
          </w:p>
        </w:tc>
        <w:tc>
          <w:tcPr>
            <w:tcW w:w="2024" w:type="dxa"/>
            <w:gridSpan w:val="2"/>
            <w:tcBorders>
              <w:top w:val="single" w:sz="4" w:space="0" w:color="auto"/>
              <w:left w:val="single" w:sz="4" w:space="0" w:color="auto"/>
              <w:bottom w:val="single" w:sz="4" w:space="0" w:color="auto"/>
            </w:tcBorders>
            <w:noWrap/>
            <w:vAlign w:val="center"/>
          </w:tcPr>
          <w:p w14:paraId="557ADD10"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hAnsi="Times New Roman" w:cs="Times New Roman"/>
                <w:b/>
                <w:bCs/>
                <w:sz w:val="20"/>
                <w:szCs w:val="20"/>
              </w:rPr>
              <w:t>Model with FSH</w:t>
            </w:r>
          </w:p>
        </w:tc>
        <w:tc>
          <w:tcPr>
            <w:tcW w:w="2007" w:type="dxa"/>
            <w:gridSpan w:val="2"/>
            <w:tcBorders>
              <w:top w:val="single" w:sz="4" w:space="0" w:color="auto"/>
              <w:left w:val="single" w:sz="4" w:space="0" w:color="auto"/>
              <w:bottom w:val="single" w:sz="4" w:space="0" w:color="auto"/>
            </w:tcBorders>
          </w:tcPr>
          <w:p w14:paraId="657F885A" w14:textId="77777777" w:rsidR="00BA4645" w:rsidRPr="00EA38DE" w:rsidRDefault="00BA4645" w:rsidP="009501B5">
            <w:pPr>
              <w:spacing w:after="0" w:line="240" w:lineRule="auto"/>
              <w:jc w:val="center"/>
              <w:rPr>
                <w:rFonts w:ascii="Times New Roman" w:hAnsi="Times New Roman" w:cs="Times New Roman"/>
                <w:b/>
                <w:bCs/>
                <w:sz w:val="20"/>
                <w:szCs w:val="20"/>
              </w:rPr>
            </w:pPr>
            <w:r w:rsidRPr="00EA38DE">
              <w:rPr>
                <w:rFonts w:ascii="Times New Roman" w:hAnsi="Times New Roman" w:cs="Times New Roman"/>
                <w:b/>
                <w:bCs/>
                <w:sz w:val="20"/>
                <w:szCs w:val="20"/>
              </w:rPr>
              <w:t>Model with AQT</w:t>
            </w:r>
          </w:p>
        </w:tc>
        <w:tc>
          <w:tcPr>
            <w:tcW w:w="2150" w:type="dxa"/>
            <w:gridSpan w:val="2"/>
            <w:tcBorders>
              <w:top w:val="single" w:sz="4" w:space="0" w:color="auto"/>
              <w:left w:val="single" w:sz="4" w:space="0" w:color="auto"/>
              <w:bottom w:val="single" w:sz="4" w:space="0" w:color="auto"/>
            </w:tcBorders>
          </w:tcPr>
          <w:p w14:paraId="689EC0DB" w14:textId="77777777" w:rsidR="00BA4645" w:rsidRPr="00EA38DE" w:rsidRDefault="00BA4645" w:rsidP="009501B5">
            <w:pPr>
              <w:spacing w:after="0" w:line="240" w:lineRule="auto"/>
              <w:jc w:val="center"/>
              <w:rPr>
                <w:rFonts w:ascii="Times New Roman" w:hAnsi="Times New Roman" w:cs="Times New Roman"/>
                <w:b/>
                <w:bCs/>
                <w:sz w:val="20"/>
                <w:szCs w:val="20"/>
              </w:rPr>
            </w:pPr>
            <w:r w:rsidRPr="00EA38DE">
              <w:rPr>
                <w:rFonts w:ascii="Times New Roman" w:hAnsi="Times New Roman" w:cs="Times New Roman"/>
                <w:b/>
                <w:bCs/>
                <w:sz w:val="20"/>
                <w:szCs w:val="20"/>
              </w:rPr>
              <w:t>Model with DLNT</w:t>
            </w:r>
          </w:p>
        </w:tc>
      </w:tr>
      <w:tr w:rsidR="00EA38DE" w:rsidRPr="00EA38DE" w14:paraId="4E10A101" w14:textId="77777777" w:rsidTr="009501B5">
        <w:trPr>
          <w:trHeight w:val="325"/>
        </w:trPr>
        <w:tc>
          <w:tcPr>
            <w:tcW w:w="945" w:type="dxa"/>
            <w:vMerge/>
            <w:tcBorders>
              <w:top w:val="single" w:sz="8" w:space="0" w:color="auto"/>
              <w:left w:val="nil"/>
              <w:bottom w:val="single" w:sz="8" w:space="0" w:color="000000"/>
              <w:right w:val="single" w:sz="8" w:space="0" w:color="auto"/>
            </w:tcBorders>
            <w:vAlign w:val="center"/>
            <w:hideMark/>
          </w:tcPr>
          <w:p w14:paraId="5CE11E0D"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p>
        </w:tc>
        <w:tc>
          <w:tcPr>
            <w:tcW w:w="969" w:type="dxa"/>
            <w:tcBorders>
              <w:top w:val="single" w:sz="4" w:space="0" w:color="auto"/>
              <w:left w:val="nil"/>
              <w:bottom w:val="single" w:sz="8" w:space="0" w:color="auto"/>
              <w:right w:val="nil"/>
            </w:tcBorders>
            <w:vAlign w:val="center"/>
            <w:hideMark/>
          </w:tcPr>
          <w:p w14:paraId="434AB290"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AIC</w:t>
            </w:r>
          </w:p>
        </w:tc>
        <w:tc>
          <w:tcPr>
            <w:tcW w:w="1253" w:type="dxa"/>
            <w:tcBorders>
              <w:top w:val="single" w:sz="4" w:space="0" w:color="auto"/>
              <w:left w:val="nil"/>
              <w:bottom w:val="single" w:sz="8" w:space="0" w:color="auto"/>
              <w:right w:val="single" w:sz="4" w:space="0" w:color="auto"/>
            </w:tcBorders>
            <w:vAlign w:val="center"/>
            <w:hideMark/>
          </w:tcPr>
          <w:p w14:paraId="23B10FFD"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SC</w:t>
            </w:r>
          </w:p>
        </w:tc>
        <w:tc>
          <w:tcPr>
            <w:tcW w:w="867" w:type="dxa"/>
            <w:tcBorders>
              <w:top w:val="single" w:sz="4" w:space="0" w:color="auto"/>
              <w:left w:val="single" w:sz="4" w:space="0" w:color="auto"/>
              <w:bottom w:val="single" w:sz="8" w:space="0" w:color="auto"/>
              <w:right w:val="nil"/>
            </w:tcBorders>
            <w:vAlign w:val="center"/>
            <w:hideMark/>
          </w:tcPr>
          <w:p w14:paraId="5ABF0FEF"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AIC</w:t>
            </w:r>
          </w:p>
        </w:tc>
        <w:tc>
          <w:tcPr>
            <w:tcW w:w="1157" w:type="dxa"/>
            <w:tcBorders>
              <w:top w:val="single" w:sz="4" w:space="0" w:color="auto"/>
              <w:left w:val="nil"/>
              <w:bottom w:val="single" w:sz="8" w:space="0" w:color="auto"/>
              <w:right w:val="single" w:sz="4" w:space="0" w:color="auto"/>
            </w:tcBorders>
            <w:vAlign w:val="center"/>
            <w:hideMark/>
          </w:tcPr>
          <w:p w14:paraId="6ED33869"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SC</w:t>
            </w:r>
          </w:p>
        </w:tc>
        <w:tc>
          <w:tcPr>
            <w:tcW w:w="820" w:type="dxa"/>
            <w:tcBorders>
              <w:top w:val="single" w:sz="4" w:space="0" w:color="auto"/>
              <w:left w:val="single" w:sz="4" w:space="0" w:color="auto"/>
              <w:bottom w:val="single" w:sz="8" w:space="0" w:color="auto"/>
            </w:tcBorders>
            <w:vAlign w:val="center"/>
          </w:tcPr>
          <w:p w14:paraId="38280643"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AIC</w:t>
            </w:r>
          </w:p>
        </w:tc>
        <w:tc>
          <w:tcPr>
            <w:tcW w:w="1187" w:type="dxa"/>
            <w:tcBorders>
              <w:top w:val="single" w:sz="4" w:space="0" w:color="auto"/>
              <w:left w:val="nil"/>
              <w:bottom w:val="single" w:sz="8" w:space="0" w:color="auto"/>
              <w:right w:val="single" w:sz="4" w:space="0" w:color="auto"/>
            </w:tcBorders>
            <w:vAlign w:val="center"/>
          </w:tcPr>
          <w:p w14:paraId="72850464"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SC</w:t>
            </w:r>
          </w:p>
        </w:tc>
        <w:tc>
          <w:tcPr>
            <w:tcW w:w="820" w:type="dxa"/>
            <w:tcBorders>
              <w:top w:val="single" w:sz="4" w:space="0" w:color="auto"/>
              <w:left w:val="single" w:sz="4" w:space="0" w:color="auto"/>
              <w:bottom w:val="single" w:sz="8" w:space="0" w:color="auto"/>
            </w:tcBorders>
            <w:vAlign w:val="center"/>
          </w:tcPr>
          <w:p w14:paraId="7406582D"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AIC</w:t>
            </w:r>
          </w:p>
        </w:tc>
        <w:tc>
          <w:tcPr>
            <w:tcW w:w="1330" w:type="dxa"/>
            <w:tcBorders>
              <w:top w:val="single" w:sz="4" w:space="0" w:color="auto"/>
              <w:left w:val="nil"/>
              <w:bottom w:val="single" w:sz="8" w:space="0" w:color="auto"/>
            </w:tcBorders>
            <w:vAlign w:val="center"/>
          </w:tcPr>
          <w:p w14:paraId="3271AD43" w14:textId="77777777" w:rsidR="00BA4645" w:rsidRPr="00EA38DE" w:rsidRDefault="00BA4645" w:rsidP="009501B5">
            <w:pPr>
              <w:spacing w:after="0" w:line="240" w:lineRule="auto"/>
              <w:jc w:val="center"/>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SC</w:t>
            </w:r>
          </w:p>
        </w:tc>
      </w:tr>
      <w:tr w:rsidR="00EA38DE" w:rsidRPr="00EA38DE" w14:paraId="32087F65" w14:textId="77777777" w:rsidTr="009501B5">
        <w:trPr>
          <w:trHeight w:val="403"/>
        </w:trPr>
        <w:tc>
          <w:tcPr>
            <w:tcW w:w="945" w:type="dxa"/>
            <w:tcBorders>
              <w:top w:val="nil"/>
              <w:left w:val="nil"/>
              <w:bottom w:val="nil"/>
              <w:right w:val="single" w:sz="8" w:space="0" w:color="auto"/>
            </w:tcBorders>
            <w:vAlign w:val="center"/>
            <w:hideMark/>
          </w:tcPr>
          <w:p w14:paraId="6EFD900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w:t>
            </w:r>
          </w:p>
        </w:tc>
        <w:tc>
          <w:tcPr>
            <w:tcW w:w="969" w:type="dxa"/>
            <w:tcBorders>
              <w:top w:val="nil"/>
              <w:left w:val="nil"/>
              <w:bottom w:val="nil"/>
              <w:right w:val="nil"/>
            </w:tcBorders>
            <w:vAlign w:val="center"/>
            <w:hideMark/>
          </w:tcPr>
          <w:p w14:paraId="108A851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2.803</w:t>
            </w:r>
          </w:p>
        </w:tc>
        <w:tc>
          <w:tcPr>
            <w:tcW w:w="1253" w:type="dxa"/>
            <w:tcBorders>
              <w:top w:val="nil"/>
              <w:left w:val="nil"/>
              <w:bottom w:val="nil"/>
              <w:right w:val="single" w:sz="4" w:space="0" w:color="auto"/>
            </w:tcBorders>
            <w:vAlign w:val="center"/>
            <w:hideMark/>
          </w:tcPr>
          <w:p w14:paraId="2D21115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2.063</w:t>
            </w:r>
          </w:p>
        </w:tc>
        <w:tc>
          <w:tcPr>
            <w:tcW w:w="867" w:type="dxa"/>
            <w:tcBorders>
              <w:top w:val="nil"/>
              <w:left w:val="single" w:sz="4" w:space="0" w:color="auto"/>
              <w:bottom w:val="nil"/>
              <w:right w:val="nil"/>
            </w:tcBorders>
            <w:vAlign w:val="center"/>
          </w:tcPr>
          <w:p w14:paraId="68A2D0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2.741</w:t>
            </w:r>
          </w:p>
        </w:tc>
        <w:tc>
          <w:tcPr>
            <w:tcW w:w="1157" w:type="dxa"/>
            <w:tcBorders>
              <w:top w:val="nil"/>
              <w:left w:val="nil"/>
              <w:bottom w:val="nil"/>
              <w:right w:val="single" w:sz="4" w:space="0" w:color="auto"/>
            </w:tcBorders>
            <w:vAlign w:val="center"/>
          </w:tcPr>
          <w:p w14:paraId="492105A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3.008</w:t>
            </w:r>
          </w:p>
        </w:tc>
        <w:tc>
          <w:tcPr>
            <w:tcW w:w="820" w:type="dxa"/>
            <w:tcBorders>
              <w:top w:val="nil"/>
              <w:left w:val="single" w:sz="4" w:space="0" w:color="auto"/>
              <w:bottom w:val="nil"/>
            </w:tcBorders>
            <w:vAlign w:val="center"/>
          </w:tcPr>
          <w:p w14:paraId="12E2F7DE"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2.165</w:t>
            </w:r>
          </w:p>
        </w:tc>
        <w:tc>
          <w:tcPr>
            <w:tcW w:w="1187" w:type="dxa"/>
            <w:tcBorders>
              <w:top w:val="nil"/>
              <w:left w:val="nil"/>
              <w:bottom w:val="nil"/>
              <w:right w:val="single" w:sz="4" w:space="0" w:color="auto"/>
            </w:tcBorders>
            <w:vAlign w:val="center"/>
          </w:tcPr>
          <w:p w14:paraId="284BC077"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2.376</w:t>
            </w:r>
          </w:p>
        </w:tc>
        <w:tc>
          <w:tcPr>
            <w:tcW w:w="820" w:type="dxa"/>
            <w:tcBorders>
              <w:top w:val="nil"/>
              <w:left w:val="single" w:sz="4" w:space="0" w:color="auto"/>
              <w:bottom w:val="nil"/>
            </w:tcBorders>
            <w:vAlign w:val="center"/>
          </w:tcPr>
          <w:p w14:paraId="7D234D46"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5.455</w:t>
            </w:r>
          </w:p>
        </w:tc>
        <w:tc>
          <w:tcPr>
            <w:tcW w:w="1330" w:type="dxa"/>
            <w:tcBorders>
              <w:top w:val="nil"/>
              <w:left w:val="nil"/>
              <w:bottom w:val="nil"/>
            </w:tcBorders>
            <w:vAlign w:val="center"/>
          </w:tcPr>
          <w:p w14:paraId="4E587189"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5.986</w:t>
            </w:r>
          </w:p>
        </w:tc>
      </w:tr>
      <w:tr w:rsidR="00EA38DE" w:rsidRPr="00EA38DE" w14:paraId="6DE64CEF" w14:textId="77777777" w:rsidTr="009501B5">
        <w:trPr>
          <w:trHeight w:val="403"/>
        </w:trPr>
        <w:tc>
          <w:tcPr>
            <w:tcW w:w="945" w:type="dxa"/>
            <w:tcBorders>
              <w:top w:val="nil"/>
              <w:left w:val="nil"/>
              <w:bottom w:val="nil"/>
              <w:right w:val="single" w:sz="8" w:space="0" w:color="auto"/>
            </w:tcBorders>
            <w:vAlign w:val="center"/>
            <w:hideMark/>
          </w:tcPr>
          <w:p w14:paraId="0B0C0B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w:t>
            </w:r>
          </w:p>
        </w:tc>
        <w:tc>
          <w:tcPr>
            <w:tcW w:w="969" w:type="dxa"/>
            <w:tcBorders>
              <w:top w:val="nil"/>
              <w:left w:val="nil"/>
              <w:bottom w:val="nil"/>
              <w:right w:val="nil"/>
            </w:tcBorders>
            <w:vAlign w:val="center"/>
            <w:hideMark/>
          </w:tcPr>
          <w:p w14:paraId="681D38D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1.943</w:t>
            </w:r>
          </w:p>
        </w:tc>
        <w:tc>
          <w:tcPr>
            <w:tcW w:w="1253" w:type="dxa"/>
            <w:tcBorders>
              <w:top w:val="nil"/>
              <w:left w:val="nil"/>
              <w:bottom w:val="nil"/>
              <w:right w:val="single" w:sz="4" w:space="0" w:color="auto"/>
            </w:tcBorders>
            <w:vAlign w:val="center"/>
            <w:hideMark/>
          </w:tcPr>
          <w:p w14:paraId="441B721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1.228</w:t>
            </w:r>
          </w:p>
        </w:tc>
        <w:tc>
          <w:tcPr>
            <w:tcW w:w="867" w:type="dxa"/>
            <w:tcBorders>
              <w:top w:val="nil"/>
              <w:left w:val="single" w:sz="4" w:space="0" w:color="auto"/>
              <w:bottom w:val="nil"/>
              <w:right w:val="nil"/>
            </w:tcBorders>
            <w:vAlign w:val="center"/>
          </w:tcPr>
          <w:p w14:paraId="6BF3D2B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2.419</w:t>
            </w:r>
          </w:p>
        </w:tc>
        <w:tc>
          <w:tcPr>
            <w:tcW w:w="1157" w:type="dxa"/>
            <w:tcBorders>
              <w:top w:val="nil"/>
              <w:left w:val="nil"/>
              <w:bottom w:val="nil"/>
              <w:right w:val="single" w:sz="4" w:space="0" w:color="auto"/>
            </w:tcBorders>
            <w:vAlign w:val="center"/>
          </w:tcPr>
          <w:p w14:paraId="03E7767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2.129</w:t>
            </w:r>
          </w:p>
        </w:tc>
        <w:tc>
          <w:tcPr>
            <w:tcW w:w="820" w:type="dxa"/>
            <w:tcBorders>
              <w:top w:val="nil"/>
              <w:left w:val="single" w:sz="4" w:space="0" w:color="auto"/>
              <w:bottom w:val="nil"/>
            </w:tcBorders>
            <w:vAlign w:val="center"/>
          </w:tcPr>
          <w:p w14:paraId="61B8B83A"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1.911</w:t>
            </w:r>
          </w:p>
        </w:tc>
        <w:tc>
          <w:tcPr>
            <w:tcW w:w="1187" w:type="dxa"/>
            <w:tcBorders>
              <w:top w:val="nil"/>
              <w:left w:val="nil"/>
              <w:bottom w:val="nil"/>
              <w:right w:val="single" w:sz="4" w:space="0" w:color="auto"/>
            </w:tcBorders>
            <w:vAlign w:val="center"/>
          </w:tcPr>
          <w:p w14:paraId="068072B9"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1.682</w:t>
            </w:r>
          </w:p>
        </w:tc>
        <w:tc>
          <w:tcPr>
            <w:tcW w:w="820" w:type="dxa"/>
            <w:tcBorders>
              <w:top w:val="nil"/>
              <w:left w:val="single" w:sz="4" w:space="0" w:color="auto"/>
              <w:bottom w:val="nil"/>
            </w:tcBorders>
            <w:vAlign w:val="center"/>
          </w:tcPr>
          <w:p w14:paraId="08BDDB08"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4.814</w:t>
            </w:r>
          </w:p>
        </w:tc>
        <w:tc>
          <w:tcPr>
            <w:tcW w:w="1330" w:type="dxa"/>
            <w:tcBorders>
              <w:top w:val="nil"/>
              <w:left w:val="nil"/>
              <w:bottom w:val="nil"/>
            </w:tcBorders>
            <w:vAlign w:val="center"/>
          </w:tcPr>
          <w:p w14:paraId="768881BE"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4.237</w:t>
            </w:r>
          </w:p>
        </w:tc>
      </w:tr>
      <w:tr w:rsidR="00EA38DE" w:rsidRPr="00EA38DE" w14:paraId="7BBF4C22" w14:textId="77777777" w:rsidTr="009501B5">
        <w:trPr>
          <w:trHeight w:val="425"/>
        </w:trPr>
        <w:tc>
          <w:tcPr>
            <w:tcW w:w="945" w:type="dxa"/>
            <w:tcBorders>
              <w:top w:val="nil"/>
              <w:left w:val="nil"/>
              <w:bottom w:val="nil"/>
              <w:right w:val="single" w:sz="8" w:space="0" w:color="auto"/>
            </w:tcBorders>
            <w:vAlign w:val="center"/>
            <w:hideMark/>
          </w:tcPr>
          <w:p w14:paraId="372250D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w:t>
            </w:r>
          </w:p>
        </w:tc>
        <w:tc>
          <w:tcPr>
            <w:tcW w:w="969" w:type="dxa"/>
            <w:tcBorders>
              <w:top w:val="nil"/>
              <w:left w:val="nil"/>
              <w:bottom w:val="nil"/>
              <w:right w:val="nil"/>
            </w:tcBorders>
            <w:vAlign w:val="center"/>
            <w:hideMark/>
          </w:tcPr>
          <w:p w14:paraId="3A84A7E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1.764*</w:t>
            </w:r>
          </w:p>
        </w:tc>
        <w:tc>
          <w:tcPr>
            <w:tcW w:w="1253" w:type="dxa"/>
            <w:tcBorders>
              <w:top w:val="nil"/>
              <w:left w:val="nil"/>
              <w:bottom w:val="nil"/>
              <w:right w:val="single" w:sz="4" w:space="0" w:color="auto"/>
            </w:tcBorders>
            <w:vAlign w:val="center"/>
            <w:hideMark/>
          </w:tcPr>
          <w:p w14:paraId="0E2AAB5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-2.184*</w:t>
            </w:r>
          </w:p>
        </w:tc>
        <w:tc>
          <w:tcPr>
            <w:tcW w:w="867" w:type="dxa"/>
            <w:tcBorders>
              <w:top w:val="nil"/>
              <w:left w:val="single" w:sz="4" w:space="0" w:color="auto"/>
              <w:bottom w:val="nil"/>
              <w:right w:val="nil"/>
            </w:tcBorders>
            <w:vAlign w:val="center"/>
          </w:tcPr>
          <w:p w14:paraId="15FC726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2.262</w:t>
            </w:r>
          </w:p>
        </w:tc>
        <w:tc>
          <w:tcPr>
            <w:tcW w:w="1157" w:type="dxa"/>
            <w:tcBorders>
              <w:top w:val="nil"/>
              <w:left w:val="nil"/>
              <w:bottom w:val="nil"/>
              <w:right w:val="single" w:sz="4" w:space="0" w:color="auto"/>
            </w:tcBorders>
            <w:vAlign w:val="center"/>
          </w:tcPr>
          <w:p w14:paraId="10BD1FE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2.407</w:t>
            </w:r>
          </w:p>
        </w:tc>
        <w:tc>
          <w:tcPr>
            <w:tcW w:w="820" w:type="dxa"/>
            <w:tcBorders>
              <w:top w:val="nil"/>
              <w:left w:val="single" w:sz="4" w:space="0" w:color="auto"/>
              <w:bottom w:val="nil"/>
            </w:tcBorders>
            <w:vAlign w:val="center"/>
          </w:tcPr>
          <w:p w14:paraId="427C9B08"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1.787</w:t>
            </w:r>
          </w:p>
        </w:tc>
        <w:tc>
          <w:tcPr>
            <w:tcW w:w="1187" w:type="dxa"/>
            <w:tcBorders>
              <w:top w:val="nil"/>
              <w:left w:val="nil"/>
              <w:bottom w:val="nil"/>
              <w:right w:val="single" w:sz="4" w:space="0" w:color="auto"/>
            </w:tcBorders>
            <w:vAlign w:val="center"/>
          </w:tcPr>
          <w:p w14:paraId="415466C3"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1.902</w:t>
            </w:r>
          </w:p>
        </w:tc>
        <w:tc>
          <w:tcPr>
            <w:tcW w:w="820" w:type="dxa"/>
            <w:tcBorders>
              <w:top w:val="nil"/>
              <w:left w:val="single" w:sz="4" w:space="0" w:color="auto"/>
              <w:bottom w:val="nil"/>
            </w:tcBorders>
            <w:vAlign w:val="center"/>
          </w:tcPr>
          <w:p w14:paraId="5DF70D0C"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4.501</w:t>
            </w:r>
          </w:p>
        </w:tc>
        <w:tc>
          <w:tcPr>
            <w:tcW w:w="1330" w:type="dxa"/>
            <w:tcBorders>
              <w:top w:val="nil"/>
              <w:left w:val="nil"/>
              <w:bottom w:val="nil"/>
            </w:tcBorders>
            <w:vAlign w:val="center"/>
          </w:tcPr>
          <w:p w14:paraId="69BC66C4"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4.790</w:t>
            </w:r>
          </w:p>
        </w:tc>
      </w:tr>
      <w:tr w:rsidR="00EA38DE" w:rsidRPr="00EA38DE" w14:paraId="1F7BFC49" w14:textId="77777777" w:rsidTr="009501B5">
        <w:trPr>
          <w:trHeight w:val="425"/>
        </w:trPr>
        <w:tc>
          <w:tcPr>
            <w:tcW w:w="945" w:type="dxa"/>
            <w:tcBorders>
              <w:top w:val="nil"/>
              <w:left w:val="nil"/>
              <w:right w:val="single" w:sz="8" w:space="0" w:color="auto"/>
            </w:tcBorders>
            <w:vAlign w:val="center"/>
          </w:tcPr>
          <w:p w14:paraId="74D8B9D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w:t>
            </w:r>
          </w:p>
        </w:tc>
        <w:tc>
          <w:tcPr>
            <w:tcW w:w="969" w:type="dxa"/>
            <w:tcBorders>
              <w:top w:val="nil"/>
              <w:left w:val="nil"/>
              <w:right w:val="nil"/>
            </w:tcBorders>
            <w:vAlign w:val="center"/>
          </w:tcPr>
          <w:p w14:paraId="395F943A"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1.983</w:t>
            </w:r>
          </w:p>
        </w:tc>
        <w:tc>
          <w:tcPr>
            <w:tcW w:w="1253" w:type="dxa"/>
            <w:tcBorders>
              <w:top w:val="nil"/>
              <w:left w:val="nil"/>
              <w:right w:val="single" w:sz="4" w:space="0" w:color="auto"/>
            </w:tcBorders>
            <w:vAlign w:val="center"/>
          </w:tcPr>
          <w:p w14:paraId="22C6446C"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-1.939</w:t>
            </w:r>
          </w:p>
        </w:tc>
        <w:tc>
          <w:tcPr>
            <w:tcW w:w="867" w:type="dxa"/>
            <w:tcBorders>
              <w:top w:val="nil"/>
              <w:left w:val="single" w:sz="4" w:space="0" w:color="auto"/>
              <w:right w:val="nil"/>
            </w:tcBorders>
            <w:vAlign w:val="center"/>
          </w:tcPr>
          <w:p w14:paraId="2B3BA46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1.440*</w:t>
            </w:r>
          </w:p>
        </w:tc>
        <w:tc>
          <w:tcPr>
            <w:tcW w:w="1157" w:type="dxa"/>
            <w:tcBorders>
              <w:top w:val="nil"/>
              <w:left w:val="nil"/>
              <w:right w:val="single" w:sz="4" w:space="0" w:color="auto"/>
            </w:tcBorders>
            <w:vAlign w:val="center"/>
          </w:tcPr>
          <w:p w14:paraId="2A1F9E2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1.847*</w:t>
            </w:r>
          </w:p>
        </w:tc>
        <w:tc>
          <w:tcPr>
            <w:tcW w:w="820" w:type="dxa"/>
            <w:tcBorders>
              <w:top w:val="nil"/>
              <w:left w:val="single" w:sz="4" w:space="0" w:color="auto"/>
            </w:tcBorders>
            <w:vAlign w:val="center"/>
          </w:tcPr>
          <w:p w14:paraId="1A01F1C4"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1.031*</w:t>
            </w:r>
          </w:p>
        </w:tc>
        <w:tc>
          <w:tcPr>
            <w:tcW w:w="1187" w:type="dxa"/>
            <w:tcBorders>
              <w:top w:val="nil"/>
              <w:left w:val="nil"/>
              <w:right w:val="single" w:sz="4" w:space="0" w:color="auto"/>
            </w:tcBorders>
            <w:vAlign w:val="center"/>
          </w:tcPr>
          <w:p w14:paraId="57A4B243"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0.973*</w:t>
            </w:r>
          </w:p>
        </w:tc>
        <w:tc>
          <w:tcPr>
            <w:tcW w:w="820" w:type="dxa"/>
            <w:tcBorders>
              <w:top w:val="nil"/>
              <w:left w:val="single" w:sz="4" w:space="0" w:color="auto"/>
            </w:tcBorders>
            <w:vAlign w:val="center"/>
          </w:tcPr>
          <w:p w14:paraId="645787CF"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2.866*</w:t>
            </w:r>
          </w:p>
        </w:tc>
        <w:tc>
          <w:tcPr>
            <w:tcW w:w="1330" w:type="dxa"/>
            <w:tcBorders>
              <w:top w:val="nil"/>
              <w:left w:val="nil"/>
            </w:tcBorders>
            <w:vAlign w:val="center"/>
          </w:tcPr>
          <w:p w14:paraId="0D01F761"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2.137*</w:t>
            </w:r>
          </w:p>
        </w:tc>
      </w:tr>
      <w:tr w:rsidR="00EA38DE" w:rsidRPr="00EA38DE" w14:paraId="45A22931" w14:textId="77777777" w:rsidTr="009501B5">
        <w:trPr>
          <w:trHeight w:val="425"/>
        </w:trPr>
        <w:tc>
          <w:tcPr>
            <w:tcW w:w="945" w:type="dxa"/>
            <w:tcBorders>
              <w:top w:val="nil"/>
              <w:left w:val="nil"/>
              <w:bottom w:val="single" w:sz="4" w:space="0" w:color="auto"/>
              <w:right w:val="single" w:sz="8" w:space="0" w:color="auto"/>
            </w:tcBorders>
            <w:vAlign w:val="center"/>
          </w:tcPr>
          <w:p w14:paraId="728A514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w:t>
            </w:r>
          </w:p>
        </w:tc>
        <w:tc>
          <w:tcPr>
            <w:tcW w:w="969" w:type="dxa"/>
            <w:tcBorders>
              <w:top w:val="nil"/>
              <w:left w:val="nil"/>
              <w:bottom w:val="single" w:sz="4" w:space="0" w:color="auto"/>
              <w:right w:val="nil"/>
            </w:tcBorders>
            <w:vAlign w:val="center"/>
          </w:tcPr>
          <w:p w14:paraId="3F5C61E3"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2.187</w:t>
            </w:r>
          </w:p>
        </w:tc>
        <w:tc>
          <w:tcPr>
            <w:tcW w:w="1253" w:type="dxa"/>
            <w:tcBorders>
              <w:top w:val="nil"/>
              <w:left w:val="nil"/>
              <w:bottom w:val="single" w:sz="4" w:space="0" w:color="auto"/>
              <w:right w:val="single" w:sz="4" w:space="0" w:color="auto"/>
            </w:tcBorders>
            <w:vAlign w:val="center"/>
          </w:tcPr>
          <w:p w14:paraId="562426B1"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-1.823</w:t>
            </w:r>
          </w:p>
        </w:tc>
        <w:tc>
          <w:tcPr>
            <w:tcW w:w="867" w:type="dxa"/>
            <w:tcBorders>
              <w:top w:val="nil"/>
              <w:left w:val="single" w:sz="4" w:space="0" w:color="auto"/>
              <w:bottom w:val="single" w:sz="4" w:space="0" w:color="auto"/>
              <w:right w:val="nil"/>
            </w:tcBorders>
            <w:vAlign w:val="center"/>
          </w:tcPr>
          <w:p w14:paraId="43ED3D5A"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1.788</w:t>
            </w:r>
          </w:p>
        </w:tc>
        <w:tc>
          <w:tcPr>
            <w:tcW w:w="1157" w:type="dxa"/>
            <w:tcBorders>
              <w:top w:val="nil"/>
              <w:left w:val="nil"/>
              <w:bottom w:val="single" w:sz="4" w:space="0" w:color="auto"/>
              <w:right w:val="single" w:sz="4" w:space="0" w:color="auto"/>
            </w:tcBorders>
            <w:vAlign w:val="center"/>
          </w:tcPr>
          <w:p w14:paraId="7F57727E"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2.002</w:t>
            </w:r>
          </w:p>
        </w:tc>
        <w:tc>
          <w:tcPr>
            <w:tcW w:w="820" w:type="dxa"/>
            <w:tcBorders>
              <w:top w:val="nil"/>
              <w:left w:val="single" w:sz="4" w:space="0" w:color="auto"/>
              <w:bottom w:val="single" w:sz="4" w:space="0" w:color="auto"/>
            </w:tcBorders>
            <w:vAlign w:val="center"/>
          </w:tcPr>
          <w:p w14:paraId="58D052F1"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1.413</w:t>
            </w:r>
          </w:p>
        </w:tc>
        <w:tc>
          <w:tcPr>
            <w:tcW w:w="1187" w:type="dxa"/>
            <w:tcBorders>
              <w:top w:val="nil"/>
              <w:left w:val="nil"/>
              <w:bottom w:val="single" w:sz="4" w:space="0" w:color="auto"/>
              <w:right w:val="single" w:sz="4" w:space="0" w:color="auto"/>
            </w:tcBorders>
            <w:vAlign w:val="center"/>
          </w:tcPr>
          <w:p w14:paraId="4B0ADB77"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1.582</w:t>
            </w:r>
          </w:p>
        </w:tc>
        <w:tc>
          <w:tcPr>
            <w:tcW w:w="820" w:type="dxa"/>
            <w:tcBorders>
              <w:top w:val="nil"/>
              <w:left w:val="single" w:sz="4" w:space="0" w:color="auto"/>
              <w:bottom w:val="single" w:sz="4" w:space="0" w:color="auto"/>
            </w:tcBorders>
            <w:vAlign w:val="center"/>
          </w:tcPr>
          <w:p w14:paraId="7A923DFE"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3.558</w:t>
            </w:r>
          </w:p>
        </w:tc>
        <w:tc>
          <w:tcPr>
            <w:tcW w:w="1330" w:type="dxa"/>
            <w:tcBorders>
              <w:top w:val="nil"/>
              <w:left w:val="nil"/>
              <w:bottom w:val="single" w:sz="4" w:space="0" w:color="auto"/>
            </w:tcBorders>
            <w:vAlign w:val="center"/>
          </w:tcPr>
          <w:p w14:paraId="57612A57"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3.984</w:t>
            </w:r>
          </w:p>
        </w:tc>
      </w:tr>
    </w:tbl>
    <w:p w14:paraId="7913119E" w14:textId="75C2A7DA" w:rsidR="00BA4645" w:rsidRPr="00EA38DE" w:rsidRDefault="00D350C6" w:rsidP="009501B5">
      <w:pPr>
        <w:spacing w:line="480" w:lineRule="auto"/>
      </w:pPr>
      <w:r w:rsidRPr="00EA38DE">
        <w:rPr>
          <w:rFonts w:ascii="Times New Roman" w:hAnsi="Times New Roman" w:cs="Times New Roman"/>
          <w:sz w:val="18"/>
          <w:szCs w:val="18"/>
        </w:rPr>
        <w:t xml:space="preserve">          </w:t>
      </w:r>
      <w:r w:rsidR="00BA4645" w:rsidRPr="00EA38DE">
        <w:rPr>
          <w:rFonts w:ascii="Times New Roman" w:hAnsi="Times New Roman" w:cs="Times New Roman"/>
          <w:sz w:val="18"/>
          <w:szCs w:val="18"/>
        </w:rPr>
        <w:t>Source: Author’s computation using Eview 13.</w:t>
      </w:r>
    </w:p>
    <w:p w14:paraId="3976B10A" w14:textId="2C87BFBA" w:rsidR="00BA4645" w:rsidRPr="00EA38DE" w:rsidRDefault="00BA4645" w:rsidP="009501B5">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lastRenderedPageBreak/>
        <w:t>4.</w:t>
      </w:r>
      <w:r w:rsidR="009B5F6F" w:rsidRPr="00EA38DE">
        <w:rPr>
          <w:rFonts w:ascii="Times New Roman" w:hAnsi="Times New Roman" w:cs="Times New Roman"/>
          <w:b/>
          <w:bCs/>
          <w:sz w:val="24"/>
          <w:szCs w:val="24"/>
        </w:rPr>
        <w:t>5.2</w:t>
      </w:r>
      <w:r w:rsidR="009501B5" w:rsidRPr="00EA38DE">
        <w:rPr>
          <w:rFonts w:ascii="Times New Roman" w:hAnsi="Times New Roman" w:cs="Times New Roman"/>
          <w:b/>
          <w:bCs/>
          <w:sz w:val="24"/>
          <w:szCs w:val="24"/>
        </w:rPr>
        <w:tab/>
      </w:r>
      <w:r w:rsidRPr="00EA38DE">
        <w:rPr>
          <w:rFonts w:ascii="Times New Roman" w:hAnsi="Times New Roman" w:cs="Times New Roman"/>
          <w:b/>
          <w:bCs/>
          <w:sz w:val="24"/>
          <w:szCs w:val="24"/>
        </w:rPr>
        <w:t>Regression Analysis (ARDL Results)</w:t>
      </w:r>
    </w:p>
    <w:p w14:paraId="1972AF2B" w14:textId="046B285C" w:rsidR="00BA4645" w:rsidRPr="00EA38DE" w:rsidRDefault="00BA4645" w:rsidP="009501B5">
      <w:pPr>
        <w:tabs>
          <w:tab w:val="num" w:pos="720"/>
        </w:tabs>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In this section, the models that were specified in the previous Chapter are estimated and the results are reported and analysed. As stated earlier, the Autoregressive Distributed Lag (ARDL) estimation framework was used in the empirical model determination. This modeling procedure therefore estimates both short-run dynamics and long-run equilibrium relationships between the social welfare variables on the one hand, and the public sector budget deficit indicators. The results of the estimation of the effects of exchange rate volatility on the shipping industry financial performance (measured as container throughput, shipping cost, and port revenue) are presented in Table 4.7. The models are well-specified since they</w:t>
      </w:r>
      <w:r w:rsidR="009501B5" w:rsidRPr="00EA38DE">
        <w:rPr>
          <w:rFonts w:ascii="Times New Roman" w:hAnsi="Times New Roman" w:cs="Times New Roman"/>
          <w:sz w:val="24"/>
          <w:szCs w:val="24"/>
        </w:rPr>
        <w:t xml:space="preserve"> </w:t>
      </w:r>
      <w:r w:rsidRPr="00EA38DE">
        <w:rPr>
          <w:rFonts w:ascii="Times New Roman" w:hAnsi="Times New Roman" w:cs="Times New Roman"/>
          <w:sz w:val="24"/>
          <w:szCs w:val="24"/>
        </w:rPr>
        <w:t xml:space="preserve">all exhibit impressive diagnostic indicators. The adjusted R-squared values for the three equation estimates range from 0.474 to 0.494. This indicates that about 47-49% of the variation in the shipping industry performance indicators is explained by the regressors. The Durbin-Watson statistics (around 2) suggest no significant autocorrelation in the residuals, supporting the reliability of the inferences. </w:t>
      </w:r>
    </w:p>
    <w:p w14:paraId="5FB6B2A0" w14:textId="52A3FB5D" w:rsidR="00BA4645" w:rsidRPr="00EA38DE" w:rsidRDefault="00F72D9A" w:rsidP="00164181">
      <w:pPr>
        <w:spacing w:after="0" w:line="240" w:lineRule="auto"/>
        <w:rPr>
          <w:rFonts w:ascii="Times New Roman" w:hAnsi="Times New Roman" w:cs="Times New Roman"/>
          <w:b/>
          <w:bCs/>
          <w:sz w:val="20"/>
          <w:szCs w:val="20"/>
        </w:rPr>
      </w:pPr>
      <w:r w:rsidRPr="00EA38DE">
        <w:rPr>
          <w:rFonts w:ascii="Times New Roman" w:hAnsi="Times New Roman" w:cs="Times New Roman"/>
          <w:b/>
          <w:bCs/>
          <w:sz w:val="20"/>
          <w:szCs w:val="20"/>
        </w:rPr>
        <w:t xml:space="preserve">Table 4.7: </w:t>
      </w:r>
      <w:r w:rsidR="00BA4645" w:rsidRPr="00EA38DE">
        <w:rPr>
          <w:rFonts w:ascii="Times New Roman" w:hAnsi="Times New Roman" w:cs="Times New Roman"/>
          <w:b/>
          <w:bCs/>
          <w:sz w:val="20"/>
          <w:szCs w:val="20"/>
        </w:rPr>
        <w:t xml:space="preserve">Results for Exchange Rate Volatility and Shipping Industry Financial Performance </w:t>
      </w:r>
    </w:p>
    <w:tbl>
      <w:tblPr>
        <w:tblW w:w="9349" w:type="dxa"/>
        <w:tblBorders>
          <w:top w:val="single" w:sz="4" w:space="0" w:color="auto"/>
          <w:bottom w:val="single" w:sz="4" w:space="0" w:color="auto"/>
        </w:tblBorders>
        <w:tblLook w:val="04A0" w:firstRow="1" w:lastRow="0" w:firstColumn="1" w:lastColumn="0" w:noHBand="0" w:noVBand="1"/>
      </w:tblPr>
      <w:tblGrid>
        <w:gridCol w:w="1633"/>
        <w:gridCol w:w="1290"/>
        <w:gridCol w:w="1290"/>
        <w:gridCol w:w="1317"/>
        <w:gridCol w:w="1291"/>
        <w:gridCol w:w="1290"/>
        <w:gridCol w:w="1238"/>
      </w:tblGrid>
      <w:tr w:rsidR="00EA38DE" w:rsidRPr="00EA38DE" w14:paraId="7D8BAC20" w14:textId="77777777" w:rsidTr="00164181">
        <w:trPr>
          <w:trHeight w:val="188"/>
        </w:trPr>
        <w:tc>
          <w:tcPr>
            <w:tcW w:w="1633" w:type="dxa"/>
            <w:vMerge w:val="restart"/>
            <w:tcBorders>
              <w:top w:val="single" w:sz="4" w:space="0" w:color="auto"/>
            </w:tcBorders>
            <w:noWrap/>
            <w:vAlign w:val="center"/>
          </w:tcPr>
          <w:p w14:paraId="7EEF9231" w14:textId="77777777" w:rsidR="00BA4645" w:rsidRPr="00EA38DE" w:rsidRDefault="00BA4645" w:rsidP="00164181">
            <w:pPr>
              <w:spacing w:after="0" w:line="240" w:lineRule="auto"/>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Variable</w:t>
            </w:r>
          </w:p>
        </w:tc>
        <w:tc>
          <w:tcPr>
            <w:tcW w:w="2580" w:type="dxa"/>
            <w:gridSpan w:val="2"/>
            <w:tcBorders>
              <w:top w:val="single" w:sz="4" w:space="0" w:color="auto"/>
              <w:bottom w:val="single" w:sz="4" w:space="0" w:color="auto"/>
            </w:tcBorders>
            <w:noWrap/>
            <w:vAlign w:val="center"/>
          </w:tcPr>
          <w:p w14:paraId="47C85B7C" w14:textId="77777777" w:rsidR="00BA4645" w:rsidRPr="00EA38DE" w:rsidRDefault="00BA4645" w:rsidP="00164181">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Container thruput</w:t>
            </w:r>
          </w:p>
        </w:tc>
        <w:tc>
          <w:tcPr>
            <w:tcW w:w="2608" w:type="dxa"/>
            <w:gridSpan w:val="2"/>
            <w:tcBorders>
              <w:top w:val="single" w:sz="4" w:space="0" w:color="auto"/>
              <w:bottom w:val="single" w:sz="4" w:space="0" w:color="auto"/>
            </w:tcBorders>
            <w:noWrap/>
            <w:vAlign w:val="center"/>
          </w:tcPr>
          <w:p w14:paraId="6C6A7D49" w14:textId="77777777" w:rsidR="00BA4645" w:rsidRPr="00EA38DE" w:rsidRDefault="00BA4645" w:rsidP="00164181">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Shipping cost</w:t>
            </w:r>
          </w:p>
        </w:tc>
        <w:tc>
          <w:tcPr>
            <w:tcW w:w="2528" w:type="dxa"/>
            <w:gridSpan w:val="2"/>
            <w:tcBorders>
              <w:top w:val="single" w:sz="4" w:space="0" w:color="auto"/>
              <w:bottom w:val="single" w:sz="4" w:space="0" w:color="auto"/>
            </w:tcBorders>
            <w:noWrap/>
            <w:vAlign w:val="center"/>
          </w:tcPr>
          <w:p w14:paraId="4C55402C" w14:textId="77777777" w:rsidR="00BA4645" w:rsidRPr="00EA38DE" w:rsidRDefault="00BA4645" w:rsidP="00164181">
            <w:pPr>
              <w:spacing w:after="0" w:line="240" w:lineRule="auto"/>
              <w:jc w:val="center"/>
              <w:rPr>
                <w:rFonts w:ascii="Times New Roman" w:eastAsia="Times New Roman" w:hAnsi="Times New Roman" w:cs="Times New Roman"/>
                <w:b/>
                <w:bCs/>
                <w:i/>
                <w:iCs/>
                <w:sz w:val="20"/>
                <w:szCs w:val="20"/>
              </w:rPr>
            </w:pPr>
            <w:r w:rsidRPr="00EA38DE">
              <w:rPr>
                <w:rFonts w:ascii="Times New Roman" w:eastAsia="Times New Roman" w:hAnsi="Times New Roman" w:cs="Times New Roman"/>
                <w:b/>
                <w:bCs/>
                <w:i/>
                <w:iCs/>
                <w:sz w:val="20"/>
                <w:szCs w:val="20"/>
              </w:rPr>
              <w:t>Port revenue</w:t>
            </w:r>
          </w:p>
        </w:tc>
      </w:tr>
      <w:tr w:rsidR="00EA38DE" w:rsidRPr="00EA38DE" w14:paraId="23462CC8" w14:textId="77777777" w:rsidTr="00164181">
        <w:trPr>
          <w:trHeight w:val="143"/>
        </w:trPr>
        <w:tc>
          <w:tcPr>
            <w:tcW w:w="1633" w:type="dxa"/>
            <w:vMerge/>
            <w:tcBorders>
              <w:bottom w:val="single" w:sz="4" w:space="0" w:color="auto"/>
            </w:tcBorders>
            <w:noWrap/>
            <w:vAlign w:val="center"/>
            <w:hideMark/>
          </w:tcPr>
          <w:p w14:paraId="72574726" w14:textId="77777777" w:rsidR="00BA4645" w:rsidRPr="00EA38DE" w:rsidRDefault="00BA4645" w:rsidP="00164181">
            <w:pPr>
              <w:spacing w:after="0" w:line="240" w:lineRule="auto"/>
              <w:rPr>
                <w:rFonts w:ascii="Times New Roman" w:eastAsia="Times New Roman" w:hAnsi="Times New Roman" w:cs="Times New Roman"/>
                <w:b/>
                <w:bCs/>
                <w:sz w:val="20"/>
                <w:szCs w:val="20"/>
              </w:rPr>
            </w:pPr>
          </w:p>
        </w:tc>
        <w:tc>
          <w:tcPr>
            <w:tcW w:w="1290" w:type="dxa"/>
            <w:tcBorders>
              <w:top w:val="single" w:sz="4" w:space="0" w:color="auto"/>
              <w:bottom w:val="single" w:sz="4" w:space="0" w:color="auto"/>
            </w:tcBorders>
            <w:noWrap/>
            <w:vAlign w:val="center"/>
            <w:hideMark/>
          </w:tcPr>
          <w:p w14:paraId="19518301" w14:textId="77777777" w:rsidR="00BA4645" w:rsidRPr="00EA38DE" w:rsidRDefault="00BA4645" w:rsidP="00164181">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290" w:type="dxa"/>
            <w:tcBorders>
              <w:top w:val="single" w:sz="4" w:space="0" w:color="auto"/>
              <w:bottom w:val="single" w:sz="4" w:space="0" w:color="auto"/>
            </w:tcBorders>
            <w:noWrap/>
            <w:vAlign w:val="center"/>
            <w:hideMark/>
          </w:tcPr>
          <w:p w14:paraId="671B7D20" w14:textId="77777777" w:rsidR="00BA4645" w:rsidRPr="00EA38DE" w:rsidRDefault="00BA4645" w:rsidP="00164181">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317" w:type="dxa"/>
            <w:tcBorders>
              <w:top w:val="single" w:sz="4" w:space="0" w:color="auto"/>
              <w:bottom w:val="single" w:sz="4" w:space="0" w:color="auto"/>
            </w:tcBorders>
            <w:noWrap/>
            <w:vAlign w:val="center"/>
            <w:hideMark/>
          </w:tcPr>
          <w:p w14:paraId="249C2492" w14:textId="77777777" w:rsidR="00BA4645" w:rsidRPr="00EA38DE" w:rsidRDefault="00BA4645" w:rsidP="00164181">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290" w:type="dxa"/>
            <w:tcBorders>
              <w:top w:val="single" w:sz="4" w:space="0" w:color="auto"/>
              <w:bottom w:val="single" w:sz="4" w:space="0" w:color="auto"/>
            </w:tcBorders>
            <w:noWrap/>
            <w:vAlign w:val="center"/>
            <w:hideMark/>
          </w:tcPr>
          <w:p w14:paraId="1533B6C1" w14:textId="77777777" w:rsidR="00BA4645" w:rsidRPr="00EA38DE" w:rsidRDefault="00BA4645" w:rsidP="00164181">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290" w:type="dxa"/>
            <w:tcBorders>
              <w:top w:val="single" w:sz="4" w:space="0" w:color="auto"/>
              <w:bottom w:val="single" w:sz="4" w:space="0" w:color="auto"/>
            </w:tcBorders>
            <w:noWrap/>
            <w:vAlign w:val="center"/>
            <w:hideMark/>
          </w:tcPr>
          <w:p w14:paraId="7BF6C90D" w14:textId="77777777" w:rsidR="00BA4645" w:rsidRPr="00EA38DE" w:rsidRDefault="00BA4645" w:rsidP="00164181">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238" w:type="dxa"/>
            <w:tcBorders>
              <w:top w:val="single" w:sz="4" w:space="0" w:color="auto"/>
              <w:bottom w:val="single" w:sz="4" w:space="0" w:color="auto"/>
            </w:tcBorders>
            <w:noWrap/>
            <w:vAlign w:val="center"/>
            <w:hideMark/>
          </w:tcPr>
          <w:p w14:paraId="458BE7BE" w14:textId="77777777" w:rsidR="00BA4645" w:rsidRPr="00EA38DE" w:rsidRDefault="00BA4645" w:rsidP="00164181">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r>
      <w:tr w:rsidR="00EA38DE" w:rsidRPr="00EA38DE" w14:paraId="73827A81" w14:textId="77777777" w:rsidTr="009501B5">
        <w:trPr>
          <w:trHeight w:val="391"/>
        </w:trPr>
        <w:tc>
          <w:tcPr>
            <w:tcW w:w="1633" w:type="dxa"/>
            <w:tcBorders>
              <w:top w:val="single" w:sz="4" w:space="0" w:color="auto"/>
              <w:bottom w:val="single" w:sz="4" w:space="0" w:color="auto"/>
            </w:tcBorders>
            <w:noWrap/>
            <w:vAlign w:val="center"/>
            <w:hideMark/>
          </w:tcPr>
          <w:p w14:paraId="5630B671" w14:textId="77777777" w:rsidR="00BA4645" w:rsidRPr="00EA38DE" w:rsidRDefault="00BA4645" w:rsidP="00164181">
            <w:pPr>
              <w:spacing w:after="0" w:line="240" w:lineRule="auto"/>
              <w:rPr>
                <w:rFonts w:ascii="Times New Roman" w:eastAsia="Times New Roman" w:hAnsi="Times New Roman" w:cs="Times New Roman"/>
                <w:b/>
                <w:bCs/>
                <w:i/>
                <w:iCs/>
                <w:sz w:val="18"/>
                <w:szCs w:val="18"/>
              </w:rPr>
            </w:pPr>
            <w:r w:rsidRPr="00EA38DE">
              <w:rPr>
                <w:rFonts w:ascii="Times New Roman" w:eastAsia="Times New Roman" w:hAnsi="Times New Roman" w:cs="Times New Roman"/>
                <w:b/>
                <w:bCs/>
                <w:i/>
                <w:iCs/>
                <w:sz w:val="18"/>
                <w:szCs w:val="18"/>
              </w:rPr>
              <w:t>Short Run ARDL Result</w:t>
            </w:r>
          </w:p>
        </w:tc>
        <w:tc>
          <w:tcPr>
            <w:tcW w:w="1290" w:type="dxa"/>
            <w:tcBorders>
              <w:top w:val="single" w:sz="4" w:space="0" w:color="auto"/>
            </w:tcBorders>
            <w:noWrap/>
            <w:vAlign w:val="center"/>
            <w:hideMark/>
          </w:tcPr>
          <w:p w14:paraId="25D3F953"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top w:val="single" w:sz="4" w:space="0" w:color="auto"/>
            </w:tcBorders>
            <w:noWrap/>
            <w:vAlign w:val="center"/>
            <w:hideMark/>
          </w:tcPr>
          <w:p w14:paraId="5010AAAF"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317" w:type="dxa"/>
            <w:tcBorders>
              <w:top w:val="single" w:sz="4" w:space="0" w:color="auto"/>
            </w:tcBorders>
            <w:noWrap/>
            <w:vAlign w:val="center"/>
            <w:hideMark/>
          </w:tcPr>
          <w:p w14:paraId="2A70EAFF"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top w:val="single" w:sz="4" w:space="0" w:color="auto"/>
            </w:tcBorders>
            <w:noWrap/>
            <w:vAlign w:val="center"/>
            <w:hideMark/>
          </w:tcPr>
          <w:p w14:paraId="48F3EFEF"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top w:val="single" w:sz="4" w:space="0" w:color="auto"/>
            </w:tcBorders>
            <w:noWrap/>
            <w:vAlign w:val="center"/>
            <w:hideMark/>
          </w:tcPr>
          <w:p w14:paraId="51487F9C"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38" w:type="dxa"/>
            <w:tcBorders>
              <w:top w:val="single" w:sz="4" w:space="0" w:color="auto"/>
            </w:tcBorders>
            <w:noWrap/>
            <w:vAlign w:val="center"/>
            <w:hideMark/>
          </w:tcPr>
          <w:p w14:paraId="65547111"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r>
      <w:tr w:rsidR="00EA38DE" w:rsidRPr="00EA38DE" w14:paraId="5F5E00F0" w14:textId="77777777" w:rsidTr="00164181">
        <w:trPr>
          <w:trHeight w:val="70"/>
        </w:trPr>
        <w:tc>
          <w:tcPr>
            <w:tcW w:w="1633" w:type="dxa"/>
            <w:tcBorders>
              <w:top w:val="single" w:sz="4" w:space="0" w:color="auto"/>
            </w:tcBorders>
            <w:noWrap/>
            <w:vAlign w:val="center"/>
            <w:hideMark/>
          </w:tcPr>
          <w:p w14:paraId="6FA2A531"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ΔEXRTV</w:t>
            </w:r>
          </w:p>
        </w:tc>
        <w:tc>
          <w:tcPr>
            <w:tcW w:w="1290" w:type="dxa"/>
            <w:noWrap/>
            <w:vAlign w:val="center"/>
            <w:hideMark/>
          </w:tcPr>
          <w:p w14:paraId="4DA82C3B"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47B5AEC5"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317" w:type="dxa"/>
            <w:noWrap/>
            <w:vAlign w:val="center"/>
            <w:hideMark/>
          </w:tcPr>
          <w:p w14:paraId="1FFEA58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290" w:type="dxa"/>
            <w:noWrap/>
            <w:vAlign w:val="center"/>
            <w:hideMark/>
          </w:tcPr>
          <w:p w14:paraId="07208CA7"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290" w:type="dxa"/>
            <w:noWrap/>
            <w:vAlign w:val="center"/>
            <w:hideMark/>
          </w:tcPr>
          <w:p w14:paraId="06C09207"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38" w:type="dxa"/>
            <w:noWrap/>
            <w:vAlign w:val="center"/>
            <w:hideMark/>
          </w:tcPr>
          <w:p w14:paraId="24AEC23A"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r>
      <w:tr w:rsidR="00EA38DE" w:rsidRPr="00EA38DE" w14:paraId="14E65E21" w14:textId="77777777" w:rsidTr="00164181">
        <w:trPr>
          <w:trHeight w:val="225"/>
        </w:trPr>
        <w:tc>
          <w:tcPr>
            <w:tcW w:w="1633" w:type="dxa"/>
            <w:noWrap/>
            <w:vAlign w:val="center"/>
            <w:hideMark/>
          </w:tcPr>
          <w:p w14:paraId="3456D72C"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p>
        </w:tc>
        <w:tc>
          <w:tcPr>
            <w:tcW w:w="1290" w:type="dxa"/>
            <w:noWrap/>
            <w:vAlign w:val="center"/>
            <w:hideMark/>
          </w:tcPr>
          <w:p w14:paraId="0289809D"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7017C167"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317" w:type="dxa"/>
            <w:noWrap/>
            <w:vAlign w:val="center"/>
            <w:hideMark/>
          </w:tcPr>
          <w:p w14:paraId="5A63795D"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10.572</w:t>
            </w:r>
          </w:p>
        </w:tc>
        <w:tc>
          <w:tcPr>
            <w:tcW w:w="1290" w:type="dxa"/>
            <w:noWrap/>
            <w:vAlign w:val="center"/>
            <w:hideMark/>
          </w:tcPr>
          <w:p w14:paraId="3533D9C0"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290" w:type="dxa"/>
            <w:noWrap/>
            <w:vAlign w:val="center"/>
            <w:hideMark/>
          </w:tcPr>
          <w:p w14:paraId="213562FC"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38" w:type="dxa"/>
            <w:noWrap/>
            <w:vAlign w:val="center"/>
            <w:hideMark/>
          </w:tcPr>
          <w:p w14:paraId="182314EC"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r>
      <w:tr w:rsidR="00EA38DE" w:rsidRPr="00EA38DE" w14:paraId="6E595DBB" w14:textId="77777777" w:rsidTr="00164181">
        <w:trPr>
          <w:trHeight w:val="252"/>
        </w:trPr>
        <w:tc>
          <w:tcPr>
            <w:tcW w:w="1633" w:type="dxa"/>
            <w:noWrap/>
            <w:vAlign w:val="center"/>
            <w:hideMark/>
          </w:tcPr>
          <w:p w14:paraId="64B5DAE6"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p>
        </w:tc>
        <w:tc>
          <w:tcPr>
            <w:tcW w:w="1290" w:type="dxa"/>
            <w:noWrap/>
            <w:vAlign w:val="center"/>
            <w:hideMark/>
          </w:tcPr>
          <w:p w14:paraId="2F9B8B43"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7D3A5DC8"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317" w:type="dxa"/>
            <w:noWrap/>
            <w:vAlign w:val="center"/>
            <w:hideMark/>
          </w:tcPr>
          <w:p w14:paraId="432CB6B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25699A0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5F464CA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-0.003</w:t>
            </w:r>
          </w:p>
        </w:tc>
        <w:tc>
          <w:tcPr>
            <w:tcW w:w="1238" w:type="dxa"/>
            <w:noWrap/>
            <w:vAlign w:val="center"/>
            <w:hideMark/>
          </w:tcPr>
          <w:p w14:paraId="26F70A78"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0.532</w:t>
            </w:r>
          </w:p>
        </w:tc>
      </w:tr>
      <w:tr w:rsidR="00EA38DE" w:rsidRPr="00EA38DE" w14:paraId="66AEA7A3" w14:textId="77777777" w:rsidTr="00164181">
        <w:trPr>
          <w:trHeight w:val="198"/>
        </w:trPr>
        <w:tc>
          <w:tcPr>
            <w:tcW w:w="1633" w:type="dxa"/>
            <w:noWrap/>
            <w:vAlign w:val="center"/>
            <w:hideMark/>
          </w:tcPr>
          <w:p w14:paraId="756DBB5A"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p>
        </w:tc>
        <w:tc>
          <w:tcPr>
            <w:tcW w:w="1290" w:type="dxa"/>
            <w:noWrap/>
            <w:vAlign w:val="center"/>
            <w:hideMark/>
          </w:tcPr>
          <w:p w14:paraId="0DB9659B"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0.080</w:t>
            </w:r>
          </w:p>
        </w:tc>
        <w:tc>
          <w:tcPr>
            <w:tcW w:w="1290" w:type="dxa"/>
            <w:noWrap/>
            <w:vAlign w:val="center"/>
            <w:hideMark/>
          </w:tcPr>
          <w:p w14:paraId="1C7BB32B"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317" w:type="dxa"/>
            <w:noWrap/>
            <w:vAlign w:val="center"/>
            <w:hideMark/>
          </w:tcPr>
          <w:p w14:paraId="5095338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06E61FF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456494AE"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0.030</w:t>
            </w:r>
          </w:p>
        </w:tc>
        <w:tc>
          <w:tcPr>
            <w:tcW w:w="1238" w:type="dxa"/>
            <w:noWrap/>
            <w:vAlign w:val="center"/>
            <w:hideMark/>
          </w:tcPr>
          <w:p w14:paraId="3EA8A42A"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0.733</w:t>
            </w:r>
          </w:p>
        </w:tc>
      </w:tr>
      <w:tr w:rsidR="00EA38DE" w:rsidRPr="00EA38DE" w14:paraId="223E1E41" w14:textId="77777777" w:rsidTr="00164181">
        <w:trPr>
          <w:trHeight w:val="135"/>
        </w:trPr>
        <w:tc>
          <w:tcPr>
            <w:tcW w:w="1633" w:type="dxa"/>
            <w:tcBorders>
              <w:bottom w:val="nil"/>
            </w:tcBorders>
            <w:noWrap/>
            <w:vAlign w:val="center"/>
            <w:hideMark/>
          </w:tcPr>
          <w:p w14:paraId="556203E3"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r w:rsidRPr="00EA38DE">
              <w:rPr>
                <w:rFonts w:ascii="Times New Roman" w:eastAsia="Times New Roman" w:hAnsi="Times New Roman" w:cs="Times New Roman"/>
                <w:sz w:val="20"/>
                <w:szCs w:val="20"/>
                <w:vertAlign w:val="subscript"/>
              </w:rPr>
              <w:t>t-1</w:t>
            </w:r>
          </w:p>
        </w:tc>
        <w:tc>
          <w:tcPr>
            <w:tcW w:w="1290" w:type="dxa"/>
            <w:tcBorders>
              <w:bottom w:val="nil"/>
            </w:tcBorders>
            <w:noWrap/>
            <w:vAlign w:val="center"/>
            <w:hideMark/>
          </w:tcPr>
          <w:p w14:paraId="2C3BF5FB"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0.059</w:t>
            </w:r>
          </w:p>
        </w:tc>
        <w:tc>
          <w:tcPr>
            <w:tcW w:w="1290" w:type="dxa"/>
            <w:tcBorders>
              <w:bottom w:val="nil"/>
            </w:tcBorders>
            <w:noWrap/>
            <w:vAlign w:val="center"/>
            <w:hideMark/>
          </w:tcPr>
          <w:p w14:paraId="135861D9"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0.012</w:t>
            </w:r>
          </w:p>
        </w:tc>
        <w:tc>
          <w:tcPr>
            <w:tcW w:w="1317" w:type="dxa"/>
            <w:tcBorders>
              <w:bottom w:val="nil"/>
            </w:tcBorders>
            <w:noWrap/>
            <w:vAlign w:val="center"/>
            <w:hideMark/>
          </w:tcPr>
          <w:p w14:paraId="40AE762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bottom w:val="nil"/>
            </w:tcBorders>
            <w:noWrap/>
            <w:vAlign w:val="center"/>
            <w:hideMark/>
          </w:tcPr>
          <w:p w14:paraId="7FF6C7F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bottom w:val="nil"/>
            </w:tcBorders>
            <w:noWrap/>
            <w:vAlign w:val="center"/>
            <w:hideMark/>
          </w:tcPr>
          <w:p w14:paraId="396187B3"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0.229</w:t>
            </w:r>
          </w:p>
        </w:tc>
        <w:tc>
          <w:tcPr>
            <w:tcW w:w="1238" w:type="dxa"/>
            <w:tcBorders>
              <w:bottom w:val="nil"/>
            </w:tcBorders>
            <w:noWrap/>
            <w:vAlign w:val="center"/>
            <w:hideMark/>
          </w:tcPr>
          <w:p w14:paraId="6D9FB05F"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0.017</w:t>
            </w:r>
          </w:p>
        </w:tc>
      </w:tr>
      <w:tr w:rsidR="00EA38DE" w:rsidRPr="00EA38DE" w14:paraId="60353DBF" w14:textId="77777777" w:rsidTr="00164181">
        <w:trPr>
          <w:trHeight w:val="90"/>
        </w:trPr>
        <w:tc>
          <w:tcPr>
            <w:tcW w:w="1633" w:type="dxa"/>
            <w:tcBorders>
              <w:top w:val="nil"/>
              <w:bottom w:val="single" w:sz="4" w:space="0" w:color="auto"/>
            </w:tcBorders>
            <w:noWrap/>
            <w:vAlign w:val="center"/>
            <w:hideMark/>
          </w:tcPr>
          <w:p w14:paraId="441B7343"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ECM</w:t>
            </w:r>
            <w:r w:rsidRPr="00EA38DE">
              <w:rPr>
                <w:rFonts w:ascii="Times New Roman" w:eastAsia="Times New Roman" w:hAnsi="Times New Roman" w:cs="Times New Roman"/>
                <w:sz w:val="20"/>
                <w:szCs w:val="20"/>
                <w:vertAlign w:val="subscript"/>
              </w:rPr>
              <w:t>t-1</w:t>
            </w:r>
          </w:p>
        </w:tc>
        <w:tc>
          <w:tcPr>
            <w:tcW w:w="1290" w:type="dxa"/>
            <w:tcBorders>
              <w:top w:val="nil"/>
              <w:bottom w:val="single" w:sz="4" w:space="0" w:color="auto"/>
            </w:tcBorders>
            <w:noWrap/>
            <w:vAlign w:val="center"/>
            <w:hideMark/>
          </w:tcPr>
          <w:p w14:paraId="6C21AE66"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-0.490</w:t>
            </w:r>
          </w:p>
        </w:tc>
        <w:tc>
          <w:tcPr>
            <w:tcW w:w="1290" w:type="dxa"/>
            <w:tcBorders>
              <w:top w:val="nil"/>
              <w:bottom w:val="single" w:sz="4" w:space="0" w:color="auto"/>
            </w:tcBorders>
            <w:noWrap/>
            <w:vAlign w:val="center"/>
            <w:hideMark/>
          </w:tcPr>
          <w:p w14:paraId="632C6FD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7" w:type="dxa"/>
            <w:tcBorders>
              <w:top w:val="nil"/>
              <w:bottom w:val="single" w:sz="4" w:space="0" w:color="auto"/>
            </w:tcBorders>
            <w:noWrap/>
            <w:vAlign w:val="center"/>
            <w:hideMark/>
          </w:tcPr>
          <w:p w14:paraId="3ACAB35D"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-0.286</w:t>
            </w:r>
          </w:p>
        </w:tc>
        <w:tc>
          <w:tcPr>
            <w:tcW w:w="1290" w:type="dxa"/>
            <w:tcBorders>
              <w:top w:val="nil"/>
              <w:bottom w:val="single" w:sz="4" w:space="0" w:color="auto"/>
            </w:tcBorders>
            <w:noWrap/>
            <w:vAlign w:val="center"/>
            <w:hideMark/>
          </w:tcPr>
          <w:p w14:paraId="0D4FDC17"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290" w:type="dxa"/>
            <w:tcBorders>
              <w:top w:val="nil"/>
              <w:bottom w:val="single" w:sz="4" w:space="0" w:color="auto"/>
            </w:tcBorders>
            <w:noWrap/>
            <w:vAlign w:val="center"/>
            <w:hideMark/>
          </w:tcPr>
          <w:p w14:paraId="4BBB280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-0.410</w:t>
            </w:r>
          </w:p>
        </w:tc>
        <w:tc>
          <w:tcPr>
            <w:tcW w:w="1238" w:type="dxa"/>
            <w:tcBorders>
              <w:top w:val="nil"/>
              <w:bottom w:val="single" w:sz="4" w:space="0" w:color="auto"/>
            </w:tcBorders>
            <w:noWrap/>
            <w:vAlign w:val="center"/>
            <w:hideMark/>
          </w:tcPr>
          <w:p w14:paraId="65FAC3C5"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7A28CE4B" w14:textId="77777777" w:rsidTr="00164181">
        <w:trPr>
          <w:trHeight w:val="125"/>
        </w:trPr>
        <w:tc>
          <w:tcPr>
            <w:tcW w:w="1633" w:type="dxa"/>
            <w:tcBorders>
              <w:top w:val="single" w:sz="4" w:space="0" w:color="auto"/>
              <w:bottom w:val="single" w:sz="4" w:space="0" w:color="auto"/>
            </w:tcBorders>
            <w:noWrap/>
            <w:vAlign w:val="center"/>
            <w:hideMark/>
          </w:tcPr>
          <w:p w14:paraId="758EB8C7" w14:textId="77777777" w:rsidR="00BA4645" w:rsidRPr="00EA38DE" w:rsidRDefault="00BA4645" w:rsidP="00164181">
            <w:pPr>
              <w:spacing w:after="0" w:line="240" w:lineRule="auto"/>
              <w:rPr>
                <w:rFonts w:ascii="Times New Roman" w:eastAsia="Times New Roman" w:hAnsi="Times New Roman" w:cs="Times New Roman"/>
                <w:b/>
                <w:bCs/>
                <w:i/>
                <w:iCs/>
                <w:sz w:val="18"/>
                <w:szCs w:val="18"/>
              </w:rPr>
            </w:pPr>
            <w:r w:rsidRPr="00EA38DE">
              <w:rPr>
                <w:rFonts w:ascii="Times New Roman" w:eastAsia="Times New Roman" w:hAnsi="Times New Roman" w:cs="Times New Roman"/>
                <w:b/>
                <w:bCs/>
                <w:i/>
                <w:iCs/>
                <w:sz w:val="18"/>
                <w:szCs w:val="18"/>
              </w:rPr>
              <w:t>Long Run ARDL Result</w:t>
            </w:r>
          </w:p>
        </w:tc>
        <w:tc>
          <w:tcPr>
            <w:tcW w:w="1290" w:type="dxa"/>
            <w:tcBorders>
              <w:top w:val="single" w:sz="4" w:space="0" w:color="auto"/>
            </w:tcBorders>
            <w:noWrap/>
            <w:vAlign w:val="center"/>
            <w:hideMark/>
          </w:tcPr>
          <w:p w14:paraId="7F5395D0"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top w:val="single" w:sz="4" w:space="0" w:color="auto"/>
            </w:tcBorders>
            <w:noWrap/>
            <w:vAlign w:val="center"/>
            <w:hideMark/>
          </w:tcPr>
          <w:p w14:paraId="44A73F9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317" w:type="dxa"/>
            <w:tcBorders>
              <w:top w:val="single" w:sz="4" w:space="0" w:color="auto"/>
            </w:tcBorders>
            <w:noWrap/>
            <w:vAlign w:val="center"/>
            <w:hideMark/>
          </w:tcPr>
          <w:p w14:paraId="5F3EE3B6"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top w:val="single" w:sz="4" w:space="0" w:color="auto"/>
            </w:tcBorders>
            <w:noWrap/>
            <w:vAlign w:val="center"/>
            <w:hideMark/>
          </w:tcPr>
          <w:p w14:paraId="0AB299E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tcBorders>
              <w:top w:val="single" w:sz="4" w:space="0" w:color="auto"/>
            </w:tcBorders>
            <w:noWrap/>
            <w:vAlign w:val="center"/>
            <w:hideMark/>
          </w:tcPr>
          <w:p w14:paraId="00C621A3"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38" w:type="dxa"/>
            <w:tcBorders>
              <w:top w:val="single" w:sz="4" w:space="0" w:color="auto"/>
            </w:tcBorders>
            <w:noWrap/>
            <w:vAlign w:val="center"/>
            <w:hideMark/>
          </w:tcPr>
          <w:p w14:paraId="4C0515F9"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r>
      <w:tr w:rsidR="00EA38DE" w:rsidRPr="00EA38DE" w14:paraId="349DC0AD" w14:textId="77777777" w:rsidTr="00164181">
        <w:trPr>
          <w:trHeight w:val="143"/>
        </w:trPr>
        <w:tc>
          <w:tcPr>
            <w:tcW w:w="1633" w:type="dxa"/>
            <w:tcBorders>
              <w:top w:val="single" w:sz="4" w:space="0" w:color="auto"/>
            </w:tcBorders>
            <w:noWrap/>
            <w:vAlign w:val="center"/>
            <w:hideMark/>
          </w:tcPr>
          <w:p w14:paraId="0A7EFA93"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EXRTV</w:t>
            </w:r>
          </w:p>
        </w:tc>
        <w:tc>
          <w:tcPr>
            <w:tcW w:w="1290" w:type="dxa"/>
            <w:noWrap/>
            <w:vAlign w:val="center"/>
            <w:hideMark/>
          </w:tcPr>
          <w:p w14:paraId="445F9F76"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-0.643</w:t>
            </w:r>
          </w:p>
        </w:tc>
        <w:tc>
          <w:tcPr>
            <w:tcW w:w="1290" w:type="dxa"/>
            <w:noWrap/>
            <w:vAlign w:val="center"/>
            <w:hideMark/>
          </w:tcPr>
          <w:p w14:paraId="23754557"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0.074</w:t>
            </w:r>
          </w:p>
        </w:tc>
        <w:tc>
          <w:tcPr>
            <w:tcW w:w="1317" w:type="dxa"/>
            <w:noWrap/>
            <w:vAlign w:val="center"/>
            <w:hideMark/>
          </w:tcPr>
          <w:p w14:paraId="64F1DB6B"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-0.099</w:t>
            </w:r>
          </w:p>
        </w:tc>
        <w:tc>
          <w:tcPr>
            <w:tcW w:w="1290" w:type="dxa"/>
            <w:noWrap/>
            <w:vAlign w:val="center"/>
            <w:hideMark/>
          </w:tcPr>
          <w:p w14:paraId="2D7B7648"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0.057</w:t>
            </w:r>
          </w:p>
        </w:tc>
        <w:tc>
          <w:tcPr>
            <w:tcW w:w="1290" w:type="dxa"/>
            <w:noWrap/>
            <w:vAlign w:val="center"/>
            <w:hideMark/>
          </w:tcPr>
          <w:p w14:paraId="74757CE6"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-0.849</w:t>
            </w:r>
          </w:p>
        </w:tc>
        <w:tc>
          <w:tcPr>
            <w:tcW w:w="1238" w:type="dxa"/>
            <w:noWrap/>
            <w:vAlign w:val="center"/>
            <w:hideMark/>
          </w:tcPr>
          <w:p w14:paraId="5A456E1A"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0.503</w:t>
            </w:r>
          </w:p>
        </w:tc>
      </w:tr>
      <w:tr w:rsidR="00EA38DE" w:rsidRPr="00EA38DE" w14:paraId="6AB8D09A" w14:textId="77777777" w:rsidTr="00164181">
        <w:trPr>
          <w:trHeight w:val="80"/>
        </w:trPr>
        <w:tc>
          <w:tcPr>
            <w:tcW w:w="1633" w:type="dxa"/>
            <w:noWrap/>
            <w:vAlign w:val="center"/>
            <w:hideMark/>
          </w:tcPr>
          <w:p w14:paraId="22F56F89"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IFR</w:t>
            </w:r>
          </w:p>
        </w:tc>
        <w:tc>
          <w:tcPr>
            <w:tcW w:w="1290" w:type="dxa"/>
            <w:noWrap/>
            <w:vAlign w:val="center"/>
            <w:hideMark/>
          </w:tcPr>
          <w:p w14:paraId="3CC4A79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290" w:type="dxa"/>
            <w:noWrap/>
            <w:vAlign w:val="center"/>
            <w:hideMark/>
          </w:tcPr>
          <w:p w14:paraId="5F5D6CD8"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0.818</w:t>
            </w:r>
          </w:p>
        </w:tc>
        <w:tc>
          <w:tcPr>
            <w:tcW w:w="1317" w:type="dxa"/>
            <w:noWrap/>
            <w:vAlign w:val="center"/>
            <w:hideMark/>
          </w:tcPr>
          <w:p w14:paraId="1E258E63"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0.004</w:t>
            </w:r>
          </w:p>
        </w:tc>
        <w:tc>
          <w:tcPr>
            <w:tcW w:w="1290" w:type="dxa"/>
            <w:noWrap/>
            <w:vAlign w:val="center"/>
            <w:hideMark/>
          </w:tcPr>
          <w:p w14:paraId="21D41F5E"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0.589</w:t>
            </w:r>
          </w:p>
        </w:tc>
        <w:tc>
          <w:tcPr>
            <w:tcW w:w="1290" w:type="dxa"/>
            <w:noWrap/>
            <w:vAlign w:val="center"/>
            <w:hideMark/>
          </w:tcPr>
          <w:p w14:paraId="61C423DA"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0.015</w:t>
            </w:r>
          </w:p>
        </w:tc>
        <w:tc>
          <w:tcPr>
            <w:tcW w:w="1238" w:type="dxa"/>
            <w:noWrap/>
            <w:vAlign w:val="center"/>
            <w:hideMark/>
          </w:tcPr>
          <w:p w14:paraId="3CA03FB5"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0.476</w:t>
            </w:r>
          </w:p>
        </w:tc>
      </w:tr>
      <w:tr w:rsidR="00EA38DE" w:rsidRPr="00EA38DE" w14:paraId="6536205D" w14:textId="77777777" w:rsidTr="00164181">
        <w:trPr>
          <w:trHeight w:val="80"/>
        </w:trPr>
        <w:tc>
          <w:tcPr>
            <w:tcW w:w="1633" w:type="dxa"/>
            <w:noWrap/>
            <w:vAlign w:val="center"/>
            <w:hideMark/>
          </w:tcPr>
          <w:p w14:paraId="4F279995"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LAB</w:t>
            </w:r>
          </w:p>
        </w:tc>
        <w:tc>
          <w:tcPr>
            <w:tcW w:w="1290" w:type="dxa"/>
            <w:noWrap/>
            <w:vAlign w:val="center"/>
            <w:hideMark/>
          </w:tcPr>
          <w:p w14:paraId="3D3BC9B6"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1.582</w:t>
            </w:r>
          </w:p>
        </w:tc>
        <w:tc>
          <w:tcPr>
            <w:tcW w:w="1290" w:type="dxa"/>
            <w:noWrap/>
            <w:vAlign w:val="center"/>
            <w:hideMark/>
          </w:tcPr>
          <w:p w14:paraId="39B62A21"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7" w:type="dxa"/>
            <w:noWrap/>
            <w:vAlign w:val="center"/>
            <w:hideMark/>
          </w:tcPr>
          <w:p w14:paraId="1C7AF3C1"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2.059</w:t>
            </w:r>
          </w:p>
        </w:tc>
        <w:tc>
          <w:tcPr>
            <w:tcW w:w="1290" w:type="dxa"/>
            <w:noWrap/>
            <w:vAlign w:val="center"/>
            <w:hideMark/>
          </w:tcPr>
          <w:p w14:paraId="33E5FCB2"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0.029</w:t>
            </w:r>
          </w:p>
        </w:tc>
        <w:tc>
          <w:tcPr>
            <w:tcW w:w="1290" w:type="dxa"/>
            <w:noWrap/>
            <w:vAlign w:val="center"/>
            <w:hideMark/>
          </w:tcPr>
          <w:p w14:paraId="191BFA61"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4.961</w:t>
            </w:r>
          </w:p>
        </w:tc>
        <w:tc>
          <w:tcPr>
            <w:tcW w:w="1238" w:type="dxa"/>
            <w:noWrap/>
            <w:vAlign w:val="center"/>
            <w:hideMark/>
          </w:tcPr>
          <w:p w14:paraId="61611A2D"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0.003</w:t>
            </w:r>
          </w:p>
        </w:tc>
      </w:tr>
      <w:tr w:rsidR="00EA38DE" w:rsidRPr="00EA38DE" w14:paraId="3705B0F9" w14:textId="77777777" w:rsidTr="00164181">
        <w:trPr>
          <w:trHeight w:val="180"/>
        </w:trPr>
        <w:tc>
          <w:tcPr>
            <w:tcW w:w="1633" w:type="dxa"/>
            <w:noWrap/>
            <w:vAlign w:val="center"/>
            <w:hideMark/>
          </w:tcPr>
          <w:p w14:paraId="68847ED4"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TRF</w:t>
            </w:r>
          </w:p>
        </w:tc>
        <w:tc>
          <w:tcPr>
            <w:tcW w:w="1290" w:type="dxa"/>
            <w:noWrap/>
            <w:vAlign w:val="center"/>
            <w:hideMark/>
          </w:tcPr>
          <w:p w14:paraId="3E026C33"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0.138</w:t>
            </w:r>
          </w:p>
        </w:tc>
        <w:tc>
          <w:tcPr>
            <w:tcW w:w="1290" w:type="dxa"/>
            <w:noWrap/>
            <w:vAlign w:val="center"/>
            <w:hideMark/>
          </w:tcPr>
          <w:p w14:paraId="7DFDAA8E"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0.003</w:t>
            </w:r>
          </w:p>
        </w:tc>
        <w:tc>
          <w:tcPr>
            <w:tcW w:w="1317" w:type="dxa"/>
            <w:noWrap/>
            <w:vAlign w:val="center"/>
            <w:hideMark/>
          </w:tcPr>
          <w:p w14:paraId="0784F51D"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-0.170</w:t>
            </w:r>
          </w:p>
        </w:tc>
        <w:tc>
          <w:tcPr>
            <w:tcW w:w="1290" w:type="dxa"/>
            <w:noWrap/>
            <w:vAlign w:val="center"/>
            <w:hideMark/>
          </w:tcPr>
          <w:p w14:paraId="12BBFFD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0.096</w:t>
            </w:r>
          </w:p>
        </w:tc>
        <w:tc>
          <w:tcPr>
            <w:tcW w:w="1290" w:type="dxa"/>
            <w:noWrap/>
            <w:vAlign w:val="center"/>
            <w:hideMark/>
          </w:tcPr>
          <w:p w14:paraId="51521486"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-0.061</w:t>
            </w:r>
          </w:p>
        </w:tc>
        <w:tc>
          <w:tcPr>
            <w:tcW w:w="1238" w:type="dxa"/>
            <w:noWrap/>
            <w:vAlign w:val="center"/>
            <w:hideMark/>
          </w:tcPr>
          <w:p w14:paraId="54EA2E79"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0.790</w:t>
            </w:r>
          </w:p>
        </w:tc>
      </w:tr>
      <w:tr w:rsidR="00EA38DE" w:rsidRPr="00EA38DE" w14:paraId="5F5E5BC2" w14:textId="77777777" w:rsidTr="00164181">
        <w:trPr>
          <w:trHeight w:val="117"/>
        </w:trPr>
        <w:tc>
          <w:tcPr>
            <w:tcW w:w="1633" w:type="dxa"/>
            <w:noWrap/>
            <w:vAlign w:val="center"/>
            <w:hideMark/>
          </w:tcPr>
          <w:p w14:paraId="70631233"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Constant</w:t>
            </w:r>
          </w:p>
        </w:tc>
        <w:tc>
          <w:tcPr>
            <w:tcW w:w="1290" w:type="dxa"/>
            <w:noWrap/>
            <w:vAlign w:val="center"/>
            <w:hideMark/>
          </w:tcPr>
          <w:p w14:paraId="23BE3540"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-3.363</w:t>
            </w:r>
          </w:p>
        </w:tc>
        <w:tc>
          <w:tcPr>
            <w:tcW w:w="1290" w:type="dxa"/>
            <w:noWrap/>
            <w:vAlign w:val="center"/>
            <w:hideMark/>
          </w:tcPr>
          <w:p w14:paraId="530DA281"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0.344</w:t>
            </w:r>
          </w:p>
        </w:tc>
        <w:tc>
          <w:tcPr>
            <w:tcW w:w="1317" w:type="dxa"/>
            <w:noWrap/>
            <w:vAlign w:val="center"/>
            <w:hideMark/>
          </w:tcPr>
          <w:p w14:paraId="4D2008ED"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-6.393</w:t>
            </w:r>
          </w:p>
        </w:tc>
        <w:tc>
          <w:tcPr>
            <w:tcW w:w="1290" w:type="dxa"/>
            <w:noWrap/>
            <w:vAlign w:val="center"/>
            <w:hideMark/>
          </w:tcPr>
          <w:p w14:paraId="610352AC"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0.494</w:t>
            </w:r>
          </w:p>
        </w:tc>
        <w:tc>
          <w:tcPr>
            <w:tcW w:w="1290" w:type="dxa"/>
            <w:noWrap/>
            <w:vAlign w:val="center"/>
            <w:hideMark/>
          </w:tcPr>
          <w:p w14:paraId="578783DF"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-46.525</w:t>
            </w:r>
          </w:p>
        </w:tc>
        <w:tc>
          <w:tcPr>
            <w:tcW w:w="1238" w:type="dxa"/>
            <w:noWrap/>
            <w:vAlign w:val="center"/>
            <w:hideMark/>
          </w:tcPr>
          <w:p w14:paraId="04DAF7BA"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0.005</w:t>
            </w:r>
          </w:p>
        </w:tc>
      </w:tr>
      <w:tr w:rsidR="00EA38DE" w:rsidRPr="00EA38DE" w14:paraId="7AC83EF8" w14:textId="77777777" w:rsidTr="00164181">
        <w:trPr>
          <w:trHeight w:val="80"/>
        </w:trPr>
        <w:tc>
          <w:tcPr>
            <w:tcW w:w="1633" w:type="dxa"/>
            <w:noWrap/>
            <w:vAlign w:val="center"/>
            <w:hideMark/>
          </w:tcPr>
          <w:p w14:paraId="41F2FC5D"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Adj. R-sq.</w:t>
            </w:r>
          </w:p>
        </w:tc>
        <w:tc>
          <w:tcPr>
            <w:tcW w:w="1290" w:type="dxa"/>
            <w:noWrap/>
            <w:vAlign w:val="center"/>
            <w:hideMark/>
          </w:tcPr>
          <w:p w14:paraId="21C8624A"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0.494</w:t>
            </w:r>
          </w:p>
        </w:tc>
        <w:tc>
          <w:tcPr>
            <w:tcW w:w="1290" w:type="dxa"/>
            <w:noWrap/>
            <w:vAlign w:val="center"/>
            <w:hideMark/>
          </w:tcPr>
          <w:p w14:paraId="1F6F76F1"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317" w:type="dxa"/>
            <w:noWrap/>
            <w:vAlign w:val="center"/>
            <w:hideMark/>
          </w:tcPr>
          <w:p w14:paraId="1232CF06"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0.490</w:t>
            </w:r>
          </w:p>
        </w:tc>
        <w:tc>
          <w:tcPr>
            <w:tcW w:w="1290" w:type="dxa"/>
            <w:noWrap/>
            <w:vAlign w:val="center"/>
            <w:hideMark/>
          </w:tcPr>
          <w:p w14:paraId="423CD9FE"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3383C3AF"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0.474</w:t>
            </w:r>
          </w:p>
        </w:tc>
        <w:tc>
          <w:tcPr>
            <w:tcW w:w="1238" w:type="dxa"/>
            <w:noWrap/>
            <w:vAlign w:val="center"/>
            <w:hideMark/>
          </w:tcPr>
          <w:p w14:paraId="60F6E551"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r>
      <w:tr w:rsidR="00EA38DE" w:rsidRPr="00EA38DE" w14:paraId="61A54489" w14:textId="77777777" w:rsidTr="00164181">
        <w:trPr>
          <w:trHeight w:val="80"/>
        </w:trPr>
        <w:tc>
          <w:tcPr>
            <w:tcW w:w="1633" w:type="dxa"/>
            <w:noWrap/>
            <w:vAlign w:val="center"/>
            <w:hideMark/>
          </w:tcPr>
          <w:p w14:paraId="6F24BB88" w14:textId="77777777" w:rsidR="00BA4645" w:rsidRPr="00EA38DE" w:rsidRDefault="00BA4645" w:rsidP="00164181">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D-W stat</w:t>
            </w:r>
          </w:p>
        </w:tc>
        <w:tc>
          <w:tcPr>
            <w:tcW w:w="1290" w:type="dxa"/>
            <w:noWrap/>
            <w:vAlign w:val="center"/>
            <w:hideMark/>
          </w:tcPr>
          <w:p w14:paraId="6F3B51F4"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2.006</w:t>
            </w:r>
          </w:p>
        </w:tc>
        <w:tc>
          <w:tcPr>
            <w:tcW w:w="1290" w:type="dxa"/>
            <w:noWrap/>
            <w:vAlign w:val="center"/>
            <w:hideMark/>
          </w:tcPr>
          <w:p w14:paraId="51C40017"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317" w:type="dxa"/>
            <w:noWrap/>
            <w:vAlign w:val="center"/>
            <w:hideMark/>
          </w:tcPr>
          <w:p w14:paraId="67445555"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2.128</w:t>
            </w:r>
          </w:p>
        </w:tc>
        <w:tc>
          <w:tcPr>
            <w:tcW w:w="1290" w:type="dxa"/>
            <w:noWrap/>
            <w:vAlign w:val="center"/>
            <w:hideMark/>
          </w:tcPr>
          <w:p w14:paraId="438A9C0F"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c>
          <w:tcPr>
            <w:tcW w:w="1290" w:type="dxa"/>
            <w:noWrap/>
            <w:vAlign w:val="center"/>
            <w:hideMark/>
          </w:tcPr>
          <w:p w14:paraId="3791C0CB"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2.566</w:t>
            </w:r>
          </w:p>
        </w:tc>
        <w:tc>
          <w:tcPr>
            <w:tcW w:w="1238" w:type="dxa"/>
            <w:noWrap/>
            <w:vAlign w:val="center"/>
            <w:hideMark/>
          </w:tcPr>
          <w:p w14:paraId="6D9E0150" w14:textId="77777777" w:rsidR="00BA4645" w:rsidRPr="00EA38DE" w:rsidRDefault="00BA4645" w:rsidP="00164181">
            <w:pPr>
              <w:spacing w:after="0" w:line="240" w:lineRule="auto"/>
              <w:jc w:val="center"/>
              <w:rPr>
                <w:rFonts w:ascii="Times New Roman" w:eastAsia="Times New Roman" w:hAnsi="Times New Roman" w:cs="Times New Roman"/>
                <w:sz w:val="20"/>
                <w:szCs w:val="20"/>
              </w:rPr>
            </w:pPr>
          </w:p>
        </w:tc>
      </w:tr>
    </w:tbl>
    <w:p w14:paraId="1C4319F5" w14:textId="4242D38D" w:rsidR="00BA4645" w:rsidRPr="00EA38DE" w:rsidRDefault="00BA4645" w:rsidP="00BA4645">
      <w:pPr>
        <w:spacing w:after="360"/>
      </w:pPr>
      <w:r w:rsidRPr="00EA38DE">
        <w:rPr>
          <w:rFonts w:ascii="Times New Roman" w:hAnsi="Times New Roman" w:cs="Times New Roman"/>
          <w:sz w:val="18"/>
          <w:szCs w:val="18"/>
        </w:rPr>
        <w:t>Source: Author’s computation</w:t>
      </w:r>
      <w:r w:rsidR="00164181" w:rsidRPr="00EA38DE">
        <w:rPr>
          <w:rFonts w:ascii="Times New Roman" w:hAnsi="Times New Roman" w:cs="Times New Roman"/>
          <w:sz w:val="18"/>
          <w:szCs w:val="18"/>
        </w:rPr>
        <w:t>, 2025,</w:t>
      </w:r>
      <w:r w:rsidRPr="00EA38DE">
        <w:rPr>
          <w:rFonts w:ascii="Times New Roman" w:hAnsi="Times New Roman" w:cs="Times New Roman"/>
          <w:sz w:val="18"/>
          <w:szCs w:val="18"/>
        </w:rPr>
        <w:t xml:space="preserve"> using Eview 13.</w:t>
      </w:r>
    </w:p>
    <w:p w14:paraId="55478BD8" w14:textId="0F084740" w:rsidR="00BA4645" w:rsidRPr="00EA38DE" w:rsidRDefault="00BA4645" w:rsidP="00C32368">
      <w:pPr>
        <w:tabs>
          <w:tab w:val="num" w:pos="720"/>
        </w:tabs>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The short run results, which capture the temporal effects of the explanatory variables, are reported in the upper panel of the regression Table 4.7. For the container throughput estimates, no short-run coefficients are provided for the exchange rate volatility variable. This is from the parsimonious estimates generated from E</w:t>
      </w:r>
      <w:r w:rsidR="000E6417" w:rsidRPr="00EA38DE">
        <w:rPr>
          <w:rFonts w:ascii="Times New Roman" w:hAnsi="Times New Roman" w:cs="Times New Roman"/>
          <w:sz w:val="24"/>
          <w:szCs w:val="24"/>
        </w:rPr>
        <w:t>-</w:t>
      </w:r>
      <w:r w:rsidRPr="00EA38DE">
        <w:rPr>
          <w:rFonts w:ascii="Times New Roman" w:hAnsi="Times New Roman" w:cs="Times New Roman"/>
          <w:sz w:val="24"/>
          <w:szCs w:val="24"/>
        </w:rPr>
        <w:t>Views 13</w:t>
      </w:r>
      <w:r w:rsidR="00C87999" w:rsidRPr="00EA38DE">
        <w:rPr>
          <w:rFonts w:ascii="Times New Roman" w:hAnsi="Times New Roman" w:cs="Times New Roman"/>
          <w:sz w:val="24"/>
          <w:szCs w:val="24"/>
        </w:rPr>
        <w:t xml:space="preserve"> computer output</w:t>
      </w:r>
      <w:r w:rsidR="009501B5" w:rsidRPr="00EA38DE">
        <w:rPr>
          <w:rFonts w:ascii="Times New Roman" w:hAnsi="Times New Roman" w:cs="Times New Roman"/>
          <w:sz w:val="24"/>
          <w:szCs w:val="24"/>
        </w:rPr>
        <w:t>.</w:t>
      </w:r>
      <w:r w:rsidRPr="00EA38DE">
        <w:rPr>
          <w:rFonts w:ascii="Times New Roman" w:hAnsi="Times New Roman" w:cs="Times New Roman"/>
          <w:sz w:val="24"/>
          <w:szCs w:val="24"/>
        </w:rPr>
        <w:t xml:space="preserve"> These</w:t>
      </w:r>
      <w:r w:rsidR="009501B5" w:rsidRPr="00EA38DE">
        <w:rPr>
          <w:rFonts w:ascii="Times New Roman" w:hAnsi="Times New Roman" w:cs="Times New Roman"/>
          <w:sz w:val="24"/>
          <w:szCs w:val="24"/>
        </w:rPr>
        <w:t xml:space="preserve"> </w:t>
      </w:r>
      <w:r w:rsidRPr="00EA38DE">
        <w:rPr>
          <w:rFonts w:ascii="Times New Roman" w:hAnsi="Times New Roman" w:cs="Times New Roman"/>
          <w:sz w:val="24"/>
          <w:szCs w:val="24"/>
        </w:rPr>
        <w:t>values are left out because they do not contribute to the efficiency of the estimation of the given equation</w:t>
      </w:r>
      <w:r w:rsidR="00C87999" w:rsidRPr="00EA38DE">
        <w:rPr>
          <w:rFonts w:ascii="Times New Roman" w:hAnsi="Times New Roman" w:cs="Times New Roman"/>
          <w:sz w:val="24"/>
          <w:szCs w:val="24"/>
        </w:rPr>
        <w:t xml:space="preserve"> as opined by</w:t>
      </w:r>
      <w:r w:rsidRPr="00EA38DE">
        <w:rPr>
          <w:rFonts w:ascii="Times New Roman" w:hAnsi="Times New Roman" w:cs="Times New Roman"/>
          <w:sz w:val="24"/>
          <w:szCs w:val="24"/>
        </w:rPr>
        <w:t xml:space="preserve"> Stock &amp; Watson </w:t>
      </w:r>
      <w:r w:rsidR="00C87999" w:rsidRPr="00EA38DE">
        <w:rPr>
          <w:rFonts w:ascii="Times New Roman" w:hAnsi="Times New Roman" w:cs="Times New Roman"/>
          <w:sz w:val="24"/>
          <w:szCs w:val="24"/>
        </w:rPr>
        <w:t>(</w:t>
      </w:r>
      <w:r w:rsidRPr="00EA38DE">
        <w:rPr>
          <w:rFonts w:ascii="Times New Roman" w:hAnsi="Times New Roman" w:cs="Times New Roman"/>
          <w:sz w:val="24"/>
          <w:szCs w:val="24"/>
        </w:rPr>
        <w:t>2020</w:t>
      </w:r>
      <w:r w:rsidR="00C87999" w:rsidRPr="00EA38DE">
        <w:rPr>
          <w:rFonts w:ascii="Times New Roman" w:hAnsi="Times New Roman" w:cs="Times New Roman"/>
          <w:sz w:val="24"/>
          <w:szCs w:val="24"/>
        </w:rPr>
        <w:t>)</w:t>
      </w:r>
      <w:r w:rsidRPr="00EA38DE">
        <w:rPr>
          <w:rFonts w:ascii="Times New Roman" w:hAnsi="Times New Roman" w:cs="Times New Roman"/>
          <w:sz w:val="24"/>
          <w:szCs w:val="24"/>
        </w:rPr>
        <w:t>. This shows that exchange rate volatility has no observed effects on container thr</w:t>
      </w:r>
      <w:r w:rsidR="00534DEF" w:rsidRPr="00EA38DE">
        <w:rPr>
          <w:rFonts w:ascii="Times New Roman" w:hAnsi="Times New Roman" w:cs="Times New Roman"/>
          <w:sz w:val="24"/>
          <w:szCs w:val="24"/>
        </w:rPr>
        <w:t>o</w:t>
      </w:r>
      <w:r w:rsidRPr="00EA38DE">
        <w:rPr>
          <w:rFonts w:ascii="Times New Roman" w:hAnsi="Times New Roman" w:cs="Times New Roman"/>
          <w:sz w:val="24"/>
          <w:szCs w:val="24"/>
        </w:rPr>
        <w:t>u</w:t>
      </w:r>
      <w:r w:rsidR="00534DEF" w:rsidRPr="00EA38DE">
        <w:rPr>
          <w:rFonts w:ascii="Times New Roman" w:hAnsi="Times New Roman" w:cs="Times New Roman"/>
          <w:sz w:val="24"/>
          <w:szCs w:val="24"/>
        </w:rPr>
        <w:t>gh</w:t>
      </w:r>
      <w:r w:rsidRPr="00EA38DE">
        <w:rPr>
          <w:rFonts w:ascii="Times New Roman" w:hAnsi="Times New Roman" w:cs="Times New Roman"/>
          <w:sz w:val="24"/>
          <w:szCs w:val="24"/>
        </w:rPr>
        <w:t>put in Nigeria in the short run. Thus, container thr</w:t>
      </w:r>
      <w:r w:rsidR="006130DA" w:rsidRPr="00EA38DE">
        <w:rPr>
          <w:rFonts w:ascii="Times New Roman" w:hAnsi="Times New Roman" w:cs="Times New Roman"/>
          <w:sz w:val="24"/>
          <w:szCs w:val="24"/>
        </w:rPr>
        <w:t>o</w:t>
      </w:r>
      <w:r w:rsidRPr="00EA38DE">
        <w:rPr>
          <w:rFonts w:ascii="Times New Roman" w:hAnsi="Times New Roman" w:cs="Times New Roman"/>
          <w:sz w:val="24"/>
          <w:szCs w:val="24"/>
        </w:rPr>
        <w:t>u</w:t>
      </w:r>
      <w:r w:rsidR="006130DA" w:rsidRPr="00EA38DE">
        <w:rPr>
          <w:rFonts w:ascii="Times New Roman" w:hAnsi="Times New Roman" w:cs="Times New Roman"/>
          <w:sz w:val="24"/>
          <w:szCs w:val="24"/>
        </w:rPr>
        <w:t>gh</w:t>
      </w:r>
      <w:r w:rsidRPr="00EA38DE">
        <w:rPr>
          <w:rFonts w:ascii="Times New Roman" w:hAnsi="Times New Roman" w:cs="Times New Roman"/>
          <w:sz w:val="24"/>
          <w:szCs w:val="24"/>
        </w:rPr>
        <w:t>put exhibit limited immediate responsiveness to changes in the exchange rate. The coefficient of current and lagged trade freedom (TR</w:t>
      </w:r>
      <w:r w:rsidR="00C87999" w:rsidRPr="00EA38DE">
        <w:rPr>
          <w:rFonts w:ascii="Times New Roman" w:hAnsi="Times New Roman" w:cs="Times New Roman"/>
          <w:sz w:val="24"/>
          <w:szCs w:val="24"/>
        </w:rPr>
        <w:t>F</w:t>
      </w:r>
      <w:r w:rsidRPr="00EA38DE">
        <w:rPr>
          <w:rFonts w:ascii="Times New Roman" w:hAnsi="Times New Roman" w:cs="Times New Roman"/>
          <w:sz w:val="24"/>
          <w:szCs w:val="24"/>
        </w:rPr>
        <w:t>) is both significant and positive, indicating that trade freedom significantly increases container thruput in the short run. In the shipping cost equation, the short run results reveal that exchange rate volatility has a significant negative effect. This shows that instability of the exchange rate, especially via depreciation, significantly increases short run patterns of shipping costs in Nigeria. The exchange rate volatility variable only appears on the shipping cost estimates in the short run. Refer to the explanation of parsimonious efficient estimates. The E</w:t>
      </w:r>
      <w:r w:rsidR="00930DBC" w:rsidRPr="00EA38DE">
        <w:rPr>
          <w:rFonts w:ascii="Times New Roman" w:hAnsi="Times New Roman" w:cs="Times New Roman"/>
          <w:sz w:val="24"/>
          <w:szCs w:val="24"/>
        </w:rPr>
        <w:t>-</w:t>
      </w:r>
      <w:r w:rsidRPr="00EA38DE">
        <w:rPr>
          <w:rFonts w:ascii="Times New Roman" w:hAnsi="Times New Roman" w:cs="Times New Roman"/>
          <w:sz w:val="24"/>
          <w:szCs w:val="24"/>
        </w:rPr>
        <w:t>views selects the parsimonious estimates based on efficiency and the maximum lags supplied.</w:t>
      </w:r>
      <w:r w:rsidR="00092BA5" w:rsidRPr="00EA38DE">
        <w:rPr>
          <w:rFonts w:ascii="Times New Roman" w:hAnsi="Times New Roman" w:cs="Times New Roman"/>
          <w:sz w:val="24"/>
          <w:szCs w:val="24"/>
        </w:rPr>
        <w:t xml:space="preserve"> This is observed in the study of Stock &amp; Watson (2020). </w:t>
      </w:r>
      <w:r w:rsidRPr="00EA38DE">
        <w:rPr>
          <w:rFonts w:ascii="Times New Roman" w:hAnsi="Times New Roman" w:cs="Times New Roman"/>
          <w:sz w:val="24"/>
          <w:szCs w:val="24"/>
        </w:rPr>
        <w:t xml:space="preserve">This shows that volatility in the naira is only reflected on shipping costs in the short run.   </w:t>
      </w:r>
    </w:p>
    <w:p w14:paraId="34CCAE05" w14:textId="726FD665" w:rsidR="00BA4645" w:rsidRPr="00EA38DE" w:rsidRDefault="00BA4645" w:rsidP="00C32368">
      <w:pPr>
        <w:tabs>
          <w:tab w:val="num" w:pos="720"/>
        </w:tabs>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The coefficient of the error correction mechanism (ECM</w:t>
      </w:r>
      <w:r w:rsidRPr="00EA38DE">
        <w:rPr>
          <w:rFonts w:ascii="Times New Roman" w:hAnsi="Times New Roman" w:cs="Times New Roman"/>
          <w:sz w:val="24"/>
          <w:szCs w:val="24"/>
          <w:vertAlign w:val="subscript"/>
        </w:rPr>
        <w:t>t-1</w:t>
      </w:r>
      <w:r w:rsidRPr="00EA38DE">
        <w:rPr>
          <w:rFonts w:ascii="Times New Roman" w:hAnsi="Times New Roman" w:cs="Times New Roman"/>
          <w:sz w:val="24"/>
          <w:szCs w:val="24"/>
        </w:rPr>
        <w:t xml:space="preserve">) is negative and highly significant (p = 0.000) across all the models. This confirms the presence of a stable long-run relationship that ensures that equilibrium is always restored in the long run. The value of the coefficients implies adjustment speeds of 49 percent for container throughput, 28.6 percent for shipping cost, and 41 percent for port revenue per period towards equilibrium after any short-run deviations. This </w:t>
      </w:r>
      <w:r w:rsidRPr="00EA38DE">
        <w:rPr>
          <w:rFonts w:ascii="Times New Roman" w:hAnsi="Times New Roman" w:cs="Times New Roman"/>
          <w:sz w:val="24"/>
          <w:szCs w:val="24"/>
        </w:rPr>
        <w:lastRenderedPageBreak/>
        <w:t xml:space="preserve">indicates that adjustment for shipping costs is relatively lower than the other measures of shipping industry performance. </w:t>
      </w:r>
    </w:p>
    <w:p w14:paraId="2B3CB369" w14:textId="28EB85EC" w:rsidR="00BA4645" w:rsidRPr="00EA38DE" w:rsidRDefault="00BA4645" w:rsidP="00C32368">
      <w:pPr>
        <w:tabs>
          <w:tab w:val="num" w:pos="720"/>
        </w:tabs>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It should be noted that the short-run effects highlight adjustment process and immediate responses. Hence, the long-run coefficients are of primary interest in the study since they reflect sustainable policy-relevant outcomes in Nigeria’s blue economy and shipping sector. The results of the long run estimates which show the long</w:t>
      </w:r>
      <w:r w:rsidR="006331E5" w:rsidRPr="00EA38DE">
        <w:rPr>
          <w:rFonts w:ascii="Times New Roman" w:hAnsi="Times New Roman" w:cs="Times New Roman"/>
          <w:sz w:val="24"/>
          <w:szCs w:val="24"/>
        </w:rPr>
        <w:t>-</w:t>
      </w:r>
      <w:r w:rsidRPr="00EA38DE">
        <w:rPr>
          <w:rFonts w:ascii="Times New Roman" w:hAnsi="Times New Roman" w:cs="Times New Roman"/>
          <w:sz w:val="24"/>
          <w:szCs w:val="24"/>
        </w:rPr>
        <w:t>term equilibrium level results are reported in the lower panel of Table 4.7. In the result, the coefficient of exchange rate volatility (EXRT</w:t>
      </w:r>
      <w:r w:rsidR="00E54112" w:rsidRPr="00EA38DE">
        <w:rPr>
          <w:rFonts w:ascii="Times New Roman" w:hAnsi="Times New Roman" w:cs="Times New Roman"/>
          <w:sz w:val="24"/>
          <w:szCs w:val="24"/>
        </w:rPr>
        <w:t>V</w:t>
      </w:r>
      <w:r w:rsidRPr="00EA38DE">
        <w:rPr>
          <w:rFonts w:ascii="Times New Roman" w:hAnsi="Times New Roman" w:cs="Times New Roman"/>
          <w:sz w:val="24"/>
          <w:szCs w:val="24"/>
        </w:rPr>
        <w:t>) is only significant at the 10 percent level for the container throughput (-0.643) and the shipping cost (-0.099) models. The coefficient is however insignificant in the port revenue model. This result indicates that exchange rate volatility has no significant effect on the trends of port revenue in the long run. Exchange rate volatility however has marginally significant negative effects on both thr</w:t>
      </w:r>
      <w:r w:rsidR="00CB4EAC" w:rsidRPr="00EA38DE">
        <w:rPr>
          <w:rFonts w:ascii="Times New Roman" w:hAnsi="Times New Roman" w:cs="Times New Roman"/>
          <w:sz w:val="24"/>
          <w:szCs w:val="24"/>
        </w:rPr>
        <w:t>o</w:t>
      </w:r>
      <w:r w:rsidRPr="00EA38DE">
        <w:rPr>
          <w:rFonts w:ascii="Times New Roman" w:hAnsi="Times New Roman" w:cs="Times New Roman"/>
          <w:sz w:val="24"/>
          <w:szCs w:val="24"/>
        </w:rPr>
        <w:t>u</w:t>
      </w:r>
      <w:r w:rsidR="00CB4EAC" w:rsidRPr="00EA38DE">
        <w:rPr>
          <w:rFonts w:ascii="Times New Roman" w:hAnsi="Times New Roman" w:cs="Times New Roman"/>
          <w:sz w:val="24"/>
          <w:szCs w:val="24"/>
        </w:rPr>
        <w:t>gh</w:t>
      </w:r>
      <w:r w:rsidRPr="00EA38DE">
        <w:rPr>
          <w:rFonts w:ascii="Times New Roman" w:hAnsi="Times New Roman" w:cs="Times New Roman"/>
          <w:sz w:val="24"/>
          <w:szCs w:val="24"/>
        </w:rPr>
        <w:t xml:space="preserve">put and shipping cost. Specifically, an increase in exchange rate volatility tends to reduce container throughput in the long run. This indicates that increased instability of the naira exerts subtle but persistent erosion of shipping volumes in Nigeria over time. This can be directly linked to high uncertainty levels generated by unstable exchange rate. Indeed, the naira has faced frequent and deep fluctuations over the years. The result reveals that volatility in exchange rate tends to deter trade predictability and stifles the shipping industry and overall blue economy growth in Nigeria. </w:t>
      </w:r>
    </w:p>
    <w:p w14:paraId="52BB8275" w14:textId="391DE859" w:rsidR="00BA4645" w:rsidRPr="00EA38DE" w:rsidRDefault="00BA4645" w:rsidP="00C32368">
      <w:pPr>
        <w:tabs>
          <w:tab w:val="num" w:pos="720"/>
        </w:tabs>
        <w:spacing w:after="120" w:line="480" w:lineRule="auto"/>
        <w:jc w:val="both"/>
      </w:pPr>
      <w:r w:rsidRPr="00EA38DE">
        <w:rPr>
          <w:rFonts w:ascii="Times New Roman" w:hAnsi="Times New Roman" w:cs="Times New Roman"/>
          <w:sz w:val="24"/>
          <w:szCs w:val="24"/>
        </w:rPr>
        <w:t>The result also shows that a percentage hike in the naira volatility lowers shipping costs. This outcome is essentially counterintuitively and may reflect adaptive behaviours in the shipping industry in Nigeria. However, this outcome is plausible given that exchange rate volatility tends to depress demand which then forces cost-cutting among exporters and importers. For the control variables, the coefficients of labour and trade freedom trading are both significant in the throughput and cost equations. Thus, labour significantly improves container thr</w:t>
      </w:r>
      <w:r w:rsidR="007E18A5" w:rsidRPr="00EA38DE">
        <w:rPr>
          <w:rFonts w:ascii="Times New Roman" w:hAnsi="Times New Roman" w:cs="Times New Roman"/>
          <w:sz w:val="24"/>
          <w:szCs w:val="24"/>
        </w:rPr>
        <w:t>o</w:t>
      </w:r>
      <w:r w:rsidRPr="00EA38DE">
        <w:rPr>
          <w:rFonts w:ascii="Times New Roman" w:hAnsi="Times New Roman" w:cs="Times New Roman"/>
          <w:sz w:val="24"/>
          <w:szCs w:val="24"/>
        </w:rPr>
        <w:t>u</w:t>
      </w:r>
      <w:r w:rsidR="007E18A5" w:rsidRPr="00EA38DE">
        <w:rPr>
          <w:rFonts w:ascii="Times New Roman" w:hAnsi="Times New Roman" w:cs="Times New Roman"/>
          <w:sz w:val="24"/>
          <w:szCs w:val="24"/>
        </w:rPr>
        <w:t>gh</w:t>
      </w:r>
      <w:r w:rsidRPr="00EA38DE">
        <w:rPr>
          <w:rFonts w:ascii="Times New Roman" w:hAnsi="Times New Roman" w:cs="Times New Roman"/>
          <w:sz w:val="24"/>
          <w:szCs w:val="24"/>
        </w:rPr>
        <w:t xml:space="preserve">put which empahises </w:t>
      </w:r>
      <w:r w:rsidRPr="00EA38DE">
        <w:rPr>
          <w:rFonts w:ascii="Times New Roman" w:hAnsi="Times New Roman" w:cs="Times New Roman"/>
          <w:sz w:val="24"/>
          <w:szCs w:val="24"/>
        </w:rPr>
        <w:lastRenderedPageBreak/>
        <w:t>Nigeria’s labour-intensive shipping sector. Increased freedom of international trade (limited tariffs and barriers) is also show to increase thr</w:t>
      </w:r>
      <w:r w:rsidR="00D16294" w:rsidRPr="00EA38DE">
        <w:rPr>
          <w:rFonts w:ascii="Times New Roman" w:hAnsi="Times New Roman" w:cs="Times New Roman"/>
          <w:sz w:val="24"/>
          <w:szCs w:val="24"/>
        </w:rPr>
        <w:t>o</w:t>
      </w:r>
      <w:r w:rsidRPr="00EA38DE">
        <w:rPr>
          <w:rFonts w:ascii="Times New Roman" w:hAnsi="Times New Roman" w:cs="Times New Roman"/>
          <w:sz w:val="24"/>
          <w:szCs w:val="24"/>
        </w:rPr>
        <w:t>u</w:t>
      </w:r>
      <w:r w:rsidR="00D16294" w:rsidRPr="00EA38DE">
        <w:rPr>
          <w:rFonts w:ascii="Times New Roman" w:hAnsi="Times New Roman" w:cs="Times New Roman"/>
          <w:sz w:val="24"/>
          <w:szCs w:val="24"/>
        </w:rPr>
        <w:t>gh</w:t>
      </w:r>
      <w:r w:rsidRPr="00EA38DE">
        <w:rPr>
          <w:rFonts w:ascii="Times New Roman" w:hAnsi="Times New Roman" w:cs="Times New Roman"/>
          <w:sz w:val="24"/>
          <w:szCs w:val="24"/>
        </w:rPr>
        <w:t>put and shipping costs. This also reflects the benefits of reduced tariffs and barriers in enhancing the shipping industry in Nigeria over time.</w:t>
      </w:r>
    </w:p>
    <w:p w14:paraId="7E88AEFF" w14:textId="77777777" w:rsidR="00BA4645" w:rsidRPr="00EA38DE" w:rsidRDefault="00BA4645" w:rsidP="00C32368">
      <w:pPr>
        <w:tabs>
          <w:tab w:val="num" w:pos="720"/>
        </w:tabs>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results of the impact of fisheries production (FSH) on the three key indicators of Nigeria’s shipping industry performance are presented in Table 4.8. The models also report impressive goodness of fit indicators. The adjusted R-squared values (0.647 for container throughput, 0.381 for shipping cost, and, 0.710 for port revenue) are relatively high and indicate that the models explain a substantial portion of variation in the dependent variables. The throughput and port revenue models particularly perform well in terms of predictive capacity. The Durbin-Watson statistics for the estimates are all close to 2.0 and confirm the absence of significant autocorrelation. This also supports the reliability of the results. The F-statistic values are significant at the 6 percent level and reveal that the regressors are jointly significant with the respective dependent variables. </w:t>
      </w:r>
    </w:p>
    <w:p w14:paraId="5CAE6D70" w14:textId="77EF0AFB" w:rsidR="00BA4645" w:rsidRPr="00EA38DE" w:rsidRDefault="00BA4645" w:rsidP="00BA4645">
      <w:pPr>
        <w:spacing w:after="0"/>
        <w:rPr>
          <w:rFonts w:ascii="Times New Roman" w:hAnsi="Times New Roman" w:cs="Times New Roman"/>
          <w:b/>
          <w:bCs/>
          <w:sz w:val="20"/>
          <w:szCs w:val="20"/>
        </w:rPr>
      </w:pPr>
      <w:r w:rsidRPr="00EA38DE">
        <w:rPr>
          <w:rFonts w:ascii="Times New Roman" w:hAnsi="Times New Roman" w:cs="Times New Roman"/>
          <w:b/>
          <w:bCs/>
          <w:sz w:val="20"/>
          <w:szCs w:val="20"/>
        </w:rPr>
        <w:t>Table 4.8</w:t>
      </w:r>
      <w:r w:rsidR="00F72D9A" w:rsidRPr="00EA38DE">
        <w:rPr>
          <w:rFonts w:ascii="Times New Roman" w:hAnsi="Times New Roman" w:cs="Times New Roman"/>
          <w:b/>
          <w:bCs/>
          <w:sz w:val="20"/>
          <w:szCs w:val="20"/>
        </w:rPr>
        <w:t>:</w:t>
      </w:r>
      <w:r w:rsidRPr="00EA38DE">
        <w:rPr>
          <w:rFonts w:ascii="Times New Roman" w:hAnsi="Times New Roman" w:cs="Times New Roman"/>
          <w:b/>
          <w:bCs/>
          <w:sz w:val="20"/>
          <w:szCs w:val="20"/>
        </w:rPr>
        <w:t xml:space="preserve"> Results for Fisheries Production and Shipping Industry Financial Performance </w:t>
      </w:r>
    </w:p>
    <w:tbl>
      <w:tblPr>
        <w:tblW w:w="8677" w:type="dxa"/>
        <w:tblLook w:val="04A0" w:firstRow="1" w:lastRow="0" w:firstColumn="1" w:lastColumn="0" w:noHBand="0" w:noVBand="1"/>
      </w:tblPr>
      <w:tblGrid>
        <w:gridCol w:w="1717"/>
        <w:gridCol w:w="1160"/>
        <w:gridCol w:w="1160"/>
        <w:gridCol w:w="1160"/>
        <w:gridCol w:w="1160"/>
        <w:gridCol w:w="1160"/>
        <w:gridCol w:w="1160"/>
      </w:tblGrid>
      <w:tr w:rsidR="00EA38DE" w:rsidRPr="00EA38DE" w14:paraId="1DB98AAC" w14:textId="77777777" w:rsidTr="00164181">
        <w:trPr>
          <w:trHeight w:val="70"/>
        </w:trPr>
        <w:tc>
          <w:tcPr>
            <w:tcW w:w="1717" w:type="dxa"/>
            <w:vMerge w:val="restart"/>
            <w:tcBorders>
              <w:top w:val="single" w:sz="4" w:space="0" w:color="auto"/>
              <w:left w:val="nil"/>
              <w:right w:val="nil"/>
            </w:tcBorders>
            <w:noWrap/>
            <w:vAlign w:val="center"/>
          </w:tcPr>
          <w:p w14:paraId="2AA944D2" w14:textId="77777777" w:rsidR="00BA4645" w:rsidRPr="00EA38DE" w:rsidRDefault="00BA4645" w:rsidP="00C32368">
            <w:pPr>
              <w:spacing w:after="0" w:line="240" w:lineRule="auto"/>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Variable</w:t>
            </w:r>
          </w:p>
        </w:tc>
        <w:tc>
          <w:tcPr>
            <w:tcW w:w="2320" w:type="dxa"/>
            <w:gridSpan w:val="2"/>
            <w:tcBorders>
              <w:top w:val="single" w:sz="4" w:space="0" w:color="auto"/>
              <w:left w:val="nil"/>
              <w:bottom w:val="single" w:sz="4" w:space="0" w:color="auto"/>
              <w:right w:val="nil"/>
            </w:tcBorders>
            <w:noWrap/>
            <w:vAlign w:val="center"/>
          </w:tcPr>
          <w:p w14:paraId="3AC1EBAE"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Container thruput</w:t>
            </w:r>
          </w:p>
        </w:tc>
        <w:tc>
          <w:tcPr>
            <w:tcW w:w="2320" w:type="dxa"/>
            <w:gridSpan w:val="2"/>
            <w:tcBorders>
              <w:top w:val="single" w:sz="4" w:space="0" w:color="auto"/>
              <w:left w:val="nil"/>
              <w:bottom w:val="single" w:sz="4" w:space="0" w:color="auto"/>
              <w:right w:val="nil"/>
            </w:tcBorders>
            <w:noWrap/>
            <w:vAlign w:val="center"/>
          </w:tcPr>
          <w:p w14:paraId="3C7B3F50"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Shipping cost</w:t>
            </w:r>
          </w:p>
        </w:tc>
        <w:tc>
          <w:tcPr>
            <w:tcW w:w="2320" w:type="dxa"/>
            <w:gridSpan w:val="2"/>
            <w:tcBorders>
              <w:top w:val="single" w:sz="4" w:space="0" w:color="auto"/>
              <w:left w:val="nil"/>
              <w:bottom w:val="single" w:sz="4" w:space="0" w:color="auto"/>
              <w:right w:val="nil"/>
            </w:tcBorders>
            <w:noWrap/>
            <w:vAlign w:val="center"/>
          </w:tcPr>
          <w:p w14:paraId="5F38B661"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Port revenue</w:t>
            </w:r>
          </w:p>
        </w:tc>
      </w:tr>
      <w:tr w:rsidR="00EA38DE" w:rsidRPr="00EA38DE" w14:paraId="6E0BD266" w14:textId="77777777" w:rsidTr="00C32368">
        <w:trPr>
          <w:trHeight w:val="107"/>
        </w:trPr>
        <w:tc>
          <w:tcPr>
            <w:tcW w:w="1717" w:type="dxa"/>
            <w:vMerge/>
            <w:tcBorders>
              <w:left w:val="nil"/>
              <w:bottom w:val="single" w:sz="4" w:space="0" w:color="auto"/>
              <w:right w:val="nil"/>
            </w:tcBorders>
            <w:noWrap/>
            <w:vAlign w:val="center"/>
            <w:hideMark/>
          </w:tcPr>
          <w:p w14:paraId="72099D62" w14:textId="77777777" w:rsidR="00BA4645" w:rsidRPr="00EA38DE" w:rsidRDefault="00BA4645" w:rsidP="00C32368">
            <w:pPr>
              <w:spacing w:after="0" w:line="240" w:lineRule="auto"/>
              <w:rPr>
                <w:rFonts w:ascii="Times New Roman" w:eastAsia="Times New Roman" w:hAnsi="Times New Roman" w:cs="Times New Roman"/>
                <w:b/>
                <w:bCs/>
                <w:sz w:val="20"/>
                <w:szCs w:val="20"/>
              </w:rPr>
            </w:pPr>
          </w:p>
        </w:tc>
        <w:tc>
          <w:tcPr>
            <w:tcW w:w="1160" w:type="dxa"/>
            <w:tcBorders>
              <w:top w:val="single" w:sz="4" w:space="0" w:color="auto"/>
              <w:left w:val="nil"/>
              <w:bottom w:val="single" w:sz="4" w:space="0" w:color="auto"/>
              <w:right w:val="nil"/>
            </w:tcBorders>
            <w:noWrap/>
            <w:vAlign w:val="center"/>
            <w:hideMark/>
          </w:tcPr>
          <w:p w14:paraId="75E79B94"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160" w:type="dxa"/>
            <w:tcBorders>
              <w:top w:val="single" w:sz="4" w:space="0" w:color="auto"/>
              <w:left w:val="nil"/>
              <w:bottom w:val="single" w:sz="4" w:space="0" w:color="auto"/>
              <w:right w:val="nil"/>
            </w:tcBorders>
            <w:noWrap/>
            <w:vAlign w:val="center"/>
            <w:hideMark/>
          </w:tcPr>
          <w:p w14:paraId="51487B05"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160" w:type="dxa"/>
            <w:tcBorders>
              <w:top w:val="single" w:sz="4" w:space="0" w:color="auto"/>
              <w:left w:val="nil"/>
              <w:bottom w:val="single" w:sz="4" w:space="0" w:color="auto"/>
              <w:right w:val="nil"/>
            </w:tcBorders>
            <w:noWrap/>
            <w:vAlign w:val="center"/>
            <w:hideMark/>
          </w:tcPr>
          <w:p w14:paraId="64A44B33"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160" w:type="dxa"/>
            <w:tcBorders>
              <w:top w:val="single" w:sz="4" w:space="0" w:color="auto"/>
              <w:left w:val="nil"/>
              <w:bottom w:val="single" w:sz="4" w:space="0" w:color="auto"/>
              <w:right w:val="nil"/>
            </w:tcBorders>
            <w:noWrap/>
            <w:vAlign w:val="center"/>
            <w:hideMark/>
          </w:tcPr>
          <w:p w14:paraId="0DE5E24F"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160" w:type="dxa"/>
            <w:tcBorders>
              <w:top w:val="single" w:sz="4" w:space="0" w:color="auto"/>
              <w:left w:val="nil"/>
              <w:bottom w:val="single" w:sz="4" w:space="0" w:color="auto"/>
              <w:right w:val="nil"/>
            </w:tcBorders>
            <w:noWrap/>
            <w:vAlign w:val="center"/>
            <w:hideMark/>
          </w:tcPr>
          <w:p w14:paraId="4727B110"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160" w:type="dxa"/>
            <w:tcBorders>
              <w:top w:val="single" w:sz="4" w:space="0" w:color="auto"/>
              <w:left w:val="nil"/>
              <w:bottom w:val="single" w:sz="4" w:space="0" w:color="auto"/>
              <w:right w:val="nil"/>
            </w:tcBorders>
            <w:noWrap/>
            <w:vAlign w:val="center"/>
            <w:hideMark/>
          </w:tcPr>
          <w:p w14:paraId="58C08DC6" w14:textId="77777777" w:rsidR="00BA4645" w:rsidRPr="00EA38DE" w:rsidRDefault="00BA4645" w:rsidP="00C32368">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r>
      <w:tr w:rsidR="00EA38DE" w:rsidRPr="00EA38DE" w14:paraId="74A6D085" w14:textId="77777777" w:rsidTr="00C32368">
        <w:trPr>
          <w:trHeight w:val="143"/>
        </w:trPr>
        <w:tc>
          <w:tcPr>
            <w:tcW w:w="1717" w:type="dxa"/>
            <w:tcBorders>
              <w:top w:val="single" w:sz="4" w:space="0" w:color="auto"/>
              <w:left w:val="nil"/>
              <w:bottom w:val="single" w:sz="4" w:space="0" w:color="auto"/>
              <w:right w:val="nil"/>
            </w:tcBorders>
            <w:noWrap/>
            <w:vAlign w:val="center"/>
            <w:hideMark/>
          </w:tcPr>
          <w:p w14:paraId="56937B5B" w14:textId="77777777" w:rsidR="00BA4645" w:rsidRPr="00EA38DE" w:rsidRDefault="00BA4645" w:rsidP="00C32368">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Short run</w:t>
            </w:r>
          </w:p>
        </w:tc>
        <w:tc>
          <w:tcPr>
            <w:tcW w:w="1160" w:type="dxa"/>
            <w:tcBorders>
              <w:top w:val="single" w:sz="4" w:space="0" w:color="auto"/>
              <w:left w:val="nil"/>
              <w:bottom w:val="nil"/>
              <w:right w:val="nil"/>
            </w:tcBorders>
            <w:noWrap/>
            <w:vAlign w:val="center"/>
            <w:hideMark/>
          </w:tcPr>
          <w:p w14:paraId="72F025E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01EAF294"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2D68BB5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25E8769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621B4CB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4C5BB11F"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173B9AC9" w14:textId="77777777" w:rsidTr="00C32368">
        <w:trPr>
          <w:trHeight w:val="70"/>
        </w:trPr>
        <w:tc>
          <w:tcPr>
            <w:tcW w:w="1717" w:type="dxa"/>
            <w:tcBorders>
              <w:top w:val="single" w:sz="4" w:space="0" w:color="auto"/>
              <w:left w:val="nil"/>
              <w:bottom w:val="nil"/>
              <w:right w:val="nil"/>
            </w:tcBorders>
            <w:noWrap/>
            <w:vAlign w:val="center"/>
            <w:hideMark/>
          </w:tcPr>
          <w:p w14:paraId="3E9A6B7D"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ΔFSH</w:t>
            </w:r>
          </w:p>
        </w:tc>
        <w:tc>
          <w:tcPr>
            <w:tcW w:w="1160" w:type="dxa"/>
            <w:tcBorders>
              <w:top w:val="nil"/>
              <w:left w:val="nil"/>
              <w:bottom w:val="nil"/>
              <w:right w:val="nil"/>
            </w:tcBorders>
            <w:noWrap/>
            <w:vAlign w:val="center"/>
            <w:hideMark/>
          </w:tcPr>
          <w:p w14:paraId="451A66E9"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0.341</w:t>
            </w:r>
          </w:p>
        </w:tc>
        <w:tc>
          <w:tcPr>
            <w:tcW w:w="1160" w:type="dxa"/>
            <w:tcBorders>
              <w:top w:val="nil"/>
              <w:left w:val="nil"/>
              <w:bottom w:val="nil"/>
              <w:right w:val="nil"/>
            </w:tcBorders>
            <w:noWrap/>
            <w:vAlign w:val="center"/>
            <w:hideMark/>
          </w:tcPr>
          <w:p w14:paraId="20EAE3F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0.079</w:t>
            </w:r>
          </w:p>
        </w:tc>
        <w:tc>
          <w:tcPr>
            <w:tcW w:w="1160" w:type="dxa"/>
            <w:tcBorders>
              <w:top w:val="nil"/>
              <w:left w:val="nil"/>
              <w:bottom w:val="nil"/>
              <w:right w:val="nil"/>
            </w:tcBorders>
            <w:noWrap/>
            <w:vAlign w:val="center"/>
            <w:hideMark/>
          </w:tcPr>
          <w:p w14:paraId="6E37729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0.085</w:t>
            </w:r>
          </w:p>
        </w:tc>
        <w:tc>
          <w:tcPr>
            <w:tcW w:w="1160" w:type="dxa"/>
            <w:tcBorders>
              <w:top w:val="nil"/>
              <w:left w:val="nil"/>
              <w:bottom w:val="nil"/>
              <w:right w:val="nil"/>
            </w:tcBorders>
            <w:noWrap/>
            <w:vAlign w:val="center"/>
            <w:hideMark/>
          </w:tcPr>
          <w:p w14:paraId="6033BCC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0.685</w:t>
            </w:r>
          </w:p>
        </w:tc>
        <w:tc>
          <w:tcPr>
            <w:tcW w:w="1160" w:type="dxa"/>
            <w:tcBorders>
              <w:top w:val="nil"/>
              <w:left w:val="nil"/>
              <w:bottom w:val="nil"/>
              <w:right w:val="nil"/>
            </w:tcBorders>
            <w:noWrap/>
            <w:vAlign w:val="center"/>
            <w:hideMark/>
          </w:tcPr>
          <w:p w14:paraId="3BDD376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30A3CEA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74C5C9B8" w14:textId="77777777" w:rsidTr="009501B5">
        <w:trPr>
          <w:trHeight w:val="293"/>
        </w:trPr>
        <w:tc>
          <w:tcPr>
            <w:tcW w:w="1717" w:type="dxa"/>
            <w:tcBorders>
              <w:top w:val="nil"/>
              <w:left w:val="nil"/>
              <w:bottom w:val="nil"/>
              <w:right w:val="nil"/>
            </w:tcBorders>
            <w:noWrap/>
            <w:vAlign w:val="center"/>
            <w:hideMark/>
          </w:tcPr>
          <w:p w14:paraId="64ADDABF"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ΔFSH</w:t>
            </w:r>
            <w:r w:rsidRPr="00EA38DE">
              <w:rPr>
                <w:rFonts w:ascii="Times New Roman" w:eastAsia="Times New Roman" w:hAnsi="Times New Roman" w:cs="Times New Roman"/>
                <w:sz w:val="20"/>
                <w:szCs w:val="20"/>
                <w:vertAlign w:val="subscript"/>
              </w:rPr>
              <w:t>t-1</w:t>
            </w:r>
          </w:p>
        </w:tc>
        <w:tc>
          <w:tcPr>
            <w:tcW w:w="1160" w:type="dxa"/>
            <w:tcBorders>
              <w:top w:val="nil"/>
              <w:left w:val="nil"/>
              <w:bottom w:val="nil"/>
              <w:right w:val="nil"/>
            </w:tcBorders>
            <w:noWrap/>
            <w:vAlign w:val="center"/>
            <w:hideMark/>
          </w:tcPr>
          <w:p w14:paraId="7CADC76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0.968</w:t>
            </w:r>
          </w:p>
        </w:tc>
        <w:tc>
          <w:tcPr>
            <w:tcW w:w="1160" w:type="dxa"/>
            <w:tcBorders>
              <w:top w:val="nil"/>
              <w:left w:val="nil"/>
              <w:bottom w:val="nil"/>
              <w:right w:val="nil"/>
            </w:tcBorders>
            <w:noWrap/>
            <w:vAlign w:val="center"/>
            <w:hideMark/>
          </w:tcPr>
          <w:p w14:paraId="31C7711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60" w:type="dxa"/>
            <w:tcBorders>
              <w:top w:val="nil"/>
              <w:left w:val="nil"/>
              <w:bottom w:val="nil"/>
              <w:right w:val="nil"/>
            </w:tcBorders>
            <w:noWrap/>
            <w:vAlign w:val="center"/>
            <w:hideMark/>
          </w:tcPr>
          <w:p w14:paraId="4B4B5674"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0.384</w:t>
            </w:r>
          </w:p>
        </w:tc>
        <w:tc>
          <w:tcPr>
            <w:tcW w:w="1160" w:type="dxa"/>
            <w:tcBorders>
              <w:top w:val="nil"/>
              <w:left w:val="nil"/>
              <w:bottom w:val="nil"/>
              <w:right w:val="nil"/>
            </w:tcBorders>
            <w:noWrap/>
            <w:vAlign w:val="center"/>
            <w:hideMark/>
          </w:tcPr>
          <w:p w14:paraId="24406FB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0.120</w:t>
            </w:r>
          </w:p>
        </w:tc>
        <w:tc>
          <w:tcPr>
            <w:tcW w:w="1160" w:type="dxa"/>
            <w:tcBorders>
              <w:top w:val="nil"/>
              <w:left w:val="nil"/>
              <w:bottom w:val="nil"/>
              <w:right w:val="nil"/>
            </w:tcBorders>
            <w:noWrap/>
            <w:vAlign w:val="center"/>
            <w:hideMark/>
          </w:tcPr>
          <w:p w14:paraId="570A959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4C18F6E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145A0158" w14:textId="77777777" w:rsidTr="00C32368">
        <w:trPr>
          <w:trHeight w:val="80"/>
        </w:trPr>
        <w:tc>
          <w:tcPr>
            <w:tcW w:w="1717" w:type="dxa"/>
            <w:tcBorders>
              <w:top w:val="nil"/>
              <w:left w:val="nil"/>
              <w:bottom w:val="nil"/>
              <w:right w:val="nil"/>
            </w:tcBorders>
            <w:noWrap/>
            <w:vAlign w:val="center"/>
            <w:hideMark/>
          </w:tcPr>
          <w:p w14:paraId="62D8A010"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ΔFSH</w:t>
            </w:r>
            <w:r w:rsidRPr="00EA38DE">
              <w:rPr>
                <w:rFonts w:ascii="Times New Roman" w:eastAsia="Times New Roman" w:hAnsi="Times New Roman" w:cs="Times New Roman"/>
                <w:sz w:val="20"/>
                <w:szCs w:val="20"/>
                <w:vertAlign w:val="subscript"/>
              </w:rPr>
              <w:t>t-2</w:t>
            </w:r>
          </w:p>
        </w:tc>
        <w:tc>
          <w:tcPr>
            <w:tcW w:w="1160" w:type="dxa"/>
            <w:tcBorders>
              <w:top w:val="nil"/>
              <w:left w:val="nil"/>
              <w:bottom w:val="nil"/>
              <w:right w:val="nil"/>
            </w:tcBorders>
            <w:noWrap/>
            <w:vAlign w:val="center"/>
            <w:hideMark/>
          </w:tcPr>
          <w:p w14:paraId="2B816858"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1.070</w:t>
            </w:r>
          </w:p>
        </w:tc>
        <w:tc>
          <w:tcPr>
            <w:tcW w:w="1160" w:type="dxa"/>
            <w:tcBorders>
              <w:top w:val="nil"/>
              <w:left w:val="nil"/>
              <w:bottom w:val="nil"/>
              <w:right w:val="nil"/>
            </w:tcBorders>
            <w:noWrap/>
            <w:vAlign w:val="center"/>
            <w:hideMark/>
          </w:tcPr>
          <w:p w14:paraId="1E8CCC5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60" w:type="dxa"/>
            <w:tcBorders>
              <w:top w:val="nil"/>
              <w:left w:val="nil"/>
              <w:bottom w:val="nil"/>
              <w:right w:val="nil"/>
            </w:tcBorders>
            <w:noWrap/>
            <w:vAlign w:val="center"/>
            <w:hideMark/>
          </w:tcPr>
          <w:p w14:paraId="1A87ED51"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6BA7E961"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23B12DD8"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5F3877D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7A5E75FA" w14:textId="77777777" w:rsidTr="00C32368">
        <w:trPr>
          <w:trHeight w:val="80"/>
        </w:trPr>
        <w:tc>
          <w:tcPr>
            <w:tcW w:w="1717" w:type="dxa"/>
            <w:tcBorders>
              <w:top w:val="nil"/>
              <w:left w:val="nil"/>
              <w:bottom w:val="nil"/>
              <w:right w:val="nil"/>
            </w:tcBorders>
            <w:noWrap/>
            <w:vAlign w:val="center"/>
            <w:hideMark/>
          </w:tcPr>
          <w:p w14:paraId="5BF25413"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p>
        </w:tc>
        <w:tc>
          <w:tcPr>
            <w:tcW w:w="1160" w:type="dxa"/>
            <w:tcBorders>
              <w:top w:val="nil"/>
              <w:left w:val="nil"/>
              <w:bottom w:val="nil"/>
              <w:right w:val="nil"/>
            </w:tcBorders>
            <w:noWrap/>
            <w:vAlign w:val="center"/>
            <w:hideMark/>
          </w:tcPr>
          <w:p w14:paraId="7A904533"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160" w:type="dxa"/>
            <w:tcBorders>
              <w:top w:val="nil"/>
              <w:left w:val="nil"/>
              <w:bottom w:val="nil"/>
              <w:right w:val="nil"/>
            </w:tcBorders>
            <w:noWrap/>
            <w:vAlign w:val="center"/>
            <w:hideMark/>
          </w:tcPr>
          <w:p w14:paraId="0BBBAFB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0.516</w:t>
            </w:r>
          </w:p>
        </w:tc>
        <w:tc>
          <w:tcPr>
            <w:tcW w:w="1160" w:type="dxa"/>
            <w:tcBorders>
              <w:top w:val="nil"/>
              <w:left w:val="nil"/>
              <w:bottom w:val="nil"/>
              <w:right w:val="nil"/>
            </w:tcBorders>
            <w:noWrap/>
            <w:vAlign w:val="center"/>
            <w:hideMark/>
          </w:tcPr>
          <w:p w14:paraId="3A51A30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68E81450"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2A6039E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489AEC0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6CF30995" w14:textId="77777777" w:rsidTr="00C32368">
        <w:trPr>
          <w:trHeight w:val="90"/>
        </w:trPr>
        <w:tc>
          <w:tcPr>
            <w:tcW w:w="1717" w:type="dxa"/>
            <w:tcBorders>
              <w:top w:val="nil"/>
              <w:left w:val="nil"/>
              <w:bottom w:val="nil"/>
              <w:right w:val="nil"/>
            </w:tcBorders>
            <w:noWrap/>
            <w:vAlign w:val="center"/>
            <w:hideMark/>
          </w:tcPr>
          <w:p w14:paraId="14E0EE0F"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r w:rsidRPr="00EA38DE">
              <w:rPr>
                <w:rFonts w:ascii="Times New Roman" w:eastAsia="Times New Roman" w:hAnsi="Times New Roman" w:cs="Times New Roman"/>
                <w:sz w:val="20"/>
                <w:szCs w:val="20"/>
                <w:vertAlign w:val="subscript"/>
              </w:rPr>
              <w:t>t-1</w:t>
            </w:r>
          </w:p>
        </w:tc>
        <w:tc>
          <w:tcPr>
            <w:tcW w:w="1160" w:type="dxa"/>
            <w:tcBorders>
              <w:top w:val="nil"/>
              <w:left w:val="nil"/>
              <w:bottom w:val="nil"/>
              <w:right w:val="nil"/>
            </w:tcBorders>
            <w:noWrap/>
            <w:vAlign w:val="center"/>
            <w:hideMark/>
          </w:tcPr>
          <w:p w14:paraId="14198134"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0.005</w:t>
            </w:r>
          </w:p>
        </w:tc>
        <w:tc>
          <w:tcPr>
            <w:tcW w:w="1160" w:type="dxa"/>
            <w:tcBorders>
              <w:top w:val="nil"/>
              <w:left w:val="nil"/>
              <w:bottom w:val="nil"/>
              <w:right w:val="nil"/>
            </w:tcBorders>
            <w:noWrap/>
            <w:vAlign w:val="center"/>
            <w:hideMark/>
          </w:tcPr>
          <w:p w14:paraId="317E73D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0.005</w:t>
            </w:r>
          </w:p>
        </w:tc>
        <w:tc>
          <w:tcPr>
            <w:tcW w:w="1160" w:type="dxa"/>
            <w:tcBorders>
              <w:top w:val="nil"/>
              <w:left w:val="nil"/>
              <w:bottom w:val="nil"/>
              <w:right w:val="nil"/>
            </w:tcBorders>
            <w:noWrap/>
            <w:vAlign w:val="center"/>
            <w:hideMark/>
          </w:tcPr>
          <w:p w14:paraId="5B2FEC88"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5891F1E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71FAE6B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4172D21A"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5D4A04ED" w14:textId="77777777" w:rsidTr="00C32368">
        <w:trPr>
          <w:trHeight w:val="117"/>
        </w:trPr>
        <w:tc>
          <w:tcPr>
            <w:tcW w:w="1717" w:type="dxa"/>
            <w:tcBorders>
              <w:top w:val="nil"/>
              <w:left w:val="nil"/>
              <w:bottom w:val="nil"/>
              <w:right w:val="nil"/>
            </w:tcBorders>
            <w:noWrap/>
            <w:vAlign w:val="center"/>
            <w:hideMark/>
          </w:tcPr>
          <w:p w14:paraId="42C386AD"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r w:rsidRPr="00EA38DE">
              <w:rPr>
                <w:rFonts w:ascii="Times New Roman" w:eastAsia="Times New Roman" w:hAnsi="Times New Roman" w:cs="Times New Roman"/>
                <w:sz w:val="20"/>
                <w:szCs w:val="20"/>
                <w:vertAlign w:val="subscript"/>
              </w:rPr>
              <w:t>t-2</w:t>
            </w:r>
          </w:p>
        </w:tc>
        <w:tc>
          <w:tcPr>
            <w:tcW w:w="1160" w:type="dxa"/>
            <w:tcBorders>
              <w:top w:val="nil"/>
              <w:left w:val="nil"/>
              <w:bottom w:val="nil"/>
              <w:right w:val="nil"/>
            </w:tcBorders>
            <w:noWrap/>
            <w:vAlign w:val="center"/>
            <w:hideMark/>
          </w:tcPr>
          <w:p w14:paraId="621263E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0.006</w:t>
            </w:r>
          </w:p>
        </w:tc>
        <w:tc>
          <w:tcPr>
            <w:tcW w:w="1160" w:type="dxa"/>
            <w:tcBorders>
              <w:top w:val="nil"/>
              <w:left w:val="nil"/>
              <w:bottom w:val="nil"/>
              <w:right w:val="nil"/>
            </w:tcBorders>
            <w:noWrap/>
            <w:vAlign w:val="center"/>
            <w:hideMark/>
          </w:tcPr>
          <w:p w14:paraId="768F7293"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160" w:type="dxa"/>
            <w:tcBorders>
              <w:top w:val="nil"/>
              <w:left w:val="nil"/>
              <w:bottom w:val="nil"/>
              <w:right w:val="nil"/>
            </w:tcBorders>
            <w:noWrap/>
            <w:vAlign w:val="center"/>
            <w:hideMark/>
          </w:tcPr>
          <w:p w14:paraId="782B738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35FCD5B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3F9ECFA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4A91FAA9"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0CC564B4" w14:textId="77777777" w:rsidTr="00C32368">
        <w:trPr>
          <w:trHeight w:val="162"/>
        </w:trPr>
        <w:tc>
          <w:tcPr>
            <w:tcW w:w="1717" w:type="dxa"/>
            <w:tcBorders>
              <w:top w:val="nil"/>
              <w:left w:val="nil"/>
              <w:bottom w:val="nil"/>
              <w:right w:val="nil"/>
            </w:tcBorders>
            <w:noWrap/>
            <w:vAlign w:val="center"/>
            <w:hideMark/>
          </w:tcPr>
          <w:p w14:paraId="7BABE8A3"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p>
        </w:tc>
        <w:tc>
          <w:tcPr>
            <w:tcW w:w="1160" w:type="dxa"/>
            <w:tcBorders>
              <w:top w:val="nil"/>
              <w:left w:val="nil"/>
              <w:bottom w:val="nil"/>
              <w:right w:val="nil"/>
            </w:tcBorders>
            <w:noWrap/>
            <w:vAlign w:val="center"/>
            <w:hideMark/>
          </w:tcPr>
          <w:p w14:paraId="0D08AEA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-6.072</w:t>
            </w:r>
          </w:p>
        </w:tc>
        <w:tc>
          <w:tcPr>
            <w:tcW w:w="1160" w:type="dxa"/>
            <w:tcBorders>
              <w:top w:val="nil"/>
              <w:left w:val="nil"/>
              <w:bottom w:val="nil"/>
              <w:right w:val="nil"/>
            </w:tcBorders>
            <w:noWrap/>
            <w:vAlign w:val="center"/>
            <w:hideMark/>
          </w:tcPr>
          <w:p w14:paraId="2121E74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60" w:type="dxa"/>
            <w:tcBorders>
              <w:top w:val="nil"/>
              <w:left w:val="nil"/>
              <w:bottom w:val="nil"/>
              <w:right w:val="nil"/>
            </w:tcBorders>
            <w:noWrap/>
            <w:vAlign w:val="center"/>
            <w:hideMark/>
          </w:tcPr>
          <w:p w14:paraId="2CB1A299"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35B7965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5F0F110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5.940</w:t>
            </w:r>
          </w:p>
        </w:tc>
        <w:tc>
          <w:tcPr>
            <w:tcW w:w="1160" w:type="dxa"/>
            <w:tcBorders>
              <w:top w:val="nil"/>
              <w:left w:val="nil"/>
              <w:bottom w:val="nil"/>
              <w:right w:val="nil"/>
            </w:tcBorders>
            <w:noWrap/>
            <w:vAlign w:val="center"/>
            <w:hideMark/>
          </w:tcPr>
          <w:p w14:paraId="600DCEDA"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7EE96900" w14:textId="77777777" w:rsidTr="00C32368">
        <w:trPr>
          <w:trHeight w:val="80"/>
        </w:trPr>
        <w:tc>
          <w:tcPr>
            <w:tcW w:w="1717" w:type="dxa"/>
            <w:tcBorders>
              <w:top w:val="nil"/>
              <w:left w:val="nil"/>
              <w:bottom w:val="nil"/>
              <w:right w:val="nil"/>
            </w:tcBorders>
            <w:noWrap/>
            <w:vAlign w:val="center"/>
            <w:hideMark/>
          </w:tcPr>
          <w:p w14:paraId="0BB50943"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r w:rsidRPr="00EA38DE">
              <w:rPr>
                <w:rFonts w:ascii="Times New Roman" w:eastAsia="Times New Roman" w:hAnsi="Times New Roman" w:cs="Times New Roman"/>
                <w:sz w:val="20"/>
                <w:szCs w:val="20"/>
                <w:vertAlign w:val="subscript"/>
              </w:rPr>
              <w:t>t-1</w:t>
            </w:r>
          </w:p>
        </w:tc>
        <w:tc>
          <w:tcPr>
            <w:tcW w:w="1160" w:type="dxa"/>
            <w:tcBorders>
              <w:top w:val="nil"/>
              <w:left w:val="nil"/>
              <w:bottom w:val="nil"/>
              <w:right w:val="nil"/>
            </w:tcBorders>
            <w:noWrap/>
            <w:vAlign w:val="center"/>
            <w:hideMark/>
          </w:tcPr>
          <w:p w14:paraId="3B3107D6"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27.447</w:t>
            </w:r>
          </w:p>
        </w:tc>
        <w:tc>
          <w:tcPr>
            <w:tcW w:w="1160" w:type="dxa"/>
            <w:tcBorders>
              <w:top w:val="nil"/>
              <w:left w:val="nil"/>
              <w:bottom w:val="nil"/>
              <w:right w:val="nil"/>
            </w:tcBorders>
            <w:noWrap/>
            <w:vAlign w:val="center"/>
            <w:hideMark/>
          </w:tcPr>
          <w:p w14:paraId="630674E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60" w:type="dxa"/>
            <w:tcBorders>
              <w:top w:val="nil"/>
              <w:left w:val="nil"/>
              <w:bottom w:val="nil"/>
              <w:right w:val="nil"/>
            </w:tcBorders>
            <w:noWrap/>
            <w:vAlign w:val="center"/>
            <w:hideMark/>
          </w:tcPr>
          <w:p w14:paraId="09C0C6A6"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43918F4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4232100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159E8F3A"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2BF6DA85" w14:textId="77777777" w:rsidTr="00C32368">
        <w:trPr>
          <w:trHeight w:val="80"/>
        </w:trPr>
        <w:tc>
          <w:tcPr>
            <w:tcW w:w="1717" w:type="dxa"/>
            <w:tcBorders>
              <w:top w:val="nil"/>
              <w:left w:val="nil"/>
              <w:right w:val="nil"/>
            </w:tcBorders>
            <w:noWrap/>
            <w:vAlign w:val="center"/>
            <w:hideMark/>
          </w:tcPr>
          <w:p w14:paraId="5B6E2966"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p>
        </w:tc>
        <w:tc>
          <w:tcPr>
            <w:tcW w:w="1160" w:type="dxa"/>
            <w:tcBorders>
              <w:top w:val="nil"/>
              <w:left w:val="nil"/>
              <w:right w:val="nil"/>
            </w:tcBorders>
            <w:noWrap/>
            <w:vAlign w:val="center"/>
            <w:hideMark/>
          </w:tcPr>
          <w:p w14:paraId="2C370666"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0.057</w:t>
            </w:r>
          </w:p>
        </w:tc>
        <w:tc>
          <w:tcPr>
            <w:tcW w:w="1160" w:type="dxa"/>
            <w:tcBorders>
              <w:top w:val="nil"/>
              <w:left w:val="nil"/>
              <w:right w:val="nil"/>
            </w:tcBorders>
            <w:noWrap/>
            <w:vAlign w:val="center"/>
            <w:hideMark/>
          </w:tcPr>
          <w:p w14:paraId="55FD3073"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0.012</w:t>
            </w:r>
          </w:p>
        </w:tc>
        <w:tc>
          <w:tcPr>
            <w:tcW w:w="1160" w:type="dxa"/>
            <w:tcBorders>
              <w:top w:val="nil"/>
              <w:left w:val="nil"/>
              <w:right w:val="nil"/>
            </w:tcBorders>
            <w:noWrap/>
            <w:vAlign w:val="center"/>
            <w:hideMark/>
          </w:tcPr>
          <w:p w14:paraId="6D388AD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right w:val="nil"/>
            </w:tcBorders>
            <w:noWrap/>
            <w:vAlign w:val="center"/>
            <w:hideMark/>
          </w:tcPr>
          <w:p w14:paraId="2D34070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right w:val="nil"/>
            </w:tcBorders>
            <w:noWrap/>
            <w:vAlign w:val="center"/>
            <w:hideMark/>
          </w:tcPr>
          <w:p w14:paraId="3FFE1046"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right w:val="nil"/>
            </w:tcBorders>
            <w:noWrap/>
            <w:vAlign w:val="center"/>
            <w:hideMark/>
          </w:tcPr>
          <w:p w14:paraId="10C335E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0DDD5114" w14:textId="77777777" w:rsidTr="00C32368">
        <w:trPr>
          <w:trHeight w:val="80"/>
        </w:trPr>
        <w:tc>
          <w:tcPr>
            <w:tcW w:w="1717" w:type="dxa"/>
            <w:tcBorders>
              <w:top w:val="nil"/>
              <w:left w:val="nil"/>
              <w:bottom w:val="single" w:sz="4" w:space="0" w:color="auto"/>
              <w:right w:val="nil"/>
            </w:tcBorders>
            <w:noWrap/>
            <w:vAlign w:val="center"/>
            <w:hideMark/>
          </w:tcPr>
          <w:p w14:paraId="3829FBBB"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ECM</w:t>
            </w:r>
            <w:r w:rsidRPr="00EA38DE">
              <w:rPr>
                <w:rFonts w:ascii="Times New Roman" w:eastAsia="Times New Roman" w:hAnsi="Times New Roman" w:cs="Times New Roman"/>
                <w:sz w:val="20"/>
                <w:szCs w:val="20"/>
                <w:vertAlign w:val="subscript"/>
              </w:rPr>
              <w:t>t-1</w:t>
            </w:r>
          </w:p>
        </w:tc>
        <w:tc>
          <w:tcPr>
            <w:tcW w:w="1160" w:type="dxa"/>
            <w:tcBorders>
              <w:top w:val="nil"/>
              <w:left w:val="nil"/>
              <w:bottom w:val="single" w:sz="4" w:space="0" w:color="auto"/>
              <w:right w:val="nil"/>
            </w:tcBorders>
            <w:noWrap/>
            <w:vAlign w:val="center"/>
            <w:hideMark/>
          </w:tcPr>
          <w:p w14:paraId="3DAAFF7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-0.466</w:t>
            </w:r>
          </w:p>
        </w:tc>
        <w:tc>
          <w:tcPr>
            <w:tcW w:w="1160" w:type="dxa"/>
            <w:tcBorders>
              <w:top w:val="nil"/>
              <w:left w:val="nil"/>
              <w:bottom w:val="single" w:sz="4" w:space="0" w:color="auto"/>
              <w:right w:val="nil"/>
            </w:tcBorders>
            <w:noWrap/>
            <w:vAlign w:val="center"/>
            <w:hideMark/>
          </w:tcPr>
          <w:p w14:paraId="64182DF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60" w:type="dxa"/>
            <w:tcBorders>
              <w:top w:val="nil"/>
              <w:left w:val="nil"/>
              <w:bottom w:val="single" w:sz="4" w:space="0" w:color="auto"/>
              <w:right w:val="nil"/>
            </w:tcBorders>
            <w:noWrap/>
            <w:vAlign w:val="center"/>
            <w:hideMark/>
          </w:tcPr>
          <w:p w14:paraId="0EA8F2A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-0.317</w:t>
            </w:r>
          </w:p>
        </w:tc>
        <w:tc>
          <w:tcPr>
            <w:tcW w:w="1160" w:type="dxa"/>
            <w:tcBorders>
              <w:top w:val="nil"/>
              <w:left w:val="nil"/>
              <w:bottom w:val="single" w:sz="4" w:space="0" w:color="auto"/>
              <w:right w:val="nil"/>
            </w:tcBorders>
            <w:noWrap/>
            <w:vAlign w:val="center"/>
            <w:hideMark/>
          </w:tcPr>
          <w:p w14:paraId="02714C1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60" w:type="dxa"/>
            <w:tcBorders>
              <w:top w:val="nil"/>
              <w:left w:val="nil"/>
              <w:bottom w:val="single" w:sz="4" w:space="0" w:color="auto"/>
              <w:right w:val="nil"/>
            </w:tcBorders>
            <w:noWrap/>
            <w:vAlign w:val="center"/>
            <w:hideMark/>
          </w:tcPr>
          <w:p w14:paraId="4F81691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-0.428</w:t>
            </w:r>
          </w:p>
        </w:tc>
        <w:tc>
          <w:tcPr>
            <w:tcW w:w="1160" w:type="dxa"/>
            <w:tcBorders>
              <w:top w:val="nil"/>
              <w:left w:val="nil"/>
              <w:bottom w:val="single" w:sz="4" w:space="0" w:color="auto"/>
              <w:right w:val="nil"/>
            </w:tcBorders>
            <w:noWrap/>
            <w:vAlign w:val="center"/>
            <w:hideMark/>
          </w:tcPr>
          <w:p w14:paraId="32A8B966"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206CF107" w14:textId="77777777" w:rsidTr="00C32368">
        <w:trPr>
          <w:trHeight w:val="70"/>
        </w:trPr>
        <w:tc>
          <w:tcPr>
            <w:tcW w:w="1717" w:type="dxa"/>
            <w:tcBorders>
              <w:top w:val="single" w:sz="4" w:space="0" w:color="auto"/>
              <w:left w:val="nil"/>
              <w:bottom w:val="single" w:sz="4" w:space="0" w:color="auto"/>
              <w:right w:val="nil"/>
            </w:tcBorders>
            <w:noWrap/>
            <w:vAlign w:val="center"/>
            <w:hideMark/>
          </w:tcPr>
          <w:p w14:paraId="7E7C29A1" w14:textId="77777777" w:rsidR="00BA4645" w:rsidRPr="00EA38DE" w:rsidRDefault="00BA4645" w:rsidP="00C32368">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Long run</w:t>
            </w:r>
          </w:p>
        </w:tc>
        <w:tc>
          <w:tcPr>
            <w:tcW w:w="1160" w:type="dxa"/>
            <w:tcBorders>
              <w:top w:val="single" w:sz="4" w:space="0" w:color="auto"/>
              <w:left w:val="nil"/>
              <w:bottom w:val="nil"/>
              <w:right w:val="nil"/>
            </w:tcBorders>
            <w:noWrap/>
            <w:vAlign w:val="center"/>
            <w:hideMark/>
          </w:tcPr>
          <w:p w14:paraId="7C55FC9F"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09C958C6"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0C5F64E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42AE6B2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385269DA"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single" w:sz="4" w:space="0" w:color="auto"/>
              <w:left w:val="nil"/>
              <w:bottom w:val="nil"/>
              <w:right w:val="nil"/>
            </w:tcBorders>
            <w:noWrap/>
            <w:vAlign w:val="center"/>
            <w:hideMark/>
          </w:tcPr>
          <w:p w14:paraId="4CB39521"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13B141A4" w14:textId="77777777" w:rsidTr="00C32368">
        <w:trPr>
          <w:trHeight w:val="70"/>
        </w:trPr>
        <w:tc>
          <w:tcPr>
            <w:tcW w:w="1717" w:type="dxa"/>
            <w:tcBorders>
              <w:top w:val="single" w:sz="4" w:space="0" w:color="auto"/>
              <w:left w:val="nil"/>
              <w:bottom w:val="nil"/>
              <w:right w:val="nil"/>
            </w:tcBorders>
            <w:noWrap/>
            <w:vAlign w:val="center"/>
            <w:hideMark/>
          </w:tcPr>
          <w:p w14:paraId="0E674B73"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FSH</w:t>
            </w:r>
          </w:p>
        </w:tc>
        <w:tc>
          <w:tcPr>
            <w:tcW w:w="1160" w:type="dxa"/>
            <w:tcBorders>
              <w:top w:val="nil"/>
              <w:left w:val="nil"/>
              <w:bottom w:val="nil"/>
              <w:right w:val="nil"/>
            </w:tcBorders>
            <w:noWrap/>
            <w:vAlign w:val="center"/>
            <w:hideMark/>
          </w:tcPr>
          <w:p w14:paraId="2BC62D3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-1.375</w:t>
            </w:r>
          </w:p>
        </w:tc>
        <w:tc>
          <w:tcPr>
            <w:tcW w:w="1160" w:type="dxa"/>
            <w:tcBorders>
              <w:top w:val="nil"/>
              <w:left w:val="nil"/>
              <w:bottom w:val="nil"/>
              <w:right w:val="nil"/>
            </w:tcBorders>
            <w:noWrap/>
            <w:vAlign w:val="center"/>
            <w:hideMark/>
          </w:tcPr>
          <w:p w14:paraId="6CC10718"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0.202</w:t>
            </w:r>
          </w:p>
        </w:tc>
        <w:tc>
          <w:tcPr>
            <w:tcW w:w="1160" w:type="dxa"/>
            <w:tcBorders>
              <w:top w:val="nil"/>
              <w:left w:val="nil"/>
              <w:bottom w:val="nil"/>
              <w:right w:val="nil"/>
            </w:tcBorders>
            <w:noWrap/>
            <w:vAlign w:val="center"/>
            <w:hideMark/>
          </w:tcPr>
          <w:p w14:paraId="443A1071"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-0.937</w:t>
            </w:r>
          </w:p>
        </w:tc>
        <w:tc>
          <w:tcPr>
            <w:tcW w:w="1160" w:type="dxa"/>
            <w:tcBorders>
              <w:top w:val="nil"/>
              <w:left w:val="nil"/>
              <w:bottom w:val="nil"/>
              <w:right w:val="nil"/>
            </w:tcBorders>
            <w:noWrap/>
            <w:vAlign w:val="center"/>
            <w:hideMark/>
          </w:tcPr>
          <w:p w14:paraId="0295881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0.303</w:t>
            </w:r>
          </w:p>
        </w:tc>
        <w:tc>
          <w:tcPr>
            <w:tcW w:w="1160" w:type="dxa"/>
            <w:tcBorders>
              <w:top w:val="nil"/>
              <w:left w:val="nil"/>
              <w:bottom w:val="nil"/>
              <w:right w:val="nil"/>
            </w:tcBorders>
            <w:noWrap/>
            <w:vAlign w:val="center"/>
            <w:hideMark/>
          </w:tcPr>
          <w:p w14:paraId="3D935178"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-0.446</w:t>
            </w:r>
          </w:p>
        </w:tc>
        <w:tc>
          <w:tcPr>
            <w:tcW w:w="1160" w:type="dxa"/>
            <w:tcBorders>
              <w:top w:val="nil"/>
              <w:left w:val="nil"/>
              <w:bottom w:val="nil"/>
              <w:right w:val="nil"/>
            </w:tcBorders>
            <w:noWrap/>
            <w:vAlign w:val="center"/>
            <w:hideMark/>
          </w:tcPr>
          <w:p w14:paraId="57A9446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0.740</w:t>
            </w:r>
          </w:p>
        </w:tc>
      </w:tr>
      <w:tr w:rsidR="00EA38DE" w:rsidRPr="00EA38DE" w14:paraId="1881D91A" w14:textId="77777777" w:rsidTr="00C32368">
        <w:trPr>
          <w:trHeight w:val="80"/>
        </w:trPr>
        <w:tc>
          <w:tcPr>
            <w:tcW w:w="1717" w:type="dxa"/>
            <w:tcBorders>
              <w:top w:val="nil"/>
              <w:left w:val="nil"/>
              <w:bottom w:val="nil"/>
              <w:right w:val="nil"/>
            </w:tcBorders>
            <w:noWrap/>
            <w:vAlign w:val="center"/>
            <w:hideMark/>
          </w:tcPr>
          <w:p w14:paraId="122FE27C"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IFR</w:t>
            </w:r>
          </w:p>
        </w:tc>
        <w:tc>
          <w:tcPr>
            <w:tcW w:w="1160" w:type="dxa"/>
            <w:tcBorders>
              <w:top w:val="nil"/>
              <w:left w:val="nil"/>
              <w:bottom w:val="nil"/>
              <w:right w:val="nil"/>
            </w:tcBorders>
            <w:noWrap/>
            <w:vAlign w:val="center"/>
            <w:hideMark/>
          </w:tcPr>
          <w:p w14:paraId="52106179"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-0.007</w:t>
            </w:r>
          </w:p>
        </w:tc>
        <w:tc>
          <w:tcPr>
            <w:tcW w:w="1160" w:type="dxa"/>
            <w:tcBorders>
              <w:top w:val="nil"/>
              <w:left w:val="nil"/>
              <w:bottom w:val="nil"/>
              <w:right w:val="nil"/>
            </w:tcBorders>
            <w:noWrap/>
            <w:vAlign w:val="center"/>
            <w:hideMark/>
          </w:tcPr>
          <w:p w14:paraId="59784229"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0.462</w:t>
            </w:r>
          </w:p>
        </w:tc>
        <w:tc>
          <w:tcPr>
            <w:tcW w:w="1160" w:type="dxa"/>
            <w:tcBorders>
              <w:top w:val="nil"/>
              <w:left w:val="nil"/>
              <w:bottom w:val="nil"/>
              <w:right w:val="nil"/>
            </w:tcBorders>
            <w:noWrap/>
            <w:vAlign w:val="center"/>
            <w:hideMark/>
          </w:tcPr>
          <w:p w14:paraId="758F0B9D"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0.011</w:t>
            </w:r>
          </w:p>
        </w:tc>
        <w:tc>
          <w:tcPr>
            <w:tcW w:w="1160" w:type="dxa"/>
            <w:tcBorders>
              <w:top w:val="nil"/>
              <w:left w:val="nil"/>
              <w:bottom w:val="nil"/>
              <w:right w:val="nil"/>
            </w:tcBorders>
            <w:noWrap/>
            <w:vAlign w:val="center"/>
            <w:hideMark/>
          </w:tcPr>
          <w:p w14:paraId="0BBD756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0.242</w:t>
            </w:r>
          </w:p>
        </w:tc>
        <w:tc>
          <w:tcPr>
            <w:tcW w:w="1160" w:type="dxa"/>
            <w:tcBorders>
              <w:top w:val="nil"/>
              <w:left w:val="nil"/>
              <w:bottom w:val="nil"/>
              <w:right w:val="nil"/>
            </w:tcBorders>
            <w:noWrap/>
            <w:vAlign w:val="center"/>
            <w:hideMark/>
          </w:tcPr>
          <w:p w14:paraId="7E4CE114"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0.017</w:t>
            </w:r>
          </w:p>
        </w:tc>
        <w:tc>
          <w:tcPr>
            <w:tcW w:w="1160" w:type="dxa"/>
            <w:tcBorders>
              <w:top w:val="nil"/>
              <w:left w:val="nil"/>
              <w:bottom w:val="nil"/>
              <w:right w:val="nil"/>
            </w:tcBorders>
            <w:noWrap/>
            <w:vAlign w:val="center"/>
            <w:hideMark/>
          </w:tcPr>
          <w:p w14:paraId="6663AA1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0.295</w:t>
            </w:r>
          </w:p>
        </w:tc>
      </w:tr>
      <w:tr w:rsidR="00EA38DE" w:rsidRPr="00EA38DE" w14:paraId="6F3FB663" w14:textId="77777777" w:rsidTr="00C32368">
        <w:trPr>
          <w:trHeight w:val="80"/>
        </w:trPr>
        <w:tc>
          <w:tcPr>
            <w:tcW w:w="1717" w:type="dxa"/>
            <w:tcBorders>
              <w:top w:val="nil"/>
              <w:left w:val="nil"/>
              <w:bottom w:val="nil"/>
              <w:right w:val="nil"/>
            </w:tcBorders>
            <w:noWrap/>
            <w:vAlign w:val="center"/>
            <w:hideMark/>
          </w:tcPr>
          <w:p w14:paraId="4872879F"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LAB</w:t>
            </w:r>
          </w:p>
        </w:tc>
        <w:tc>
          <w:tcPr>
            <w:tcW w:w="1160" w:type="dxa"/>
            <w:tcBorders>
              <w:top w:val="nil"/>
              <w:left w:val="nil"/>
              <w:bottom w:val="nil"/>
              <w:right w:val="nil"/>
            </w:tcBorders>
            <w:noWrap/>
            <w:vAlign w:val="center"/>
            <w:hideMark/>
          </w:tcPr>
          <w:p w14:paraId="6CC9BC0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4.683</w:t>
            </w:r>
          </w:p>
        </w:tc>
        <w:tc>
          <w:tcPr>
            <w:tcW w:w="1160" w:type="dxa"/>
            <w:tcBorders>
              <w:top w:val="nil"/>
              <w:left w:val="nil"/>
              <w:bottom w:val="nil"/>
              <w:right w:val="nil"/>
            </w:tcBorders>
            <w:noWrap/>
            <w:vAlign w:val="center"/>
            <w:hideMark/>
          </w:tcPr>
          <w:p w14:paraId="123FF7A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0.050</w:t>
            </w:r>
          </w:p>
        </w:tc>
        <w:tc>
          <w:tcPr>
            <w:tcW w:w="1160" w:type="dxa"/>
            <w:tcBorders>
              <w:top w:val="nil"/>
              <w:left w:val="nil"/>
              <w:bottom w:val="nil"/>
              <w:right w:val="nil"/>
            </w:tcBorders>
            <w:noWrap/>
            <w:vAlign w:val="center"/>
            <w:hideMark/>
          </w:tcPr>
          <w:p w14:paraId="3B0D36C2"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w:t>
            </w:r>
          </w:p>
        </w:tc>
        <w:tc>
          <w:tcPr>
            <w:tcW w:w="1160" w:type="dxa"/>
            <w:tcBorders>
              <w:top w:val="nil"/>
              <w:left w:val="nil"/>
              <w:bottom w:val="nil"/>
              <w:right w:val="nil"/>
            </w:tcBorders>
            <w:noWrap/>
            <w:vAlign w:val="center"/>
            <w:hideMark/>
          </w:tcPr>
          <w:p w14:paraId="04FA8FF0"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w:t>
            </w:r>
          </w:p>
        </w:tc>
        <w:tc>
          <w:tcPr>
            <w:tcW w:w="1160" w:type="dxa"/>
            <w:tcBorders>
              <w:top w:val="nil"/>
              <w:left w:val="nil"/>
              <w:bottom w:val="nil"/>
              <w:right w:val="nil"/>
            </w:tcBorders>
            <w:noWrap/>
            <w:vAlign w:val="center"/>
            <w:hideMark/>
          </w:tcPr>
          <w:p w14:paraId="1B70AD6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0.811</w:t>
            </w:r>
          </w:p>
        </w:tc>
        <w:tc>
          <w:tcPr>
            <w:tcW w:w="1160" w:type="dxa"/>
            <w:tcBorders>
              <w:top w:val="nil"/>
              <w:left w:val="nil"/>
              <w:bottom w:val="nil"/>
              <w:right w:val="nil"/>
            </w:tcBorders>
            <w:noWrap/>
            <w:vAlign w:val="center"/>
            <w:hideMark/>
          </w:tcPr>
          <w:p w14:paraId="4CB8F94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0.577</w:t>
            </w:r>
          </w:p>
        </w:tc>
      </w:tr>
      <w:tr w:rsidR="00EA38DE" w:rsidRPr="00EA38DE" w14:paraId="0D1B1A12" w14:textId="77777777" w:rsidTr="00C32368">
        <w:trPr>
          <w:trHeight w:val="80"/>
        </w:trPr>
        <w:tc>
          <w:tcPr>
            <w:tcW w:w="1717" w:type="dxa"/>
            <w:tcBorders>
              <w:top w:val="nil"/>
              <w:left w:val="nil"/>
              <w:bottom w:val="nil"/>
              <w:right w:val="nil"/>
            </w:tcBorders>
            <w:noWrap/>
            <w:vAlign w:val="center"/>
            <w:hideMark/>
          </w:tcPr>
          <w:p w14:paraId="7A44EA80"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TRF</w:t>
            </w:r>
          </w:p>
        </w:tc>
        <w:tc>
          <w:tcPr>
            <w:tcW w:w="1160" w:type="dxa"/>
            <w:tcBorders>
              <w:top w:val="nil"/>
              <w:left w:val="nil"/>
              <w:bottom w:val="nil"/>
              <w:right w:val="nil"/>
            </w:tcBorders>
            <w:noWrap/>
            <w:vAlign w:val="center"/>
            <w:hideMark/>
          </w:tcPr>
          <w:p w14:paraId="40E51820"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0.214</w:t>
            </w:r>
          </w:p>
        </w:tc>
        <w:tc>
          <w:tcPr>
            <w:tcW w:w="1160" w:type="dxa"/>
            <w:tcBorders>
              <w:top w:val="nil"/>
              <w:left w:val="nil"/>
              <w:bottom w:val="nil"/>
              <w:right w:val="nil"/>
            </w:tcBorders>
            <w:noWrap/>
            <w:vAlign w:val="center"/>
            <w:hideMark/>
          </w:tcPr>
          <w:p w14:paraId="2FDB658F"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0.012</w:t>
            </w:r>
          </w:p>
        </w:tc>
        <w:tc>
          <w:tcPr>
            <w:tcW w:w="1160" w:type="dxa"/>
            <w:tcBorders>
              <w:top w:val="nil"/>
              <w:left w:val="nil"/>
              <w:bottom w:val="nil"/>
              <w:right w:val="nil"/>
            </w:tcBorders>
            <w:noWrap/>
            <w:vAlign w:val="center"/>
            <w:hideMark/>
          </w:tcPr>
          <w:p w14:paraId="0ED3E1F0"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-0.185</w:t>
            </w:r>
          </w:p>
        </w:tc>
        <w:tc>
          <w:tcPr>
            <w:tcW w:w="1160" w:type="dxa"/>
            <w:tcBorders>
              <w:top w:val="nil"/>
              <w:left w:val="nil"/>
              <w:bottom w:val="nil"/>
              <w:right w:val="nil"/>
            </w:tcBorders>
            <w:noWrap/>
            <w:vAlign w:val="center"/>
            <w:hideMark/>
          </w:tcPr>
          <w:p w14:paraId="718F767F"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0.055</w:t>
            </w:r>
          </w:p>
        </w:tc>
        <w:tc>
          <w:tcPr>
            <w:tcW w:w="1160" w:type="dxa"/>
            <w:tcBorders>
              <w:top w:val="nil"/>
              <w:left w:val="nil"/>
              <w:bottom w:val="nil"/>
              <w:right w:val="nil"/>
            </w:tcBorders>
            <w:noWrap/>
            <w:vAlign w:val="center"/>
            <w:hideMark/>
          </w:tcPr>
          <w:p w14:paraId="27C1DCD3"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-0.136</w:t>
            </w:r>
          </w:p>
        </w:tc>
        <w:tc>
          <w:tcPr>
            <w:tcW w:w="1160" w:type="dxa"/>
            <w:tcBorders>
              <w:top w:val="nil"/>
              <w:left w:val="nil"/>
              <w:bottom w:val="nil"/>
              <w:right w:val="nil"/>
            </w:tcBorders>
            <w:noWrap/>
            <w:vAlign w:val="center"/>
            <w:hideMark/>
          </w:tcPr>
          <w:p w14:paraId="534159B3"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0.347</w:t>
            </w:r>
          </w:p>
        </w:tc>
      </w:tr>
      <w:tr w:rsidR="00EA38DE" w:rsidRPr="00EA38DE" w14:paraId="419F091C" w14:textId="77777777" w:rsidTr="00C32368">
        <w:trPr>
          <w:trHeight w:val="80"/>
        </w:trPr>
        <w:tc>
          <w:tcPr>
            <w:tcW w:w="1717" w:type="dxa"/>
            <w:tcBorders>
              <w:top w:val="nil"/>
              <w:left w:val="nil"/>
              <w:bottom w:val="nil"/>
              <w:right w:val="nil"/>
            </w:tcBorders>
            <w:noWrap/>
            <w:vAlign w:val="center"/>
            <w:hideMark/>
          </w:tcPr>
          <w:p w14:paraId="63C3E98C"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Constant</w:t>
            </w:r>
          </w:p>
        </w:tc>
        <w:tc>
          <w:tcPr>
            <w:tcW w:w="1160" w:type="dxa"/>
            <w:tcBorders>
              <w:top w:val="nil"/>
              <w:left w:val="nil"/>
              <w:bottom w:val="nil"/>
              <w:right w:val="nil"/>
            </w:tcBorders>
            <w:noWrap/>
            <w:vAlign w:val="center"/>
            <w:hideMark/>
          </w:tcPr>
          <w:p w14:paraId="6DE384DC"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-19.468</w:t>
            </w:r>
          </w:p>
        </w:tc>
        <w:tc>
          <w:tcPr>
            <w:tcW w:w="1160" w:type="dxa"/>
            <w:tcBorders>
              <w:top w:val="nil"/>
              <w:left w:val="nil"/>
              <w:bottom w:val="nil"/>
              <w:right w:val="nil"/>
            </w:tcBorders>
            <w:noWrap/>
            <w:vAlign w:val="center"/>
            <w:hideMark/>
          </w:tcPr>
          <w:p w14:paraId="4C6CE66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0.112</w:t>
            </w:r>
          </w:p>
        </w:tc>
        <w:tc>
          <w:tcPr>
            <w:tcW w:w="1160" w:type="dxa"/>
            <w:tcBorders>
              <w:top w:val="nil"/>
              <w:left w:val="nil"/>
              <w:bottom w:val="nil"/>
              <w:right w:val="nil"/>
            </w:tcBorders>
            <w:noWrap/>
            <w:vAlign w:val="center"/>
            <w:hideMark/>
          </w:tcPr>
          <w:p w14:paraId="08D0E334"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8.910</w:t>
            </w:r>
          </w:p>
        </w:tc>
        <w:tc>
          <w:tcPr>
            <w:tcW w:w="1160" w:type="dxa"/>
            <w:tcBorders>
              <w:top w:val="nil"/>
              <w:left w:val="nil"/>
              <w:bottom w:val="nil"/>
              <w:right w:val="nil"/>
            </w:tcBorders>
            <w:noWrap/>
            <w:vAlign w:val="center"/>
            <w:hideMark/>
          </w:tcPr>
          <w:p w14:paraId="50A9022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60" w:type="dxa"/>
            <w:tcBorders>
              <w:top w:val="nil"/>
              <w:left w:val="nil"/>
              <w:bottom w:val="nil"/>
              <w:right w:val="nil"/>
            </w:tcBorders>
            <w:noWrap/>
            <w:vAlign w:val="center"/>
            <w:hideMark/>
          </w:tcPr>
          <w:p w14:paraId="7EC572B4"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77CE54F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73788C00" w14:textId="77777777" w:rsidTr="00C32368">
        <w:trPr>
          <w:trHeight w:val="80"/>
        </w:trPr>
        <w:tc>
          <w:tcPr>
            <w:tcW w:w="1717" w:type="dxa"/>
            <w:tcBorders>
              <w:top w:val="nil"/>
              <w:left w:val="nil"/>
              <w:bottom w:val="nil"/>
              <w:right w:val="nil"/>
            </w:tcBorders>
            <w:noWrap/>
            <w:vAlign w:val="center"/>
            <w:hideMark/>
          </w:tcPr>
          <w:p w14:paraId="0D2D4E9E"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Adj. R-sq.</w:t>
            </w:r>
          </w:p>
        </w:tc>
        <w:tc>
          <w:tcPr>
            <w:tcW w:w="1160" w:type="dxa"/>
            <w:tcBorders>
              <w:top w:val="nil"/>
              <w:left w:val="nil"/>
              <w:bottom w:val="nil"/>
              <w:right w:val="nil"/>
            </w:tcBorders>
            <w:noWrap/>
            <w:vAlign w:val="center"/>
            <w:hideMark/>
          </w:tcPr>
          <w:p w14:paraId="1E2DB5E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0.647</w:t>
            </w:r>
          </w:p>
        </w:tc>
        <w:tc>
          <w:tcPr>
            <w:tcW w:w="1160" w:type="dxa"/>
            <w:tcBorders>
              <w:top w:val="nil"/>
              <w:left w:val="nil"/>
              <w:bottom w:val="nil"/>
              <w:right w:val="nil"/>
            </w:tcBorders>
            <w:noWrap/>
            <w:vAlign w:val="center"/>
            <w:hideMark/>
          </w:tcPr>
          <w:p w14:paraId="5AA822BA"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7F49222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0.381</w:t>
            </w:r>
          </w:p>
        </w:tc>
        <w:tc>
          <w:tcPr>
            <w:tcW w:w="1160" w:type="dxa"/>
            <w:tcBorders>
              <w:top w:val="nil"/>
              <w:left w:val="nil"/>
              <w:bottom w:val="nil"/>
              <w:right w:val="nil"/>
            </w:tcBorders>
            <w:noWrap/>
            <w:vAlign w:val="center"/>
            <w:hideMark/>
          </w:tcPr>
          <w:p w14:paraId="33B0BB5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1E0FCBDA"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0.710</w:t>
            </w:r>
          </w:p>
        </w:tc>
        <w:tc>
          <w:tcPr>
            <w:tcW w:w="1160" w:type="dxa"/>
            <w:tcBorders>
              <w:top w:val="nil"/>
              <w:left w:val="nil"/>
              <w:bottom w:val="nil"/>
              <w:right w:val="nil"/>
            </w:tcBorders>
            <w:noWrap/>
            <w:vAlign w:val="center"/>
            <w:hideMark/>
          </w:tcPr>
          <w:p w14:paraId="5F0C3C77"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7CF35353" w14:textId="77777777" w:rsidTr="00C32368">
        <w:trPr>
          <w:trHeight w:val="80"/>
        </w:trPr>
        <w:tc>
          <w:tcPr>
            <w:tcW w:w="1717" w:type="dxa"/>
            <w:tcBorders>
              <w:top w:val="nil"/>
              <w:left w:val="nil"/>
              <w:bottom w:val="nil"/>
              <w:right w:val="nil"/>
            </w:tcBorders>
            <w:noWrap/>
            <w:vAlign w:val="center"/>
            <w:hideMark/>
          </w:tcPr>
          <w:p w14:paraId="729FD5FB"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D-W stat</w:t>
            </w:r>
          </w:p>
        </w:tc>
        <w:tc>
          <w:tcPr>
            <w:tcW w:w="1160" w:type="dxa"/>
            <w:tcBorders>
              <w:top w:val="nil"/>
              <w:left w:val="nil"/>
              <w:bottom w:val="nil"/>
              <w:right w:val="nil"/>
            </w:tcBorders>
            <w:noWrap/>
            <w:vAlign w:val="center"/>
            <w:hideMark/>
          </w:tcPr>
          <w:p w14:paraId="78E0F34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2.290</w:t>
            </w:r>
          </w:p>
        </w:tc>
        <w:tc>
          <w:tcPr>
            <w:tcW w:w="1160" w:type="dxa"/>
            <w:tcBorders>
              <w:top w:val="nil"/>
              <w:left w:val="nil"/>
              <w:bottom w:val="nil"/>
              <w:right w:val="nil"/>
            </w:tcBorders>
            <w:noWrap/>
            <w:vAlign w:val="center"/>
            <w:hideMark/>
          </w:tcPr>
          <w:p w14:paraId="68E280DA"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547607BB"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1.999</w:t>
            </w:r>
          </w:p>
        </w:tc>
        <w:tc>
          <w:tcPr>
            <w:tcW w:w="1160" w:type="dxa"/>
            <w:tcBorders>
              <w:top w:val="nil"/>
              <w:left w:val="nil"/>
              <w:bottom w:val="nil"/>
              <w:right w:val="nil"/>
            </w:tcBorders>
            <w:noWrap/>
            <w:vAlign w:val="center"/>
            <w:hideMark/>
          </w:tcPr>
          <w:p w14:paraId="4F137749"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noWrap/>
            <w:vAlign w:val="center"/>
            <w:hideMark/>
          </w:tcPr>
          <w:p w14:paraId="38D40A01"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2.328</w:t>
            </w:r>
          </w:p>
        </w:tc>
        <w:tc>
          <w:tcPr>
            <w:tcW w:w="1160" w:type="dxa"/>
            <w:tcBorders>
              <w:top w:val="nil"/>
              <w:left w:val="nil"/>
              <w:bottom w:val="nil"/>
              <w:right w:val="nil"/>
            </w:tcBorders>
            <w:noWrap/>
            <w:vAlign w:val="center"/>
            <w:hideMark/>
          </w:tcPr>
          <w:p w14:paraId="3990A414"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r w:rsidR="00EA38DE" w:rsidRPr="00EA38DE" w14:paraId="53E8E042" w14:textId="77777777" w:rsidTr="00C32368">
        <w:trPr>
          <w:trHeight w:val="80"/>
        </w:trPr>
        <w:tc>
          <w:tcPr>
            <w:tcW w:w="1717" w:type="dxa"/>
            <w:tcBorders>
              <w:top w:val="nil"/>
              <w:left w:val="nil"/>
              <w:bottom w:val="single" w:sz="4" w:space="0" w:color="auto"/>
              <w:right w:val="nil"/>
            </w:tcBorders>
            <w:noWrap/>
            <w:vAlign w:val="center"/>
            <w:hideMark/>
          </w:tcPr>
          <w:p w14:paraId="1DD0A2F9" w14:textId="77777777" w:rsidR="00BA4645" w:rsidRPr="00EA38DE" w:rsidRDefault="00BA4645" w:rsidP="00C32368">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F-stat.</w:t>
            </w:r>
          </w:p>
        </w:tc>
        <w:tc>
          <w:tcPr>
            <w:tcW w:w="1160" w:type="dxa"/>
            <w:tcBorders>
              <w:top w:val="nil"/>
              <w:left w:val="nil"/>
              <w:bottom w:val="single" w:sz="4" w:space="0" w:color="auto"/>
              <w:right w:val="nil"/>
            </w:tcBorders>
            <w:noWrap/>
            <w:vAlign w:val="center"/>
            <w:hideMark/>
          </w:tcPr>
          <w:p w14:paraId="6808DBD5"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12.83</w:t>
            </w:r>
          </w:p>
        </w:tc>
        <w:tc>
          <w:tcPr>
            <w:tcW w:w="1160" w:type="dxa"/>
            <w:tcBorders>
              <w:top w:val="nil"/>
              <w:left w:val="nil"/>
              <w:bottom w:val="single" w:sz="4" w:space="0" w:color="auto"/>
              <w:right w:val="nil"/>
            </w:tcBorders>
            <w:noWrap/>
            <w:vAlign w:val="center"/>
            <w:hideMark/>
          </w:tcPr>
          <w:p w14:paraId="36E66F1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single" w:sz="4" w:space="0" w:color="auto"/>
              <w:right w:val="nil"/>
            </w:tcBorders>
            <w:noWrap/>
            <w:vAlign w:val="center"/>
            <w:hideMark/>
          </w:tcPr>
          <w:p w14:paraId="4141AB96"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7.553</w:t>
            </w:r>
          </w:p>
        </w:tc>
        <w:tc>
          <w:tcPr>
            <w:tcW w:w="1160" w:type="dxa"/>
            <w:tcBorders>
              <w:top w:val="nil"/>
              <w:left w:val="nil"/>
              <w:bottom w:val="single" w:sz="4" w:space="0" w:color="auto"/>
              <w:right w:val="nil"/>
            </w:tcBorders>
            <w:noWrap/>
            <w:vAlign w:val="center"/>
            <w:hideMark/>
          </w:tcPr>
          <w:p w14:paraId="0F608398"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single" w:sz="4" w:space="0" w:color="auto"/>
              <w:right w:val="nil"/>
            </w:tcBorders>
            <w:noWrap/>
            <w:vAlign w:val="center"/>
            <w:hideMark/>
          </w:tcPr>
          <w:p w14:paraId="04A5197E"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8.731</w:t>
            </w:r>
          </w:p>
        </w:tc>
        <w:tc>
          <w:tcPr>
            <w:tcW w:w="1160" w:type="dxa"/>
            <w:tcBorders>
              <w:top w:val="nil"/>
              <w:left w:val="nil"/>
              <w:bottom w:val="single" w:sz="4" w:space="0" w:color="auto"/>
              <w:right w:val="nil"/>
            </w:tcBorders>
            <w:noWrap/>
            <w:vAlign w:val="center"/>
            <w:hideMark/>
          </w:tcPr>
          <w:p w14:paraId="4CCF9DE3" w14:textId="77777777" w:rsidR="00BA4645" w:rsidRPr="00EA38DE" w:rsidRDefault="00BA4645" w:rsidP="00C32368">
            <w:pPr>
              <w:spacing w:after="0" w:line="240" w:lineRule="auto"/>
              <w:jc w:val="center"/>
              <w:rPr>
                <w:rFonts w:ascii="Times New Roman" w:eastAsia="Times New Roman" w:hAnsi="Times New Roman" w:cs="Times New Roman"/>
                <w:sz w:val="20"/>
                <w:szCs w:val="20"/>
              </w:rPr>
            </w:pPr>
          </w:p>
        </w:tc>
      </w:tr>
    </w:tbl>
    <w:p w14:paraId="27F0392B" w14:textId="77777777" w:rsidR="00BA4645" w:rsidRPr="00EA38DE" w:rsidRDefault="00BA4645" w:rsidP="00BA4645">
      <w:r w:rsidRPr="00EA38DE">
        <w:rPr>
          <w:rFonts w:ascii="Times New Roman" w:hAnsi="Times New Roman" w:cs="Times New Roman"/>
          <w:sz w:val="18"/>
          <w:szCs w:val="18"/>
        </w:rPr>
        <w:t>Source: Author’s computation using Eview 13.</w:t>
      </w:r>
    </w:p>
    <w:p w14:paraId="05B33D11" w14:textId="2ABF348C" w:rsidR="00BA4645" w:rsidRPr="00EA38DE" w:rsidRDefault="00BA4645" w:rsidP="00BA4645">
      <w:pPr>
        <w:tabs>
          <w:tab w:val="num" w:pos="720"/>
        </w:tabs>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The long-run coefficients which represent equilibrium elasticities are reported in the lower segment of Table 4.8. For the container throughput estimates, the coefficient of -1.375 for fisheries output (FSH) is not significant. This shows that increases in fisheries production do not affect long run performance of throughput in the shipping industry in Nigeria. The negative coefficient of FSH in the </w:t>
      </w:r>
      <w:r w:rsidR="00551068" w:rsidRPr="00EA38DE">
        <w:rPr>
          <w:rFonts w:ascii="Times New Roman" w:hAnsi="Times New Roman" w:cs="Times New Roman"/>
          <w:sz w:val="24"/>
          <w:szCs w:val="24"/>
        </w:rPr>
        <w:t>SHP</w:t>
      </w:r>
      <w:r w:rsidRPr="00EA38DE">
        <w:rPr>
          <w:rFonts w:ascii="Times New Roman" w:hAnsi="Times New Roman" w:cs="Times New Roman"/>
          <w:sz w:val="24"/>
          <w:szCs w:val="24"/>
        </w:rPr>
        <w:t xml:space="preserve"> model at -0.937 even though it is </w:t>
      </w:r>
      <w:r w:rsidR="00591DAC" w:rsidRPr="00EA38DE">
        <w:rPr>
          <w:rFonts w:ascii="Times New Roman" w:hAnsi="Times New Roman" w:cs="Times New Roman"/>
          <w:sz w:val="24"/>
          <w:szCs w:val="24"/>
        </w:rPr>
        <w:t>insignificant is</w:t>
      </w:r>
      <w:r w:rsidRPr="00EA38DE">
        <w:rPr>
          <w:rFonts w:ascii="Times New Roman" w:hAnsi="Times New Roman" w:cs="Times New Roman"/>
          <w:sz w:val="24"/>
          <w:szCs w:val="24"/>
        </w:rPr>
        <w:t xml:space="preserve"> concerning for the blue economy. It suggests that growth of the fisheries sub-sector has the capacity to crowd out other cargo activities which are likely to reduce overall throughput. The coefficient of -0.446 for fisheries output is also insignificant in the shipping cost and port revenue equations. These clearly show that fisheries production does not affect the performance of the shipping industry in the long run in Nigeria. </w:t>
      </w:r>
    </w:p>
    <w:p w14:paraId="483A72B1" w14:textId="77777777" w:rsidR="00BA4645" w:rsidRPr="00EA38DE" w:rsidRDefault="00BA4645" w:rsidP="00BA4645">
      <w:pPr>
        <w:tabs>
          <w:tab w:val="num" w:pos="720"/>
        </w:tabs>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For the short run estimates, the result reveals that fisheries output has a significant positive effect on container throughput both for the first and second lags at 0.968 and 0.730 respectively. This shows that increase in fisheries production significantly improves throughput in the shipping sector in the short run. Thus, although the short run effect of fisheries on container throughput is generally insignificant and likely negative, there is clear evidence that the short run impacts are strongly positive. All the other coefficients have significant short run effect on throughput. The coefficient of fisheries is insignificant in the short run result for shipping cost and does not appear in the parsimonious short run port revenue model. This shows that there is no short run relationship between fisheries output and either shipping cost and port revenue. These results indicate that, as a blue economy variable, fisheries production does not have strong dynamic relationship with the performance of the shipping industry in Nigeria. The error correction mechanism (ECM</w:t>
      </w:r>
      <w:r w:rsidRPr="00EA38DE">
        <w:rPr>
          <w:rFonts w:ascii="Times New Roman" w:hAnsi="Times New Roman" w:cs="Times New Roman"/>
          <w:sz w:val="24"/>
          <w:szCs w:val="24"/>
          <w:vertAlign w:val="subscript"/>
        </w:rPr>
        <w:t>t-1</w:t>
      </w:r>
      <w:r w:rsidRPr="00EA38DE">
        <w:rPr>
          <w:rFonts w:ascii="Times New Roman" w:hAnsi="Times New Roman" w:cs="Times New Roman"/>
          <w:sz w:val="24"/>
          <w:szCs w:val="24"/>
        </w:rPr>
        <w:t xml:space="preserve">) is negative and highly significant (p = 0.000) across all models. The coefficients are -0.466 for </w:t>
      </w:r>
      <w:r w:rsidRPr="00EA38DE">
        <w:rPr>
          <w:rFonts w:ascii="Times New Roman" w:hAnsi="Times New Roman" w:cs="Times New Roman"/>
          <w:sz w:val="24"/>
          <w:szCs w:val="24"/>
        </w:rPr>
        <w:lastRenderedPageBreak/>
        <w:t xml:space="preserve">container throughput, -0.317 for shipping cost, and -0.428 for port revenue. This shows that there is long run stability in the models.     </w:t>
      </w:r>
    </w:p>
    <w:p w14:paraId="054ECF04" w14:textId="29375F31" w:rsidR="00BA4645" w:rsidRPr="00EA38DE" w:rsidRDefault="00BA4645" w:rsidP="00BA464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ARDL results for the impact of aquaculture production (AQT) on the three key indicators of Nigeria’s shipping industry are presented in Table 4.9. The adjusted R-squared values of 0.494 for container throughput, 0.647 for shipping cost, and 0.893 for port revenue indicate moderate to high explanatory power of the models. The Durbin-Watson statistics which range from 1.751 to 2.649. This value lies in the grey area of between 1.64 and 2.81 and therefore</w:t>
      </w:r>
      <w:r w:rsidR="002801AB" w:rsidRPr="00EA38DE">
        <w:rPr>
          <w:rFonts w:ascii="Times New Roman" w:hAnsi="Times New Roman" w:cs="Times New Roman"/>
          <w:sz w:val="24"/>
          <w:szCs w:val="24"/>
        </w:rPr>
        <w:t xml:space="preserve"> suggest</w:t>
      </w:r>
      <w:r w:rsidR="001B3900" w:rsidRPr="00EA38DE">
        <w:rPr>
          <w:rFonts w:ascii="Times New Roman" w:hAnsi="Times New Roman" w:cs="Times New Roman"/>
          <w:sz w:val="24"/>
          <w:szCs w:val="24"/>
        </w:rPr>
        <w:t xml:space="preserve"> </w:t>
      </w:r>
      <w:r w:rsidRPr="00EA38DE">
        <w:rPr>
          <w:rFonts w:ascii="Times New Roman" w:hAnsi="Times New Roman" w:cs="Times New Roman"/>
          <w:sz w:val="24"/>
          <w:szCs w:val="24"/>
        </w:rPr>
        <w:t>no significant autocorrelation in the estimated models</w:t>
      </w:r>
      <w:r w:rsidR="002801AB" w:rsidRPr="00EA38DE">
        <w:rPr>
          <w:rFonts w:ascii="Times New Roman" w:hAnsi="Times New Roman" w:cs="Times New Roman"/>
          <w:sz w:val="24"/>
          <w:szCs w:val="24"/>
        </w:rPr>
        <w:t>, Asteriou &amp; Hall (2021)</w:t>
      </w:r>
      <w:r w:rsidRPr="00EA38DE">
        <w:rPr>
          <w:rFonts w:ascii="Times New Roman" w:hAnsi="Times New Roman" w:cs="Times New Roman"/>
          <w:sz w:val="24"/>
          <w:szCs w:val="24"/>
        </w:rPr>
        <w:t xml:space="preserve">. The container throughput model has an F-statistics value of 5.061 while that of port revenue model is 17.195. </w:t>
      </w:r>
      <w:r w:rsidR="009501B5" w:rsidRPr="00EA38DE">
        <w:rPr>
          <w:rFonts w:ascii="Times New Roman" w:hAnsi="Times New Roman" w:cs="Times New Roman"/>
          <w:sz w:val="24"/>
          <w:szCs w:val="24"/>
        </w:rPr>
        <w:t xml:space="preserve">These </w:t>
      </w:r>
      <w:r w:rsidRPr="00EA38DE">
        <w:rPr>
          <w:rFonts w:ascii="Times New Roman" w:hAnsi="Times New Roman" w:cs="Times New Roman"/>
          <w:sz w:val="24"/>
          <w:szCs w:val="24"/>
        </w:rPr>
        <w:t>confirm the joint significance of regressors in the models.</w:t>
      </w:r>
    </w:p>
    <w:p w14:paraId="3B687058" w14:textId="253AD9AF"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short-run coefficients capture immediate responses of the shipping industry variables to changes in aquaculture production and other control variables. In the results in Table 4.9, the container throughput model shows that the coefficient of AQT (0.029) is not significant which shows that aquaculture production has negligible immediate impact on throughput in Nigeria. The coefficients of current and lagged AQT which are -0.407, 0.705, and 0.343 are however significant and mostly negative in the shipping cost model which shows that aquaculture initially reduces costs but increases them over time in the short run. The coefficients of the first and second lags of AQT (which are -1.469 -0.353 respectively) are also significant in the port revenue equation. The negative lagged effects show that aquaculture reduces port revenue in the short run in Nigeria. The short run results therefore that aquaculture production exert mixed effects on the shipping industry in Nigeria. For the control variables, the coefficients of inflation and trade freedom index are mostly significant in the short run which show that inflation is a critical factor in explaining short run changes in shipping industry performance in Nigeria.  </w:t>
      </w:r>
    </w:p>
    <w:p w14:paraId="30AABA09"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The coefficient of the error correction term for each of the models is negative and highly significant at the 1 percent level. This shows long run stability in each of the estimates that indicate that after any short-term shock in the system, long run stability will always be restored. While the adjustment speeds to long run are moderate for the container throughput and the shipping cost models at 5.18 and 4.99 percent respectively in the first year, that of port revenue is explosive. The ECM for port revenue suggests rapid over-adjustment linked to volatile revenue dynamics in Nigeria. </w:t>
      </w:r>
    </w:p>
    <w:p w14:paraId="20AFAB7C" w14:textId="77777777" w:rsidR="00BA4645" w:rsidRPr="00EA38DE" w:rsidRDefault="00BA4645" w:rsidP="00BA4645">
      <w:pPr>
        <w:spacing w:after="0"/>
        <w:rPr>
          <w:rFonts w:ascii="Times New Roman" w:hAnsi="Times New Roman" w:cs="Times New Roman"/>
          <w:b/>
          <w:bCs/>
          <w:sz w:val="20"/>
          <w:szCs w:val="20"/>
        </w:rPr>
      </w:pPr>
      <w:r w:rsidRPr="00EA38DE">
        <w:rPr>
          <w:rFonts w:ascii="Times New Roman" w:hAnsi="Times New Roman" w:cs="Times New Roman"/>
          <w:b/>
          <w:bCs/>
          <w:sz w:val="20"/>
          <w:szCs w:val="20"/>
        </w:rPr>
        <w:t xml:space="preserve">Table 4.9: Results for Aquaculture Production and Shipping Industry Financial Performance </w:t>
      </w:r>
    </w:p>
    <w:tbl>
      <w:tblPr>
        <w:tblW w:w="8717" w:type="dxa"/>
        <w:tblBorders>
          <w:top w:val="single" w:sz="4" w:space="0" w:color="auto"/>
          <w:bottom w:val="single" w:sz="4" w:space="0" w:color="auto"/>
        </w:tblBorders>
        <w:tblLook w:val="04A0" w:firstRow="1" w:lastRow="0" w:firstColumn="1" w:lastColumn="0" w:noHBand="0" w:noVBand="1"/>
      </w:tblPr>
      <w:tblGrid>
        <w:gridCol w:w="1633"/>
        <w:gridCol w:w="1127"/>
        <w:gridCol w:w="1127"/>
        <w:gridCol w:w="1196"/>
        <w:gridCol w:w="1127"/>
        <w:gridCol w:w="1403"/>
        <w:gridCol w:w="1104"/>
      </w:tblGrid>
      <w:tr w:rsidR="00EA38DE" w:rsidRPr="00EA38DE" w14:paraId="11409DED" w14:textId="77777777" w:rsidTr="009501B5">
        <w:trPr>
          <w:trHeight w:val="310"/>
        </w:trPr>
        <w:tc>
          <w:tcPr>
            <w:tcW w:w="1633" w:type="dxa"/>
            <w:vMerge w:val="restart"/>
            <w:tcBorders>
              <w:top w:val="single" w:sz="4" w:space="0" w:color="auto"/>
            </w:tcBorders>
            <w:noWrap/>
            <w:vAlign w:val="center"/>
          </w:tcPr>
          <w:p w14:paraId="0E528114" w14:textId="77777777" w:rsidR="00BA4645" w:rsidRPr="00EA38DE" w:rsidRDefault="00BA4645" w:rsidP="009501B5">
            <w:pPr>
              <w:spacing w:after="0" w:line="240" w:lineRule="auto"/>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Variable</w:t>
            </w:r>
          </w:p>
        </w:tc>
        <w:tc>
          <w:tcPr>
            <w:tcW w:w="2254" w:type="dxa"/>
            <w:gridSpan w:val="2"/>
            <w:tcBorders>
              <w:top w:val="single" w:sz="4" w:space="0" w:color="auto"/>
              <w:bottom w:val="single" w:sz="4" w:space="0" w:color="auto"/>
            </w:tcBorders>
            <w:noWrap/>
            <w:vAlign w:val="center"/>
          </w:tcPr>
          <w:p w14:paraId="0E2E854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Container thruput</w:t>
            </w:r>
          </w:p>
        </w:tc>
        <w:tc>
          <w:tcPr>
            <w:tcW w:w="2323" w:type="dxa"/>
            <w:gridSpan w:val="2"/>
            <w:tcBorders>
              <w:top w:val="single" w:sz="4" w:space="0" w:color="auto"/>
              <w:bottom w:val="single" w:sz="4" w:space="0" w:color="auto"/>
            </w:tcBorders>
            <w:noWrap/>
            <w:vAlign w:val="center"/>
          </w:tcPr>
          <w:p w14:paraId="29BACFCD"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Shipping cost</w:t>
            </w:r>
          </w:p>
        </w:tc>
        <w:tc>
          <w:tcPr>
            <w:tcW w:w="2507" w:type="dxa"/>
            <w:gridSpan w:val="2"/>
            <w:tcBorders>
              <w:top w:val="single" w:sz="4" w:space="0" w:color="auto"/>
              <w:bottom w:val="single" w:sz="4" w:space="0" w:color="auto"/>
            </w:tcBorders>
            <w:noWrap/>
            <w:vAlign w:val="center"/>
          </w:tcPr>
          <w:p w14:paraId="7EC2C65B"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Port revenue</w:t>
            </w:r>
          </w:p>
        </w:tc>
      </w:tr>
      <w:tr w:rsidR="00EA38DE" w:rsidRPr="00EA38DE" w14:paraId="05A1E149" w14:textId="77777777" w:rsidTr="009501B5">
        <w:trPr>
          <w:trHeight w:val="310"/>
        </w:trPr>
        <w:tc>
          <w:tcPr>
            <w:tcW w:w="1633" w:type="dxa"/>
            <w:vMerge/>
            <w:tcBorders>
              <w:bottom w:val="single" w:sz="4" w:space="0" w:color="auto"/>
            </w:tcBorders>
            <w:noWrap/>
            <w:vAlign w:val="center"/>
            <w:hideMark/>
          </w:tcPr>
          <w:p w14:paraId="76F75327" w14:textId="77777777" w:rsidR="00BA4645" w:rsidRPr="00EA38DE" w:rsidRDefault="00BA4645" w:rsidP="009501B5">
            <w:pPr>
              <w:spacing w:after="0" w:line="240" w:lineRule="auto"/>
              <w:rPr>
                <w:rFonts w:ascii="Times New Roman" w:eastAsia="Times New Roman" w:hAnsi="Times New Roman" w:cs="Times New Roman"/>
                <w:b/>
                <w:bCs/>
                <w:sz w:val="20"/>
                <w:szCs w:val="20"/>
              </w:rPr>
            </w:pPr>
          </w:p>
        </w:tc>
        <w:tc>
          <w:tcPr>
            <w:tcW w:w="1127" w:type="dxa"/>
            <w:tcBorders>
              <w:top w:val="single" w:sz="4" w:space="0" w:color="auto"/>
              <w:bottom w:val="single" w:sz="4" w:space="0" w:color="auto"/>
            </w:tcBorders>
            <w:noWrap/>
            <w:vAlign w:val="center"/>
            <w:hideMark/>
          </w:tcPr>
          <w:p w14:paraId="093DF90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127" w:type="dxa"/>
            <w:tcBorders>
              <w:top w:val="single" w:sz="4" w:space="0" w:color="auto"/>
              <w:bottom w:val="single" w:sz="4" w:space="0" w:color="auto"/>
            </w:tcBorders>
            <w:noWrap/>
            <w:vAlign w:val="center"/>
            <w:hideMark/>
          </w:tcPr>
          <w:p w14:paraId="29865C54"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196" w:type="dxa"/>
            <w:tcBorders>
              <w:top w:val="single" w:sz="4" w:space="0" w:color="auto"/>
              <w:bottom w:val="single" w:sz="4" w:space="0" w:color="auto"/>
            </w:tcBorders>
            <w:noWrap/>
            <w:vAlign w:val="center"/>
            <w:hideMark/>
          </w:tcPr>
          <w:p w14:paraId="2290C880"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127" w:type="dxa"/>
            <w:tcBorders>
              <w:top w:val="single" w:sz="4" w:space="0" w:color="auto"/>
              <w:bottom w:val="single" w:sz="4" w:space="0" w:color="auto"/>
            </w:tcBorders>
            <w:noWrap/>
            <w:vAlign w:val="center"/>
            <w:hideMark/>
          </w:tcPr>
          <w:p w14:paraId="2768A301"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403" w:type="dxa"/>
            <w:tcBorders>
              <w:top w:val="single" w:sz="4" w:space="0" w:color="auto"/>
              <w:bottom w:val="single" w:sz="4" w:space="0" w:color="auto"/>
            </w:tcBorders>
            <w:noWrap/>
            <w:vAlign w:val="center"/>
            <w:hideMark/>
          </w:tcPr>
          <w:p w14:paraId="7442224B"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w:t>
            </w:r>
          </w:p>
        </w:tc>
        <w:tc>
          <w:tcPr>
            <w:tcW w:w="1104" w:type="dxa"/>
            <w:tcBorders>
              <w:top w:val="single" w:sz="4" w:space="0" w:color="auto"/>
              <w:bottom w:val="single" w:sz="4" w:space="0" w:color="auto"/>
            </w:tcBorders>
            <w:noWrap/>
            <w:vAlign w:val="center"/>
            <w:hideMark/>
          </w:tcPr>
          <w:p w14:paraId="282A9BA5"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r>
      <w:tr w:rsidR="00EA38DE" w:rsidRPr="00EA38DE" w14:paraId="3BC58074" w14:textId="77777777" w:rsidTr="009501B5">
        <w:trPr>
          <w:trHeight w:val="310"/>
        </w:trPr>
        <w:tc>
          <w:tcPr>
            <w:tcW w:w="1633" w:type="dxa"/>
            <w:tcBorders>
              <w:top w:val="single" w:sz="4" w:space="0" w:color="auto"/>
              <w:bottom w:val="single" w:sz="4" w:space="0" w:color="auto"/>
            </w:tcBorders>
            <w:noWrap/>
            <w:vAlign w:val="center"/>
            <w:hideMark/>
          </w:tcPr>
          <w:p w14:paraId="2E4C66EA"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Short run</w:t>
            </w:r>
          </w:p>
        </w:tc>
        <w:tc>
          <w:tcPr>
            <w:tcW w:w="1127" w:type="dxa"/>
            <w:tcBorders>
              <w:top w:val="single" w:sz="4" w:space="0" w:color="auto"/>
            </w:tcBorders>
            <w:noWrap/>
            <w:vAlign w:val="center"/>
            <w:hideMark/>
          </w:tcPr>
          <w:p w14:paraId="4414FE1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tcBorders>
              <w:top w:val="single" w:sz="4" w:space="0" w:color="auto"/>
            </w:tcBorders>
            <w:noWrap/>
            <w:vAlign w:val="center"/>
            <w:hideMark/>
          </w:tcPr>
          <w:p w14:paraId="7464A57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tcBorders>
              <w:top w:val="single" w:sz="4" w:space="0" w:color="auto"/>
            </w:tcBorders>
            <w:noWrap/>
            <w:vAlign w:val="center"/>
            <w:hideMark/>
          </w:tcPr>
          <w:p w14:paraId="542C189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tcBorders>
              <w:top w:val="single" w:sz="4" w:space="0" w:color="auto"/>
            </w:tcBorders>
            <w:noWrap/>
            <w:vAlign w:val="center"/>
            <w:hideMark/>
          </w:tcPr>
          <w:p w14:paraId="3AB88E1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tcBorders>
              <w:top w:val="single" w:sz="4" w:space="0" w:color="auto"/>
            </w:tcBorders>
            <w:noWrap/>
            <w:vAlign w:val="center"/>
            <w:hideMark/>
          </w:tcPr>
          <w:p w14:paraId="55308A8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04" w:type="dxa"/>
            <w:tcBorders>
              <w:top w:val="single" w:sz="4" w:space="0" w:color="auto"/>
            </w:tcBorders>
            <w:noWrap/>
            <w:vAlign w:val="center"/>
            <w:hideMark/>
          </w:tcPr>
          <w:p w14:paraId="4240673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605EC438" w14:textId="77777777" w:rsidTr="009501B5">
        <w:trPr>
          <w:trHeight w:val="310"/>
        </w:trPr>
        <w:tc>
          <w:tcPr>
            <w:tcW w:w="1633" w:type="dxa"/>
            <w:tcBorders>
              <w:top w:val="single" w:sz="4" w:space="0" w:color="auto"/>
            </w:tcBorders>
            <w:noWrap/>
            <w:vAlign w:val="center"/>
            <w:hideMark/>
          </w:tcPr>
          <w:p w14:paraId="22DDAE32"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ΔAQT</w:t>
            </w:r>
          </w:p>
        </w:tc>
        <w:tc>
          <w:tcPr>
            <w:tcW w:w="1127" w:type="dxa"/>
            <w:noWrap/>
            <w:vAlign w:val="center"/>
            <w:hideMark/>
          </w:tcPr>
          <w:p w14:paraId="2D7075A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0.029</w:t>
            </w:r>
          </w:p>
        </w:tc>
        <w:tc>
          <w:tcPr>
            <w:tcW w:w="1127" w:type="dxa"/>
            <w:noWrap/>
            <w:vAlign w:val="center"/>
            <w:hideMark/>
          </w:tcPr>
          <w:p w14:paraId="4E5E581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0.582</w:t>
            </w:r>
          </w:p>
        </w:tc>
        <w:tc>
          <w:tcPr>
            <w:tcW w:w="1196" w:type="dxa"/>
            <w:noWrap/>
            <w:vAlign w:val="center"/>
            <w:hideMark/>
          </w:tcPr>
          <w:p w14:paraId="14655A3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-0.407</w:t>
            </w:r>
          </w:p>
        </w:tc>
        <w:tc>
          <w:tcPr>
            <w:tcW w:w="1127" w:type="dxa"/>
            <w:noWrap/>
            <w:vAlign w:val="center"/>
            <w:hideMark/>
          </w:tcPr>
          <w:p w14:paraId="0F41F7B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0.022</w:t>
            </w:r>
          </w:p>
        </w:tc>
        <w:tc>
          <w:tcPr>
            <w:tcW w:w="1403" w:type="dxa"/>
            <w:noWrap/>
            <w:vAlign w:val="center"/>
            <w:hideMark/>
          </w:tcPr>
          <w:p w14:paraId="70C9399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-0.319</w:t>
            </w:r>
          </w:p>
        </w:tc>
        <w:tc>
          <w:tcPr>
            <w:tcW w:w="1104" w:type="dxa"/>
            <w:noWrap/>
            <w:vAlign w:val="center"/>
            <w:hideMark/>
          </w:tcPr>
          <w:p w14:paraId="72B3375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0.215</w:t>
            </w:r>
          </w:p>
        </w:tc>
      </w:tr>
      <w:tr w:rsidR="00EA38DE" w:rsidRPr="00EA38DE" w14:paraId="3F07411E" w14:textId="77777777" w:rsidTr="009501B5">
        <w:trPr>
          <w:trHeight w:val="310"/>
        </w:trPr>
        <w:tc>
          <w:tcPr>
            <w:tcW w:w="1633" w:type="dxa"/>
            <w:noWrap/>
            <w:hideMark/>
          </w:tcPr>
          <w:p w14:paraId="2E9A7A6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ΔAQT</w:t>
            </w:r>
            <w:r w:rsidRPr="00EA38DE">
              <w:rPr>
                <w:rFonts w:ascii="Times New Roman" w:eastAsia="Times New Roman" w:hAnsi="Times New Roman" w:cs="Times New Roman"/>
                <w:sz w:val="20"/>
                <w:szCs w:val="20"/>
                <w:vertAlign w:val="subscript"/>
              </w:rPr>
              <w:t>t-1</w:t>
            </w:r>
          </w:p>
        </w:tc>
        <w:tc>
          <w:tcPr>
            <w:tcW w:w="1127" w:type="dxa"/>
            <w:noWrap/>
            <w:vAlign w:val="center"/>
            <w:hideMark/>
          </w:tcPr>
          <w:p w14:paraId="7757788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71B766B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23EDA4E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0.705</w:t>
            </w:r>
          </w:p>
        </w:tc>
        <w:tc>
          <w:tcPr>
            <w:tcW w:w="1127" w:type="dxa"/>
            <w:noWrap/>
            <w:vAlign w:val="center"/>
            <w:hideMark/>
          </w:tcPr>
          <w:p w14:paraId="6EDBDA9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403" w:type="dxa"/>
            <w:noWrap/>
            <w:vAlign w:val="center"/>
            <w:hideMark/>
          </w:tcPr>
          <w:p w14:paraId="035E37F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-1.469</w:t>
            </w:r>
          </w:p>
        </w:tc>
        <w:tc>
          <w:tcPr>
            <w:tcW w:w="1104" w:type="dxa"/>
            <w:noWrap/>
            <w:vAlign w:val="center"/>
            <w:hideMark/>
          </w:tcPr>
          <w:p w14:paraId="5096AA1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0.002</w:t>
            </w:r>
          </w:p>
        </w:tc>
      </w:tr>
      <w:tr w:rsidR="00EA38DE" w:rsidRPr="00EA38DE" w14:paraId="62430536" w14:textId="77777777" w:rsidTr="009501B5">
        <w:trPr>
          <w:trHeight w:val="310"/>
        </w:trPr>
        <w:tc>
          <w:tcPr>
            <w:tcW w:w="1633" w:type="dxa"/>
            <w:noWrap/>
            <w:hideMark/>
          </w:tcPr>
          <w:p w14:paraId="1459E7CE"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ΔAQT</w:t>
            </w:r>
            <w:r w:rsidRPr="00EA38DE">
              <w:rPr>
                <w:rFonts w:ascii="Times New Roman" w:eastAsia="Times New Roman" w:hAnsi="Times New Roman" w:cs="Times New Roman"/>
                <w:sz w:val="20"/>
                <w:szCs w:val="20"/>
                <w:vertAlign w:val="subscript"/>
              </w:rPr>
              <w:t>t-2</w:t>
            </w:r>
          </w:p>
        </w:tc>
        <w:tc>
          <w:tcPr>
            <w:tcW w:w="1127" w:type="dxa"/>
            <w:noWrap/>
            <w:vAlign w:val="center"/>
            <w:hideMark/>
          </w:tcPr>
          <w:p w14:paraId="581E7D6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24BD179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053F6A9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0.343</w:t>
            </w:r>
          </w:p>
        </w:tc>
        <w:tc>
          <w:tcPr>
            <w:tcW w:w="1127" w:type="dxa"/>
            <w:noWrap/>
            <w:vAlign w:val="center"/>
            <w:hideMark/>
          </w:tcPr>
          <w:p w14:paraId="6CE87E5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0.003</w:t>
            </w:r>
          </w:p>
        </w:tc>
        <w:tc>
          <w:tcPr>
            <w:tcW w:w="1403" w:type="dxa"/>
            <w:noWrap/>
            <w:vAlign w:val="center"/>
            <w:hideMark/>
          </w:tcPr>
          <w:p w14:paraId="2E44A4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-0.353</w:t>
            </w:r>
          </w:p>
        </w:tc>
        <w:tc>
          <w:tcPr>
            <w:tcW w:w="1104" w:type="dxa"/>
            <w:noWrap/>
            <w:vAlign w:val="center"/>
            <w:hideMark/>
          </w:tcPr>
          <w:p w14:paraId="1A62FAF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0.041</w:t>
            </w:r>
          </w:p>
        </w:tc>
      </w:tr>
      <w:tr w:rsidR="00EA38DE" w:rsidRPr="00EA38DE" w14:paraId="034A197B" w14:textId="77777777" w:rsidTr="009501B5">
        <w:trPr>
          <w:trHeight w:val="310"/>
        </w:trPr>
        <w:tc>
          <w:tcPr>
            <w:tcW w:w="1633" w:type="dxa"/>
            <w:noWrap/>
            <w:vAlign w:val="center"/>
            <w:hideMark/>
          </w:tcPr>
          <w:p w14:paraId="402BD1E4"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p>
        </w:tc>
        <w:tc>
          <w:tcPr>
            <w:tcW w:w="1127" w:type="dxa"/>
            <w:noWrap/>
            <w:vAlign w:val="center"/>
            <w:hideMark/>
          </w:tcPr>
          <w:p w14:paraId="6C1FF98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127" w:type="dxa"/>
            <w:noWrap/>
            <w:vAlign w:val="center"/>
            <w:hideMark/>
          </w:tcPr>
          <w:p w14:paraId="21B4D13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0.338</w:t>
            </w:r>
          </w:p>
        </w:tc>
        <w:tc>
          <w:tcPr>
            <w:tcW w:w="1196" w:type="dxa"/>
            <w:noWrap/>
            <w:vAlign w:val="center"/>
            <w:hideMark/>
          </w:tcPr>
          <w:p w14:paraId="30CAF9B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127" w:type="dxa"/>
            <w:noWrap/>
            <w:vAlign w:val="center"/>
            <w:hideMark/>
          </w:tcPr>
          <w:p w14:paraId="75DB511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0.684</w:t>
            </w:r>
          </w:p>
        </w:tc>
        <w:tc>
          <w:tcPr>
            <w:tcW w:w="1403" w:type="dxa"/>
            <w:noWrap/>
            <w:vAlign w:val="center"/>
            <w:hideMark/>
          </w:tcPr>
          <w:p w14:paraId="79C327E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0.003</w:t>
            </w:r>
          </w:p>
        </w:tc>
        <w:tc>
          <w:tcPr>
            <w:tcW w:w="1104" w:type="dxa"/>
            <w:noWrap/>
            <w:vAlign w:val="center"/>
            <w:hideMark/>
          </w:tcPr>
          <w:p w14:paraId="4EE005C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0.370</w:t>
            </w:r>
          </w:p>
        </w:tc>
      </w:tr>
      <w:tr w:rsidR="00EA38DE" w:rsidRPr="00EA38DE" w14:paraId="384A83F9" w14:textId="77777777" w:rsidTr="009501B5">
        <w:trPr>
          <w:trHeight w:val="310"/>
        </w:trPr>
        <w:tc>
          <w:tcPr>
            <w:tcW w:w="1633" w:type="dxa"/>
            <w:noWrap/>
            <w:hideMark/>
          </w:tcPr>
          <w:p w14:paraId="4CC03F0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r w:rsidRPr="00EA38DE">
              <w:rPr>
                <w:rFonts w:ascii="Times New Roman" w:eastAsia="Times New Roman" w:hAnsi="Times New Roman" w:cs="Times New Roman"/>
                <w:sz w:val="20"/>
                <w:szCs w:val="20"/>
                <w:vertAlign w:val="subscript"/>
              </w:rPr>
              <w:t>t-3</w:t>
            </w:r>
          </w:p>
        </w:tc>
        <w:tc>
          <w:tcPr>
            <w:tcW w:w="1127" w:type="dxa"/>
            <w:noWrap/>
            <w:vAlign w:val="center"/>
            <w:hideMark/>
          </w:tcPr>
          <w:p w14:paraId="063EC3F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30F1A69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4190B4F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-0.004</w:t>
            </w:r>
          </w:p>
        </w:tc>
        <w:tc>
          <w:tcPr>
            <w:tcW w:w="1127" w:type="dxa"/>
            <w:noWrap/>
            <w:vAlign w:val="center"/>
            <w:hideMark/>
          </w:tcPr>
          <w:p w14:paraId="677C285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0.028</w:t>
            </w:r>
          </w:p>
        </w:tc>
        <w:tc>
          <w:tcPr>
            <w:tcW w:w="1403" w:type="dxa"/>
            <w:noWrap/>
            <w:vAlign w:val="center"/>
            <w:hideMark/>
          </w:tcPr>
          <w:p w14:paraId="2124C16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-0.012</w:t>
            </w:r>
          </w:p>
        </w:tc>
        <w:tc>
          <w:tcPr>
            <w:tcW w:w="1104" w:type="dxa"/>
            <w:noWrap/>
            <w:vAlign w:val="center"/>
            <w:hideMark/>
          </w:tcPr>
          <w:p w14:paraId="1A1BD1C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0.003</w:t>
            </w:r>
          </w:p>
        </w:tc>
      </w:tr>
      <w:tr w:rsidR="00EA38DE" w:rsidRPr="00EA38DE" w14:paraId="73505CA3" w14:textId="77777777" w:rsidTr="009501B5">
        <w:trPr>
          <w:trHeight w:val="310"/>
        </w:trPr>
        <w:tc>
          <w:tcPr>
            <w:tcW w:w="1633" w:type="dxa"/>
            <w:noWrap/>
            <w:hideMark/>
          </w:tcPr>
          <w:p w14:paraId="1DB5BD6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r w:rsidRPr="00EA38DE">
              <w:rPr>
                <w:rFonts w:ascii="Times New Roman" w:eastAsia="Times New Roman" w:hAnsi="Times New Roman" w:cs="Times New Roman"/>
                <w:sz w:val="20"/>
                <w:szCs w:val="20"/>
                <w:vertAlign w:val="subscript"/>
              </w:rPr>
              <w:t>t-2</w:t>
            </w:r>
          </w:p>
        </w:tc>
        <w:tc>
          <w:tcPr>
            <w:tcW w:w="1127" w:type="dxa"/>
            <w:noWrap/>
            <w:vAlign w:val="center"/>
            <w:hideMark/>
          </w:tcPr>
          <w:p w14:paraId="602FD90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26A4EB3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1FE1178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-0.006</w:t>
            </w:r>
          </w:p>
        </w:tc>
        <w:tc>
          <w:tcPr>
            <w:tcW w:w="1127" w:type="dxa"/>
            <w:noWrap/>
            <w:vAlign w:val="center"/>
            <w:hideMark/>
          </w:tcPr>
          <w:p w14:paraId="1950F28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0.009</w:t>
            </w:r>
          </w:p>
        </w:tc>
        <w:tc>
          <w:tcPr>
            <w:tcW w:w="1403" w:type="dxa"/>
            <w:noWrap/>
            <w:vAlign w:val="center"/>
            <w:hideMark/>
          </w:tcPr>
          <w:p w14:paraId="5176213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04" w:type="dxa"/>
            <w:noWrap/>
            <w:vAlign w:val="center"/>
            <w:hideMark/>
          </w:tcPr>
          <w:p w14:paraId="3BE5A0A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5977A164" w14:textId="77777777" w:rsidTr="009501B5">
        <w:trPr>
          <w:trHeight w:val="310"/>
        </w:trPr>
        <w:tc>
          <w:tcPr>
            <w:tcW w:w="1633" w:type="dxa"/>
            <w:noWrap/>
            <w:vAlign w:val="center"/>
            <w:hideMark/>
          </w:tcPr>
          <w:p w14:paraId="6CFEC7BB"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p>
        </w:tc>
        <w:tc>
          <w:tcPr>
            <w:tcW w:w="1127" w:type="dxa"/>
            <w:noWrap/>
            <w:vAlign w:val="center"/>
            <w:hideMark/>
          </w:tcPr>
          <w:p w14:paraId="05414E2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-0.818</w:t>
            </w:r>
          </w:p>
        </w:tc>
        <w:tc>
          <w:tcPr>
            <w:tcW w:w="1127" w:type="dxa"/>
            <w:noWrap/>
            <w:vAlign w:val="center"/>
            <w:hideMark/>
          </w:tcPr>
          <w:p w14:paraId="355F82A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0.133</w:t>
            </w:r>
          </w:p>
        </w:tc>
        <w:tc>
          <w:tcPr>
            <w:tcW w:w="1196" w:type="dxa"/>
            <w:noWrap/>
            <w:vAlign w:val="center"/>
            <w:hideMark/>
          </w:tcPr>
          <w:p w14:paraId="2C236C9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8.058</w:t>
            </w:r>
          </w:p>
        </w:tc>
        <w:tc>
          <w:tcPr>
            <w:tcW w:w="1127" w:type="dxa"/>
            <w:noWrap/>
            <w:vAlign w:val="center"/>
            <w:hideMark/>
          </w:tcPr>
          <w:p w14:paraId="660A0B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0.002</w:t>
            </w:r>
          </w:p>
        </w:tc>
        <w:tc>
          <w:tcPr>
            <w:tcW w:w="1403" w:type="dxa"/>
            <w:noWrap/>
            <w:vAlign w:val="center"/>
            <w:hideMark/>
          </w:tcPr>
          <w:p w14:paraId="2A574AB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3.873</w:t>
            </w:r>
          </w:p>
        </w:tc>
        <w:tc>
          <w:tcPr>
            <w:tcW w:w="1104" w:type="dxa"/>
            <w:noWrap/>
            <w:vAlign w:val="center"/>
            <w:hideMark/>
          </w:tcPr>
          <w:p w14:paraId="71DA298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0.285</w:t>
            </w:r>
          </w:p>
        </w:tc>
      </w:tr>
      <w:tr w:rsidR="00EA38DE" w:rsidRPr="00EA38DE" w14:paraId="5C76D62B" w14:textId="77777777" w:rsidTr="009501B5">
        <w:trPr>
          <w:trHeight w:val="310"/>
        </w:trPr>
        <w:tc>
          <w:tcPr>
            <w:tcW w:w="1633" w:type="dxa"/>
            <w:noWrap/>
            <w:hideMark/>
          </w:tcPr>
          <w:p w14:paraId="5D775DA8"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r w:rsidRPr="00EA38DE">
              <w:rPr>
                <w:rFonts w:ascii="Times New Roman" w:eastAsia="Times New Roman" w:hAnsi="Times New Roman" w:cs="Times New Roman"/>
                <w:sz w:val="20"/>
                <w:szCs w:val="20"/>
                <w:vertAlign w:val="subscript"/>
              </w:rPr>
              <w:t>t-1</w:t>
            </w:r>
          </w:p>
        </w:tc>
        <w:tc>
          <w:tcPr>
            <w:tcW w:w="1127" w:type="dxa"/>
            <w:noWrap/>
            <w:vAlign w:val="center"/>
            <w:hideMark/>
          </w:tcPr>
          <w:p w14:paraId="4750D83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0382815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40A84FD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-19.48</w:t>
            </w:r>
          </w:p>
        </w:tc>
        <w:tc>
          <w:tcPr>
            <w:tcW w:w="1127" w:type="dxa"/>
            <w:noWrap/>
            <w:vAlign w:val="center"/>
            <w:hideMark/>
          </w:tcPr>
          <w:p w14:paraId="140B497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0.166</w:t>
            </w:r>
          </w:p>
        </w:tc>
        <w:tc>
          <w:tcPr>
            <w:tcW w:w="1403" w:type="dxa"/>
            <w:noWrap/>
            <w:vAlign w:val="center"/>
            <w:hideMark/>
          </w:tcPr>
          <w:p w14:paraId="100E1EB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-113.27</w:t>
            </w:r>
          </w:p>
        </w:tc>
        <w:tc>
          <w:tcPr>
            <w:tcW w:w="1104" w:type="dxa"/>
            <w:noWrap/>
            <w:vAlign w:val="center"/>
            <w:hideMark/>
          </w:tcPr>
          <w:p w14:paraId="08BD2D1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1269A579" w14:textId="77777777" w:rsidTr="009501B5">
        <w:trPr>
          <w:trHeight w:val="310"/>
        </w:trPr>
        <w:tc>
          <w:tcPr>
            <w:tcW w:w="1633" w:type="dxa"/>
            <w:noWrap/>
            <w:hideMark/>
          </w:tcPr>
          <w:p w14:paraId="5603062A"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r w:rsidRPr="00EA38DE">
              <w:rPr>
                <w:rFonts w:ascii="Times New Roman" w:eastAsia="Times New Roman" w:hAnsi="Times New Roman" w:cs="Times New Roman"/>
                <w:sz w:val="20"/>
                <w:szCs w:val="20"/>
                <w:vertAlign w:val="subscript"/>
              </w:rPr>
              <w:t>t-2</w:t>
            </w:r>
          </w:p>
        </w:tc>
        <w:tc>
          <w:tcPr>
            <w:tcW w:w="1127" w:type="dxa"/>
            <w:noWrap/>
            <w:vAlign w:val="center"/>
            <w:hideMark/>
          </w:tcPr>
          <w:p w14:paraId="4D104B3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0522E55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26C4D1F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76.21</w:t>
            </w:r>
          </w:p>
        </w:tc>
        <w:tc>
          <w:tcPr>
            <w:tcW w:w="1127" w:type="dxa"/>
            <w:noWrap/>
            <w:vAlign w:val="center"/>
            <w:hideMark/>
          </w:tcPr>
          <w:p w14:paraId="67B87DC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403" w:type="dxa"/>
            <w:noWrap/>
            <w:vAlign w:val="center"/>
            <w:hideMark/>
          </w:tcPr>
          <w:p w14:paraId="2BBEDF5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-116.89</w:t>
            </w:r>
          </w:p>
        </w:tc>
        <w:tc>
          <w:tcPr>
            <w:tcW w:w="1104" w:type="dxa"/>
            <w:noWrap/>
            <w:vAlign w:val="center"/>
            <w:hideMark/>
          </w:tcPr>
          <w:p w14:paraId="548BCDF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7101252B" w14:textId="77777777" w:rsidTr="009501B5">
        <w:trPr>
          <w:trHeight w:val="310"/>
        </w:trPr>
        <w:tc>
          <w:tcPr>
            <w:tcW w:w="1633" w:type="dxa"/>
            <w:noWrap/>
            <w:vAlign w:val="center"/>
            <w:hideMark/>
          </w:tcPr>
          <w:p w14:paraId="79FDC88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p>
        </w:tc>
        <w:tc>
          <w:tcPr>
            <w:tcW w:w="1127" w:type="dxa"/>
            <w:noWrap/>
            <w:vAlign w:val="center"/>
            <w:hideMark/>
          </w:tcPr>
          <w:p w14:paraId="1802DE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0.056</w:t>
            </w:r>
          </w:p>
        </w:tc>
        <w:tc>
          <w:tcPr>
            <w:tcW w:w="1127" w:type="dxa"/>
            <w:noWrap/>
            <w:vAlign w:val="center"/>
            <w:hideMark/>
          </w:tcPr>
          <w:p w14:paraId="4119E21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0.035</w:t>
            </w:r>
          </w:p>
        </w:tc>
        <w:tc>
          <w:tcPr>
            <w:tcW w:w="1196" w:type="dxa"/>
            <w:noWrap/>
            <w:vAlign w:val="center"/>
            <w:hideMark/>
          </w:tcPr>
          <w:p w14:paraId="1904593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56DE5A6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noWrap/>
            <w:vAlign w:val="center"/>
            <w:hideMark/>
          </w:tcPr>
          <w:p w14:paraId="2B401F8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-0.050</w:t>
            </w:r>
          </w:p>
        </w:tc>
        <w:tc>
          <w:tcPr>
            <w:tcW w:w="1104" w:type="dxa"/>
            <w:noWrap/>
            <w:vAlign w:val="center"/>
            <w:hideMark/>
          </w:tcPr>
          <w:p w14:paraId="56074C2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0.414</w:t>
            </w:r>
          </w:p>
        </w:tc>
      </w:tr>
      <w:tr w:rsidR="00EA38DE" w:rsidRPr="00EA38DE" w14:paraId="6F3D6120" w14:textId="77777777" w:rsidTr="009501B5">
        <w:trPr>
          <w:trHeight w:val="310"/>
        </w:trPr>
        <w:tc>
          <w:tcPr>
            <w:tcW w:w="1633" w:type="dxa"/>
            <w:noWrap/>
            <w:hideMark/>
          </w:tcPr>
          <w:p w14:paraId="53FBDAE1"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r w:rsidRPr="00EA38DE">
              <w:rPr>
                <w:rFonts w:ascii="Times New Roman" w:eastAsia="Times New Roman" w:hAnsi="Times New Roman" w:cs="Times New Roman"/>
                <w:sz w:val="20"/>
                <w:szCs w:val="20"/>
                <w:vertAlign w:val="subscript"/>
              </w:rPr>
              <w:t>t-1</w:t>
            </w:r>
          </w:p>
        </w:tc>
        <w:tc>
          <w:tcPr>
            <w:tcW w:w="1127" w:type="dxa"/>
            <w:noWrap/>
            <w:vAlign w:val="center"/>
            <w:hideMark/>
          </w:tcPr>
          <w:p w14:paraId="0008D81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6E57730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2BE3B61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59CE92C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noWrap/>
            <w:vAlign w:val="center"/>
            <w:hideMark/>
          </w:tcPr>
          <w:p w14:paraId="64E111F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0.261</w:t>
            </w:r>
          </w:p>
        </w:tc>
        <w:tc>
          <w:tcPr>
            <w:tcW w:w="1104" w:type="dxa"/>
            <w:noWrap/>
            <w:vAlign w:val="center"/>
            <w:hideMark/>
          </w:tcPr>
          <w:p w14:paraId="297B036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69E7407A" w14:textId="77777777" w:rsidTr="009501B5">
        <w:trPr>
          <w:trHeight w:val="310"/>
        </w:trPr>
        <w:tc>
          <w:tcPr>
            <w:tcW w:w="1633" w:type="dxa"/>
            <w:tcBorders>
              <w:bottom w:val="nil"/>
            </w:tcBorders>
            <w:noWrap/>
            <w:hideMark/>
          </w:tcPr>
          <w:p w14:paraId="20C3EE01"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r w:rsidRPr="00EA38DE">
              <w:rPr>
                <w:rFonts w:ascii="Times New Roman" w:eastAsia="Times New Roman" w:hAnsi="Times New Roman" w:cs="Times New Roman"/>
                <w:sz w:val="20"/>
                <w:szCs w:val="20"/>
                <w:vertAlign w:val="subscript"/>
              </w:rPr>
              <w:t>t-2</w:t>
            </w:r>
          </w:p>
        </w:tc>
        <w:tc>
          <w:tcPr>
            <w:tcW w:w="1127" w:type="dxa"/>
            <w:tcBorders>
              <w:bottom w:val="nil"/>
            </w:tcBorders>
            <w:noWrap/>
            <w:vAlign w:val="center"/>
            <w:hideMark/>
          </w:tcPr>
          <w:p w14:paraId="178E6D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tcBorders>
              <w:bottom w:val="nil"/>
            </w:tcBorders>
            <w:noWrap/>
            <w:vAlign w:val="center"/>
            <w:hideMark/>
          </w:tcPr>
          <w:p w14:paraId="4DFACA5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tcBorders>
              <w:bottom w:val="nil"/>
            </w:tcBorders>
            <w:noWrap/>
            <w:vAlign w:val="center"/>
            <w:hideMark/>
          </w:tcPr>
          <w:p w14:paraId="2931490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tcBorders>
              <w:bottom w:val="nil"/>
            </w:tcBorders>
            <w:noWrap/>
            <w:vAlign w:val="center"/>
            <w:hideMark/>
          </w:tcPr>
          <w:p w14:paraId="62CBF1E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tcBorders>
              <w:bottom w:val="nil"/>
            </w:tcBorders>
            <w:noWrap/>
            <w:vAlign w:val="center"/>
            <w:hideMark/>
          </w:tcPr>
          <w:p w14:paraId="450B182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0.248</w:t>
            </w:r>
          </w:p>
        </w:tc>
        <w:tc>
          <w:tcPr>
            <w:tcW w:w="1104" w:type="dxa"/>
            <w:tcBorders>
              <w:bottom w:val="nil"/>
            </w:tcBorders>
            <w:noWrap/>
            <w:vAlign w:val="center"/>
            <w:hideMark/>
          </w:tcPr>
          <w:p w14:paraId="55A9B08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0.008</w:t>
            </w:r>
          </w:p>
        </w:tc>
      </w:tr>
      <w:tr w:rsidR="00EA38DE" w:rsidRPr="00EA38DE" w14:paraId="766C251A" w14:textId="77777777" w:rsidTr="009501B5">
        <w:trPr>
          <w:trHeight w:val="310"/>
        </w:trPr>
        <w:tc>
          <w:tcPr>
            <w:tcW w:w="1633" w:type="dxa"/>
            <w:tcBorders>
              <w:top w:val="nil"/>
              <w:bottom w:val="single" w:sz="4" w:space="0" w:color="auto"/>
            </w:tcBorders>
            <w:noWrap/>
            <w:vAlign w:val="center"/>
            <w:hideMark/>
          </w:tcPr>
          <w:p w14:paraId="67A1830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ECM</w:t>
            </w:r>
            <w:r w:rsidRPr="00EA38DE">
              <w:rPr>
                <w:rFonts w:ascii="Times New Roman" w:eastAsia="Times New Roman" w:hAnsi="Times New Roman" w:cs="Times New Roman"/>
                <w:sz w:val="20"/>
                <w:szCs w:val="20"/>
                <w:vertAlign w:val="subscript"/>
              </w:rPr>
              <w:t>t-1</w:t>
            </w:r>
          </w:p>
        </w:tc>
        <w:tc>
          <w:tcPr>
            <w:tcW w:w="1127" w:type="dxa"/>
            <w:tcBorders>
              <w:top w:val="nil"/>
              <w:bottom w:val="single" w:sz="4" w:space="0" w:color="auto"/>
            </w:tcBorders>
            <w:noWrap/>
            <w:vAlign w:val="center"/>
            <w:hideMark/>
          </w:tcPr>
          <w:p w14:paraId="3A2D77C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-0.518</w:t>
            </w:r>
          </w:p>
        </w:tc>
        <w:tc>
          <w:tcPr>
            <w:tcW w:w="1127" w:type="dxa"/>
            <w:tcBorders>
              <w:top w:val="nil"/>
              <w:bottom w:val="single" w:sz="4" w:space="0" w:color="auto"/>
            </w:tcBorders>
            <w:noWrap/>
            <w:vAlign w:val="center"/>
            <w:hideMark/>
          </w:tcPr>
          <w:p w14:paraId="7D597A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196" w:type="dxa"/>
            <w:tcBorders>
              <w:top w:val="nil"/>
              <w:bottom w:val="single" w:sz="4" w:space="0" w:color="auto"/>
            </w:tcBorders>
            <w:noWrap/>
            <w:vAlign w:val="center"/>
            <w:hideMark/>
          </w:tcPr>
          <w:p w14:paraId="6CACB76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-0.499</w:t>
            </w:r>
          </w:p>
        </w:tc>
        <w:tc>
          <w:tcPr>
            <w:tcW w:w="1127" w:type="dxa"/>
            <w:tcBorders>
              <w:top w:val="nil"/>
              <w:bottom w:val="single" w:sz="4" w:space="0" w:color="auto"/>
            </w:tcBorders>
            <w:noWrap/>
            <w:vAlign w:val="center"/>
            <w:hideMark/>
          </w:tcPr>
          <w:p w14:paraId="3905443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403" w:type="dxa"/>
            <w:tcBorders>
              <w:top w:val="nil"/>
              <w:bottom w:val="single" w:sz="4" w:space="0" w:color="auto"/>
            </w:tcBorders>
            <w:noWrap/>
            <w:vAlign w:val="center"/>
            <w:hideMark/>
          </w:tcPr>
          <w:p w14:paraId="1A178CD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-1.417</w:t>
            </w:r>
          </w:p>
        </w:tc>
        <w:tc>
          <w:tcPr>
            <w:tcW w:w="1104" w:type="dxa"/>
            <w:tcBorders>
              <w:top w:val="nil"/>
              <w:bottom w:val="single" w:sz="4" w:space="0" w:color="auto"/>
            </w:tcBorders>
            <w:noWrap/>
            <w:vAlign w:val="center"/>
            <w:hideMark/>
          </w:tcPr>
          <w:p w14:paraId="1482BBD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4AD4D9CB" w14:textId="77777777" w:rsidTr="009501B5">
        <w:trPr>
          <w:trHeight w:val="310"/>
        </w:trPr>
        <w:tc>
          <w:tcPr>
            <w:tcW w:w="1633" w:type="dxa"/>
            <w:tcBorders>
              <w:top w:val="single" w:sz="4" w:space="0" w:color="auto"/>
              <w:bottom w:val="single" w:sz="4" w:space="0" w:color="auto"/>
            </w:tcBorders>
            <w:noWrap/>
            <w:vAlign w:val="center"/>
            <w:hideMark/>
          </w:tcPr>
          <w:p w14:paraId="2DD85108"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Long run</w:t>
            </w:r>
          </w:p>
        </w:tc>
        <w:tc>
          <w:tcPr>
            <w:tcW w:w="1127" w:type="dxa"/>
            <w:tcBorders>
              <w:top w:val="single" w:sz="4" w:space="0" w:color="auto"/>
            </w:tcBorders>
            <w:noWrap/>
            <w:vAlign w:val="center"/>
            <w:hideMark/>
          </w:tcPr>
          <w:p w14:paraId="5EA959A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tcBorders>
              <w:top w:val="single" w:sz="4" w:space="0" w:color="auto"/>
            </w:tcBorders>
            <w:noWrap/>
            <w:vAlign w:val="center"/>
            <w:hideMark/>
          </w:tcPr>
          <w:p w14:paraId="21E21D6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tcBorders>
              <w:top w:val="single" w:sz="4" w:space="0" w:color="auto"/>
            </w:tcBorders>
            <w:noWrap/>
            <w:vAlign w:val="center"/>
            <w:hideMark/>
          </w:tcPr>
          <w:p w14:paraId="7A8F1DA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tcBorders>
              <w:top w:val="single" w:sz="4" w:space="0" w:color="auto"/>
            </w:tcBorders>
            <w:noWrap/>
            <w:vAlign w:val="center"/>
            <w:hideMark/>
          </w:tcPr>
          <w:p w14:paraId="5F70BD8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tcBorders>
              <w:top w:val="single" w:sz="4" w:space="0" w:color="auto"/>
            </w:tcBorders>
            <w:noWrap/>
            <w:vAlign w:val="center"/>
            <w:hideMark/>
          </w:tcPr>
          <w:p w14:paraId="03247AB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04" w:type="dxa"/>
            <w:tcBorders>
              <w:top w:val="single" w:sz="4" w:space="0" w:color="auto"/>
            </w:tcBorders>
            <w:noWrap/>
            <w:vAlign w:val="center"/>
            <w:hideMark/>
          </w:tcPr>
          <w:p w14:paraId="298412E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44FA3967" w14:textId="77777777" w:rsidTr="009501B5">
        <w:trPr>
          <w:trHeight w:val="310"/>
        </w:trPr>
        <w:tc>
          <w:tcPr>
            <w:tcW w:w="1633" w:type="dxa"/>
            <w:tcBorders>
              <w:top w:val="single" w:sz="4" w:space="0" w:color="auto"/>
            </w:tcBorders>
            <w:noWrap/>
            <w:vAlign w:val="center"/>
            <w:hideMark/>
          </w:tcPr>
          <w:p w14:paraId="62B416F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AQT</w:t>
            </w:r>
          </w:p>
        </w:tc>
        <w:tc>
          <w:tcPr>
            <w:tcW w:w="1127" w:type="dxa"/>
            <w:noWrap/>
            <w:vAlign w:val="center"/>
            <w:hideMark/>
          </w:tcPr>
          <w:p w14:paraId="31E2C45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0.116</w:t>
            </w:r>
          </w:p>
        </w:tc>
        <w:tc>
          <w:tcPr>
            <w:tcW w:w="1127" w:type="dxa"/>
            <w:noWrap/>
            <w:vAlign w:val="center"/>
            <w:hideMark/>
          </w:tcPr>
          <w:p w14:paraId="63944FE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0.700</w:t>
            </w:r>
          </w:p>
        </w:tc>
        <w:tc>
          <w:tcPr>
            <w:tcW w:w="1196" w:type="dxa"/>
            <w:noWrap/>
            <w:vAlign w:val="center"/>
            <w:hideMark/>
          </w:tcPr>
          <w:p w14:paraId="4BC9E6C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-1.625</w:t>
            </w:r>
          </w:p>
        </w:tc>
        <w:tc>
          <w:tcPr>
            <w:tcW w:w="1127" w:type="dxa"/>
            <w:noWrap/>
            <w:vAlign w:val="center"/>
            <w:hideMark/>
          </w:tcPr>
          <w:p w14:paraId="1BA7FB7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0.088</w:t>
            </w:r>
          </w:p>
        </w:tc>
        <w:tc>
          <w:tcPr>
            <w:tcW w:w="1403" w:type="dxa"/>
            <w:noWrap/>
            <w:vAlign w:val="center"/>
            <w:hideMark/>
          </w:tcPr>
          <w:p w14:paraId="16662E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1.900</w:t>
            </w:r>
          </w:p>
        </w:tc>
        <w:tc>
          <w:tcPr>
            <w:tcW w:w="1104" w:type="dxa"/>
            <w:noWrap/>
            <w:vAlign w:val="center"/>
            <w:hideMark/>
          </w:tcPr>
          <w:p w14:paraId="690D797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54F526D1" w14:textId="77777777" w:rsidTr="009501B5">
        <w:trPr>
          <w:trHeight w:val="310"/>
        </w:trPr>
        <w:tc>
          <w:tcPr>
            <w:tcW w:w="1633" w:type="dxa"/>
            <w:noWrap/>
            <w:vAlign w:val="center"/>
            <w:hideMark/>
          </w:tcPr>
          <w:p w14:paraId="4E78F67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IFR</w:t>
            </w:r>
          </w:p>
        </w:tc>
        <w:tc>
          <w:tcPr>
            <w:tcW w:w="1127" w:type="dxa"/>
            <w:noWrap/>
            <w:vAlign w:val="center"/>
            <w:hideMark/>
          </w:tcPr>
          <w:p w14:paraId="1194091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-0.004</w:t>
            </w:r>
          </w:p>
        </w:tc>
        <w:tc>
          <w:tcPr>
            <w:tcW w:w="1127" w:type="dxa"/>
            <w:noWrap/>
            <w:vAlign w:val="center"/>
            <w:hideMark/>
          </w:tcPr>
          <w:p w14:paraId="772DE41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0.800</w:t>
            </w:r>
          </w:p>
        </w:tc>
        <w:tc>
          <w:tcPr>
            <w:tcW w:w="1196" w:type="dxa"/>
            <w:noWrap/>
            <w:vAlign w:val="center"/>
            <w:hideMark/>
          </w:tcPr>
          <w:p w14:paraId="36932DC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0.008</w:t>
            </w:r>
          </w:p>
        </w:tc>
        <w:tc>
          <w:tcPr>
            <w:tcW w:w="1127" w:type="dxa"/>
            <w:noWrap/>
            <w:vAlign w:val="center"/>
            <w:hideMark/>
          </w:tcPr>
          <w:p w14:paraId="4750F23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0.408</w:t>
            </w:r>
          </w:p>
        </w:tc>
        <w:tc>
          <w:tcPr>
            <w:tcW w:w="1403" w:type="dxa"/>
            <w:noWrap/>
            <w:vAlign w:val="center"/>
            <w:hideMark/>
          </w:tcPr>
          <w:p w14:paraId="0768A1D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0.015</w:t>
            </w:r>
          </w:p>
        </w:tc>
        <w:tc>
          <w:tcPr>
            <w:tcW w:w="1104" w:type="dxa"/>
            <w:noWrap/>
            <w:vAlign w:val="center"/>
            <w:hideMark/>
          </w:tcPr>
          <w:p w14:paraId="54156CA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0.022</w:t>
            </w:r>
          </w:p>
        </w:tc>
      </w:tr>
      <w:tr w:rsidR="00EA38DE" w:rsidRPr="00EA38DE" w14:paraId="1E2EFF1B" w14:textId="77777777" w:rsidTr="009501B5">
        <w:trPr>
          <w:trHeight w:val="310"/>
        </w:trPr>
        <w:tc>
          <w:tcPr>
            <w:tcW w:w="1633" w:type="dxa"/>
            <w:noWrap/>
            <w:vAlign w:val="center"/>
            <w:hideMark/>
          </w:tcPr>
          <w:p w14:paraId="5BDF00F5"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LLAB</w:t>
            </w:r>
          </w:p>
        </w:tc>
        <w:tc>
          <w:tcPr>
            <w:tcW w:w="1127" w:type="dxa"/>
            <w:noWrap/>
            <w:vAlign w:val="center"/>
            <w:hideMark/>
          </w:tcPr>
          <w:p w14:paraId="1534997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0.883</w:t>
            </w:r>
          </w:p>
        </w:tc>
        <w:tc>
          <w:tcPr>
            <w:tcW w:w="1127" w:type="dxa"/>
            <w:noWrap/>
            <w:vAlign w:val="center"/>
            <w:hideMark/>
          </w:tcPr>
          <w:p w14:paraId="1DF0114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2.187</w:t>
            </w:r>
          </w:p>
        </w:tc>
        <w:tc>
          <w:tcPr>
            <w:tcW w:w="1196" w:type="dxa"/>
            <w:noWrap/>
            <w:vAlign w:val="center"/>
            <w:hideMark/>
          </w:tcPr>
          <w:p w14:paraId="1DD34FE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-67.29</w:t>
            </w:r>
          </w:p>
        </w:tc>
        <w:tc>
          <w:tcPr>
            <w:tcW w:w="1127" w:type="dxa"/>
            <w:noWrap/>
            <w:vAlign w:val="center"/>
            <w:hideMark/>
          </w:tcPr>
          <w:p w14:paraId="4EACD72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0.115</w:t>
            </w:r>
          </w:p>
        </w:tc>
        <w:tc>
          <w:tcPr>
            <w:tcW w:w="1403" w:type="dxa"/>
            <w:noWrap/>
            <w:vAlign w:val="center"/>
            <w:hideMark/>
          </w:tcPr>
          <w:p w14:paraId="57C6367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86.68</w:t>
            </w:r>
          </w:p>
        </w:tc>
        <w:tc>
          <w:tcPr>
            <w:tcW w:w="1104" w:type="dxa"/>
            <w:noWrap/>
            <w:vAlign w:val="center"/>
            <w:hideMark/>
          </w:tcPr>
          <w:p w14:paraId="6A24BB3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05473336" w14:textId="77777777" w:rsidTr="009501B5">
        <w:trPr>
          <w:trHeight w:val="310"/>
        </w:trPr>
        <w:tc>
          <w:tcPr>
            <w:tcW w:w="1633" w:type="dxa"/>
            <w:noWrap/>
            <w:vAlign w:val="center"/>
            <w:hideMark/>
          </w:tcPr>
          <w:p w14:paraId="0BFD6549"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TRF</w:t>
            </w:r>
          </w:p>
        </w:tc>
        <w:tc>
          <w:tcPr>
            <w:tcW w:w="1127" w:type="dxa"/>
            <w:noWrap/>
            <w:vAlign w:val="center"/>
            <w:hideMark/>
          </w:tcPr>
          <w:p w14:paraId="1323570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0.127</w:t>
            </w:r>
          </w:p>
        </w:tc>
        <w:tc>
          <w:tcPr>
            <w:tcW w:w="1127" w:type="dxa"/>
            <w:noWrap/>
            <w:vAlign w:val="center"/>
            <w:hideMark/>
          </w:tcPr>
          <w:p w14:paraId="4DCE28D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0.372</w:t>
            </w:r>
          </w:p>
        </w:tc>
        <w:tc>
          <w:tcPr>
            <w:tcW w:w="1196" w:type="dxa"/>
            <w:noWrap/>
            <w:vAlign w:val="center"/>
            <w:hideMark/>
          </w:tcPr>
          <w:p w14:paraId="7900B72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-0.008</w:t>
            </w:r>
          </w:p>
        </w:tc>
        <w:tc>
          <w:tcPr>
            <w:tcW w:w="1127" w:type="dxa"/>
            <w:noWrap/>
            <w:vAlign w:val="center"/>
            <w:hideMark/>
          </w:tcPr>
          <w:p w14:paraId="2B7E920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0.940</w:t>
            </w:r>
          </w:p>
        </w:tc>
        <w:tc>
          <w:tcPr>
            <w:tcW w:w="1403" w:type="dxa"/>
            <w:noWrap/>
            <w:vAlign w:val="center"/>
            <w:hideMark/>
          </w:tcPr>
          <w:p w14:paraId="31B602E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-0.088</w:t>
            </w:r>
          </w:p>
        </w:tc>
        <w:tc>
          <w:tcPr>
            <w:tcW w:w="1104" w:type="dxa"/>
            <w:noWrap/>
            <w:vAlign w:val="center"/>
            <w:hideMark/>
          </w:tcPr>
          <w:p w14:paraId="2E9AD76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0.301</w:t>
            </w:r>
          </w:p>
        </w:tc>
      </w:tr>
      <w:tr w:rsidR="00EA38DE" w:rsidRPr="00EA38DE" w14:paraId="5723AF7B" w14:textId="77777777" w:rsidTr="009501B5">
        <w:trPr>
          <w:trHeight w:val="310"/>
        </w:trPr>
        <w:tc>
          <w:tcPr>
            <w:tcW w:w="1633" w:type="dxa"/>
            <w:noWrap/>
            <w:vAlign w:val="center"/>
            <w:hideMark/>
          </w:tcPr>
          <w:p w14:paraId="17846474"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Constant</w:t>
            </w:r>
          </w:p>
        </w:tc>
        <w:tc>
          <w:tcPr>
            <w:tcW w:w="1127" w:type="dxa"/>
            <w:noWrap/>
            <w:vAlign w:val="center"/>
            <w:hideMark/>
          </w:tcPr>
          <w:p w14:paraId="4D0E74B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3.651</w:t>
            </w:r>
          </w:p>
        </w:tc>
        <w:tc>
          <w:tcPr>
            <w:tcW w:w="1127" w:type="dxa"/>
            <w:noWrap/>
            <w:vAlign w:val="center"/>
            <w:hideMark/>
          </w:tcPr>
          <w:p w14:paraId="3EA010E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0.793</w:t>
            </w:r>
          </w:p>
        </w:tc>
        <w:tc>
          <w:tcPr>
            <w:tcW w:w="1196" w:type="dxa"/>
            <w:noWrap/>
            <w:vAlign w:val="center"/>
            <w:hideMark/>
          </w:tcPr>
          <w:p w14:paraId="1DB657C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372.44</w:t>
            </w:r>
          </w:p>
        </w:tc>
        <w:tc>
          <w:tcPr>
            <w:tcW w:w="1127" w:type="dxa"/>
            <w:noWrap/>
            <w:vAlign w:val="center"/>
            <w:hideMark/>
          </w:tcPr>
          <w:p w14:paraId="775119B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403" w:type="dxa"/>
            <w:noWrap/>
            <w:vAlign w:val="center"/>
            <w:hideMark/>
          </w:tcPr>
          <w:p w14:paraId="7D539D4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-132.46</w:t>
            </w:r>
          </w:p>
        </w:tc>
        <w:tc>
          <w:tcPr>
            <w:tcW w:w="1104" w:type="dxa"/>
            <w:noWrap/>
            <w:vAlign w:val="center"/>
            <w:hideMark/>
          </w:tcPr>
          <w:p w14:paraId="0BC6728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152A902C" w14:textId="77777777" w:rsidTr="009501B5">
        <w:trPr>
          <w:trHeight w:val="310"/>
        </w:trPr>
        <w:tc>
          <w:tcPr>
            <w:tcW w:w="1633" w:type="dxa"/>
            <w:noWrap/>
            <w:vAlign w:val="center"/>
            <w:hideMark/>
          </w:tcPr>
          <w:p w14:paraId="0F0FDBC0"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Adj. R-sq.</w:t>
            </w:r>
          </w:p>
        </w:tc>
        <w:tc>
          <w:tcPr>
            <w:tcW w:w="1127" w:type="dxa"/>
            <w:noWrap/>
            <w:vAlign w:val="center"/>
            <w:hideMark/>
          </w:tcPr>
          <w:p w14:paraId="6E6E14F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0.494</w:t>
            </w:r>
          </w:p>
        </w:tc>
        <w:tc>
          <w:tcPr>
            <w:tcW w:w="1127" w:type="dxa"/>
            <w:noWrap/>
            <w:vAlign w:val="center"/>
            <w:hideMark/>
          </w:tcPr>
          <w:p w14:paraId="102714C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465425D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0.647</w:t>
            </w:r>
          </w:p>
        </w:tc>
        <w:tc>
          <w:tcPr>
            <w:tcW w:w="1127" w:type="dxa"/>
            <w:noWrap/>
            <w:vAlign w:val="center"/>
            <w:hideMark/>
          </w:tcPr>
          <w:p w14:paraId="253BF73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noWrap/>
            <w:vAlign w:val="center"/>
            <w:hideMark/>
          </w:tcPr>
          <w:p w14:paraId="088760C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0.893</w:t>
            </w:r>
          </w:p>
        </w:tc>
        <w:tc>
          <w:tcPr>
            <w:tcW w:w="1104" w:type="dxa"/>
            <w:noWrap/>
            <w:vAlign w:val="center"/>
            <w:hideMark/>
          </w:tcPr>
          <w:p w14:paraId="4C9898C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616BC167" w14:textId="77777777" w:rsidTr="009501B5">
        <w:trPr>
          <w:trHeight w:val="310"/>
        </w:trPr>
        <w:tc>
          <w:tcPr>
            <w:tcW w:w="1633" w:type="dxa"/>
            <w:noWrap/>
            <w:vAlign w:val="center"/>
            <w:hideMark/>
          </w:tcPr>
          <w:p w14:paraId="1CE99518"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D-W stat</w:t>
            </w:r>
          </w:p>
        </w:tc>
        <w:tc>
          <w:tcPr>
            <w:tcW w:w="1127" w:type="dxa"/>
            <w:noWrap/>
            <w:vAlign w:val="center"/>
            <w:hideMark/>
          </w:tcPr>
          <w:p w14:paraId="48097A8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1.751</w:t>
            </w:r>
          </w:p>
        </w:tc>
        <w:tc>
          <w:tcPr>
            <w:tcW w:w="1127" w:type="dxa"/>
            <w:noWrap/>
            <w:vAlign w:val="center"/>
            <w:hideMark/>
          </w:tcPr>
          <w:p w14:paraId="2EAE91D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7A1CD3A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2.649</w:t>
            </w:r>
          </w:p>
        </w:tc>
        <w:tc>
          <w:tcPr>
            <w:tcW w:w="1127" w:type="dxa"/>
            <w:noWrap/>
            <w:vAlign w:val="center"/>
            <w:hideMark/>
          </w:tcPr>
          <w:p w14:paraId="3EF131A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noWrap/>
            <w:vAlign w:val="center"/>
            <w:hideMark/>
          </w:tcPr>
          <w:p w14:paraId="460B525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2.488</w:t>
            </w:r>
          </w:p>
        </w:tc>
        <w:tc>
          <w:tcPr>
            <w:tcW w:w="1104" w:type="dxa"/>
            <w:noWrap/>
            <w:vAlign w:val="center"/>
            <w:hideMark/>
          </w:tcPr>
          <w:p w14:paraId="3B63096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569203A6" w14:textId="77777777" w:rsidTr="009501B5">
        <w:trPr>
          <w:trHeight w:val="310"/>
        </w:trPr>
        <w:tc>
          <w:tcPr>
            <w:tcW w:w="1633" w:type="dxa"/>
            <w:noWrap/>
            <w:vAlign w:val="center"/>
            <w:hideMark/>
          </w:tcPr>
          <w:p w14:paraId="7DE76D39"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F-Stat.</w:t>
            </w:r>
          </w:p>
        </w:tc>
        <w:tc>
          <w:tcPr>
            <w:tcW w:w="1127" w:type="dxa"/>
            <w:noWrap/>
            <w:vAlign w:val="center"/>
            <w:hideMark/>
          </w:tcPr>
          <w:p w14:paraId="3256179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27" w:type="dxa"/>
            <w:noWrap/>
            <w:vAlign w:val="center"/>
            <w:hideMark/>
          </w:tcPr>
          <w:p w14:paraId="2BD5089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96" w:type="dxa"/>
            <w:noWrap/>
            <w:vAlign w:val="center"/>
            <w:hideMark/>
          </w:tcPr>
          <w:p w14:paraId="26B7CD9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5.061</w:t>
            </w:r>
          </w:p>
        </w:tc>
        <w:tc>
          <w:tcPr>
            <w:tcW w:w="1127" w:type="dxa"/>
            <w:noWrap/>
            <w:vAlign w:val="center"/>
            <w:hideMark/>
          </w:tcPr>
          <w:p w14:paraId="7457FFC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403" w:type="dxa"/>
            <w:noWrap/>
            <w:vAlign w:val="center"/>
            <w:hideMark/>
          </w:tcPr>
          <w:p w14:paraId="6EFCB69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17.195</w:t>
            </w:r>
          </w:p>
        </w:tc>
        <w:tc>
          <w:tcPr>
            <w:tcW w:w="1104" w:type="dxa"/>
            <w:noWrap/>
            <w:vAlign w:val="center"/>
            <w:hideMark/>
          </w:tcPr>
          <w:p w14:paraId="6FF64A6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bl>
    <w:p w14:paraId="3AA2DF3B" w14:textId="6DAAC026" w:rsidR="00BA4645" w:rsidRPr="00EA38DE" w:rsidRDefault="00BA4645" w:rsidP="00BA4645">
      <w:r w:rsidRPr="00EA38DE">
        <w:rPr>
          <w:rFonts w:ascii="Times New Roman" w:hAnsi="Times New Roman" w:cs="Times New Roman"/>
          <w:sz w:val="18"/>
          <w:szCs w:val="18"/>
        </w:rPr>
        <w:t>Source: Author’s computation</w:t>
      </w:r>
      <w:r w:rsidR="00C32368" w:rsidRPr="00EA38DE">
        <w:rPr>
          <w:rFonts w:ascii="Times New Roman" w:hAnsi="Times New Roman" w:cs="Times New Roman"/>
          <w:sz w:val="18"/>
          <w:szCs w:val="18"/>
        </w:rPr>
        <w:t xml:space="preserve">, 2025, </w:t>
      </w:r>
      <w:r w:rsidRPr="00EA38DE">
        <w:rPr>
          <w:rFonts w:ascii="Times New Roman" w:hAnsi="Times New Roman" w:cs="Times New Roman"/>
          <w:sz w:val="18"/>
          <w:szCs w:val="18"/>
        </w:rPr>
        <w:t>using Eview 13.</w:t>
      </w:r>
    </w:p>
    <w:p w14:paraId="6B89E9A9" w14:textId="77777777" w:rsidR="009501B5" w:rsidRPr="00EA38DE" w:rsidRDefault="009501B5" w:rsidP="009501B5">
      <w:pPr>
        <w:spacing w:after="200" w:line="240" w:lineRule="auto"/>
        <w:jc w:val="both"/>
        <w:rPr>
          <w:rFonts w:ascii="Times New Roman" w:hAnsi="Times New Roman" w:cs="Times New Roman"/>
          <w:sz w:val="10"/>
          <w:szCs w:val="24"/>
        </w:rPr>
      </w:pPr>
    </w:p>
    <w:p w14:paraId="5363D75E"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The long-run coefficients which show the stable relationships among the variables are reported in the lower panel of Table 4.9. In the container throughput result, the coefficient of aquaculture fails the significance test at the 5 percent level. This shows a weak and irrelevant effect of aquaculture production on container throughput in the shipping industry. This weak relationship was also observed for the fisheries effects, indicating that fisheries and aquaculture are not potent factors that help to shape container throughput in Nigeria in the long run.  Indeed, the result shows that aquaculture’s blue economy potential is not effectively harnessed for long run port activities in Nigeria. </w:t>
      </w:r>
    </w:p>
    <w:p w14:paraId="384A1F72"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the shipping cost model, the coefficient of AQT is slightly significant (at the 10 percent level) and is negative. This shows that aquaculture exerts a marginally significant negative effect on shipping costs in Nigeria in the long run. The elasticity of effect is 1.625 percentage point which is a substantial elasticity. It reveals that aquaculture tends to foster cost efficiencies in the shipping industry over time. The coefficient of AQT in the long run estimates for port revenue is significant at the 1 percent level and positive. This shows that with a 1 percent increase in aquaculture production, port revenue is boosted by about 1.9 percentage points. This reflects strong financial health for maritime infrastructure reinvestment that this blue economy indicator provides. The coefficient shows a highly elastic response of long-term port revenue to aquaculture development in Nigeria.  </w:t>
      </w:r>
    </w:p>
    <w:p w14:paraId="0EA51A48"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Finally, the results for the effect of the blue economy component of desalination (DLNT) on the shipping industry performance indicators are reported in Table 4.10. The models also exhibit impressive goodness of fit outcomes. The adjusted R-squared values are all high at 0.739 for container throughput, 0.337 for shipping cost, 0.926 for port revenue estimates. These indicate that the models possess strong explanatory power. The Durbin-Watson statistics also sufficiently close </w:t>
      </w:r>
      <w:r w:rsidRPr="00EA38DE">
        <w:rPr>
          <w:rFonts w:ascii="Times New Roman" w:hAnsi="Times New Roman" w:cs="Times New Roman"/>
          <w:sz w:val="24"/>
          <w:szCs w:val="24"/>
        </w:rPr>
        <w:lastRenderedPageBreak/>
        <w:t>to 2.0 to suggests that the models are relatively free of autocorrelation. The F-statistics for the estimates are 6.848, 9.387, and 6.83 and they are all significant and indicates that there is joint significance of regressors in the model.</w:t>
      </w:r>
    </w:p>
    <w:p w14:paraId="6EEDE2AB" w14:textId="77777777" w:rsidR="00BA4645" w:rsidRPr="00EA38DE" w:rsidRDefault="00BA4645" w:rsidP="00BA4645">
      <w:pPr>
        <w:spacing w:after="0"/>
        <w:rPr>
          <w:rFonts w:ascii="Times New Roman" w:hAnsi="Times New Roman" w:cs="Times New Roman"/>
          <w:b/>
          <w:bCs/>
          <w:sz w:val="20"/>
          <w:szCs w:val="20"/>
        </w:rPr>
      </w:pPr>
      <w:r w:rsidRPr="00EA38DE">
        <w:rPr>
          <w:rFonts w:ascii="Times New Roman" w:hAnsi="Times New Roman" w:cs="Times New Roman"/>
          <w:b/>
          <w:bCs/>
          <w:sz w:val="20"/>
          <w:szCs w:val="20"/>
        </w:rPr>
        <w:t xml:space="preserve">Table 4.10: Results for Desalination and Shipping Industry Financial Performance </w:t>
      </w:r>
    </w:p>
    <w:tbl>
      <w:tblPr>
        <w:tblW w:w="9052" w:type="dxa"/>
        <w:tblBorders>
          <w:top w:val="single" w:sz="4" w:space="0" w:color="auto"/>
          <w:bottom w:val="single" w:sz="4" w:space="0" w:color="auto"/>
        </w:tblBorders>
        <w:tblLook w:val="04A0" w:firstRow="1" w:lastRow="0" w:firstColumn="1" w:lastColumn="0" w:noHBand="0" w:noVBand="1"/>
      </w:tblPr>
      <w:tblGrid>
        <w:gridCol w:w="1672"/>
        <w:gridCol w:w="1314"/>
        <w:gridCol w:w="1154"/>
        <w:gridCol w:w="1314"/>
        <w:gridCol w:w="1154"/>
        <w:gridCol w:w="1314"/>
        <w:gridCol w:w="1130"/>
      </w:tblGrid>
      <w:tr w:rsidR="00EA38DE" w:rsidRPr="00EA38DE" w14:paraId="63EADF5E" w14:textId="77777777" w:rsidTr="009501B5">
        <w:trPr>
          <w:trHeight w:val="307"/>
        </w:trPr>
        <w:tc>
          <w:tcPr>
            <w:tcW w:w="1672" w:type="dxa"/>
            <w:vMerge w:val="restart"/>
            <w:tcBorders>
              <w:top w:val="single" w:sz="4" w:space="0" w:color="auto"/>
            </w:tcBorders>
            <w:noWrap/>
            <w:vAlign w:val="center"/>
          </w:tcPr>
          <w:p w14:paraId="371DA1E6" w14:textId="77777777" w:rsidR="00BA4645" w:rsidRPr="00EA38DE" w:rsidRDefault="00BA4645" w:rsidP="009501B5">
            <w:pPr>
              <w:spacing w:after="0" w:line="240" w:lineRule="auto"/>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Variable</w:t>
            </w:r>
          </w:p>
        </w:tc>
        <w:tc>
          <w:tcPr>
            <w:tcW w:w="2468" w:type="dxa"/>
            <w:gridSpan w:val="2"/>
            <w:tcBorders>
              <w:top w:val="single" w:sz="4" w:space="0" w:color="auto"/>
              <w:bottom w:val="single" w:sz="4" w:space="0" w:color="auto"/>
            </w:tcBorders>
            <w:noWrap/>
            <w:vAlign w:val="center"/>
          </w:tcPr>
          <w:p w14:paraId="06D8BE10"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Container thruput</w:t>
            </w:r>
          </w:p>
        </w:tc>
        <w:tc>
          <w:tcPr>
            <w:tcW w:w="2468" w:type="dxa"/>
            <w:gridSpan w:val="2"/>
            <w:tcBorders>
              <w:top w:val="single" w:sz="4" w:space="0" w:color="auto"/>
              <w:bottom w:val="single" w:sz="4" w:space="0" w:color="auto"/>
            </w:tcBorders>
            <w:noWrap/>
            <w:vAlign w:val="center"/>
          </w:tcPr>
          <w:p w14:paraId="4400268E"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Shipping cost</w:t>
            </w:r>
          </w:p>
        </w:tc>
        <w:tc>
          <w:tcPr>
            <w:tcW w:w="2444" w:type="dxa"/>
            <w:gridSpan w:val="2"/>
            <w:tcBorders>
              <w:top w:val="single" w:sz="4" w:space="0" w:color="auto"/>
              <w:bottom w:val="single" w:sz="4" w:space="0" w:color="auto"/>
            </w:tcBorders>
            <w:noWrap/>
            <w:vAlign w:val="center"/>
          </w:tcPr>
          <w:p w14:paraId="54D3FF02"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i/>
                <w:iCs/>
                <w:sz w:val="20"/>
                <w:szCs w:val="20"/>
              </w:rPr>
              <w:t>Port revenue</w:t>
            </w:r>
          </w:p>
        </w:tc>
      </w:tr>
      <w:tr w:rsidR="00EA38DE" w:rsidRPr="00EA38DE" w14:paraId="32C817C9" w14:textId="77777777" w:rsidTr="009501B5">
        <w:trPr>
          <w:trHeight w:val="307"/>
        </w:trPr>
        <w:tc>
          <w:tcPr>
            <w:tcW w:w="1672" w:type="dxa"/>
            <w:vMerge/>
            <w:tcBorders>
              <w:bottom w:val="single" w:sz="4" w:space="0" w:color="auto"/>
            </w:tcBorders>
            <w:noWrap/>
            <w:vAlign w:val="center"/>
            <w:hideMark/>
          </w:tcPr>
          <w:p w14:paraId="44880BB7" w14:textId="77777777" w:rsidR="00BA4645" w:rsidRPr="00EA38DE" w:rsidRDefault="00BA4645" w:rsidP="009501B5">
            <w:pPr>
              <w:spacing w:after="0" w:line="240" w:lineRule="auto"/>
              <w:rPr>
                <w:rFonts w:ascii="Times New Roman" w:eastAsia="Times New Roman" w:hAnsi="Times New Roman" w:cs="Times New Roman"/>
                <w:b/>
                <w:bCs/>
                <w:sz w:val="20"/>
                <w:szCs w:val="20"/>
              </w:rPr>
            </w:pPr>
          </w:p>
        </w:tc>
        <w:tc>
          <w:tcPr>
            <w:tcW w:w="1314" w:type="dxa"/>
            <w:tcBorders>
              <w:top w:val="single" w:sz="4" w:space="0" w:color="auto"/>
              <w:bottom w:val="single" w:sz="4" w:space="0" w:color="auto"/>
            </w:tcBorders>
            <w:noWrap/>
            <w:vAlign w:val="center"/>
            <w:hideMark/>
          </w:tcPr>
          <w:p w14:paraId="32363AE8"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Coefficient</w:t>
            </w:r>
          </w:p>
        </w:tc>
        <w:tc>
          <w:tcPr>
            <w:tcW w:w="1154" w:type="dxa"/>
            <w:tcBorders>
              <w:top w:val="single" w:sz="4" w:space="0" w:color="auto"/>
              <w:bottom w:val="single" w:sz="4" w:space="0" w:color="auto"/>
            </w:tcBorders>
            <w:noWrap/>
            <w:vAlign w:val="center"/>
            <w:hideMark/>
          </w:tcPr>
          <w:p w14:paraId="657E9E6F"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314" w:type="dxa"/>
            <w:tcBorders>
              <w:top w:val="single" w:sz="4" w:space="0" w:color="auto"/>
              <w:bottom w:val="single" w:sz="4" w:space="0" w:color="auto"/>
            </w:tcBorders>
            <w:noWrap/>
            <w:vAlign w:val="center"/>
            <w:hideMark/>
          </w:tcPr>
          <w:p w14:paraId="45910574"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Coefficient</w:t>
            </w:r>
          </w:p>
        </w:tc>
        <w:tc>
          <w:tcPr>
            <w:tcW w:w="1154" w:type="dxa"/>
            <w:tcBorders>
              <w:top w:val="single" w:sz="4" w:space="0" w:color="auto"/>
              <w:bottom w:val="single" w:sz="4" w:space="0" w:color="auto"/>
            </w:tcBorders>
            <w:noWrap/>
            <w:vAlign w:val="center"/>
            <w:hideMark/>
          </w:tcPr>
          <w:p w14:paraId="678B1A04"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c>
          <w:tcPr>
            <w:tcW w:w="1314" w:type="dxa"/>
            <w:tcBorders>
              <w:top w:val="single" w:sz="4" w:space="0" w:color="auto"/>
              <w:bottom w:val="single" w:sz="4" w:space="0" w:color="auto"/>
            </w:tcBorders>
            <w:noWrap/>
            <w:vAlign w:val="center"/>
            <w:hideMark/>
          </w:tcPr>
          <w:p w14:paraId="5E71F45A"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Coefficient</w:t>
            </w:r>
          </w:p>
        </w:tc>
        <w:tc>
          <w:tcPr>
            <w:tcW w:w="1130" w:type="dxa"/>
            <w:tcBorders>
              <w:top w:val="single" w:sz="4" w:space="0" w:color="auto"/>
              <w:bottom w:val="single" w:sz="4" w:space="0" w:color="auto"/>
            </w:tcBorders>
            <w:noWrap/>
            <w:vAlign w:val="center"/>
            <w:hideMark/>
          </w:tcPr>
          <w:p w14:paraId="54B805EC"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Prob.</w:t>
            </w:r>
          </w:p>
        </w:tc>
      </w:tr>
      <w:tr w:rsidR="00EA38DE" w:rsidRPr="00EA38DE" w14:paraId="2D1FD3BA" w14:textId="77777777" w:rsidTr="009501B5">
        <w:trPr>
          <w:trHeight w:val="307"/>
        </w:trPr>
        <w:tc>
          <w:tcPr>
            <w:tcW w:w="1672" w:type="dxa"/>
            <w:tcBorders>
              <w:top w:val="single" w:sz="4" w:space="0" w:color="auto"/>
              <w:bottom w:val="single" w:sz="4" w:space="0" w:color="auto"/>
            </w:tcBorders>
            <w:noWrap/>
            <w:vAlign w:val="center"/>
            <w:hideMark/>
          </w:tcPr>
          <w:p w14:paraId="414546D2"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Short run</w:t>
            </w:r>
          </w:p>
        </w:tc>
        <w:tc>
          <w:tcPr>
            <w:tcW w:w="1314" w:type="dxa"/>
            <w:tcBorders>
              <w:top w:val="single" w:sz="4" w:space="0" w:color="auto"/>
            </w:tcBorders>
            <w:noWrap/>
            <w:vAlign w:val="center"/>
            <w:hideMark/>
          </w:tcPr>
          <w:p w14:paraId="19BAC71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tcBorders>
              <w:top w:val="single" w:sz="4" w:space="0" w:color="auto"/>
            </w:tcBorders>
            <w:noWrap/>
            <w:vAlign w:val="center"/>
            <w:hideMark/>
          </w:tcPr>
          <w:p w14:paraId="2D74D7A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tcBorders>
              <w:top w:val="single" w:sz="4" w:space="0" w:color="auto"/>
            </w:tcBorders>
            <w:noWrap/>
            <w:vAlign w:val="center"/>
            <w:hideMark/>
          </w:tcPr>
          <w:p w14:paraId="76813B9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tcBorders>
              <w:top w:val="single" w:sz="4" w:space="0" w:color="auto"/>
            </w:tcBorders>
            <w:noWrap/>
            <w:vAlign w:val="center"/>
            <w:hideMark/>
          </w:tcPr>
          <w:p w14:paraId="56D8E71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tcBorders>
              <w:top w:val="single" w:sz="4" w:space="0" w:color="auto"/>
            </w:tcBorders>
            <w:noWrap/>
            <w:vAlign w:val="center"/>
            <w:hideMark/>
          </w:tcPr>
          <w:p w14:paraId="5A26AE0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30" w:type="dxa"/>
            <w:tcBorders>
              <w:top w:val="single" w:sz="4" w:space="0" w:color="auto"/>
            </w:tcBorders>
            <w:noWrap/>
            <w:vAlign w:val="center"/>
            <w:hideMark/>
          </w:tcPr>
          <w:p w14:paraId="18EF3DB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7C81D015" w14:textId="77777777" w:rsidTr="009501B5">
        <w:trPr>
          <w:trHeight w:val="307"/>
        </w:trPr>
        <w:tc>
          <w:tcPr>
            <w:tcW w:w="1672" w:type="dxa"/>
            <w:tcBorders>
              <w:top w:val="single" w:sz="4" w:space="0" w:color="auto"/>
            </w:tcBorders>
            <w:noWrap/>
            <w:vAlign w:val="center"/>
            <w:hideMark/>
          </w:tcPr>
          <w:p w14:paraId="390A412A"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ΔDLNT</w:t>
            </w:r>
          </w:p>
        </w:tc>
        <w:tc>
          <w:tcPr>
            <w:tcW w:w="1314" w:type="dxa"/>
            <w:noWrap/>
            <w:vAlign w:val="center"/>
            <w:hideMark/>
          </w:tcPr>
          <w:p w14:paraId="5972C3B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-0.835</w:t>
            </w:r>
          </w:p>
        </w:tc>
        <w:tc>
          <w:tcPr>
            <w:tcW w:w="1154" w:type="dxa"/>
            <w:noWrap/>
            <w:vAlign w:val="center"/>
            <w:hideMark/>
          </w:tcPr>
          <w:p w14:paraId="22CC47E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0.004</w:t>
            </w:r>
          </w:p>
        </w:tc>
        <w:tc>
          <w:tcPr>
            <w:tcW w:w="1314" w:type="dxa"/>
            <w:noWrap/>
            <w:vAlign w:val="center"/>
            <w:hideMark/>
          </w:tcPr>
          <w:p w14:paraId="11EF811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2C38728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0C8F563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3.485</w:t>
            </w:r>
          </w:p>
        </w:tc>
        <w:tc>
          <w:tcPr>
            <w:tcW w:w="1130" w:type="dxa"/>
            <w:noWrap/>
            <w:vAlign w:val="center"/>
            <w:hideMark/>
          </w:tcPr>
          <w:p w14:paraId="71EBC21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099BD478" w14:textId="77777777" w:rsidTr="009501B5">
        <w:trPr>
          <w:trHeight w:val="307"/>
        </w:trPr>
        <w:tc>
          <w:tcPr>
            <w:tcW w:w="1672" w:type="dxa"/>
            <w:noWrap/>
            <w:vAlign w:val="center"/>
            <w:hideMark/>
          </w:tcPr>
          <w:p w14:paraId="1B18ACD8"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ΔDLNT</w:t>
            </w:r>
            <w:r w:rsidRPr="00EA38DE">
              <w:rPr>
                <w:rFonts w:ascii="Times New Roman" w:eastAsia="Times New Roman" w:hAnsi="Times New Roman" w:cs="Times New Roman"/>
                <w:sz w:val="20"/>
                <w:szCs w:val="20"/>
                <w:vertAlign w:val="subscript"/>
              </w:rPr>
              <w:t>t-1</w:t>
            </w:r>
          </w:p>
        </w:tc>
        <w:tc>
          <w:tcPr>
            <w:tcW w:w="1314" w:type="dxa"/>
            <w:noWrap/>
            <w:vAlign w:val="center"/>
            <w:hideMark/>
          </w:tcPr>
          <w:p w14:paraId="1CAB8DA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1.715</w:t>
            </w:r>
          </w:p>
        </w:tc>
        <w:tc>
          <w:tcPr>
            <w:tcW w:w="1154" w:type="dxa"/>
            <w:noWrap/>
            <w:vAlign w:val="center"/>
            <w:hideMark/>
          </w:tcPr>
          <w:p w14:paraId="7C65CF1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68C7025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35B0D09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5B3F11A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3.514</w:t>
            </w:r>
          </w:p>
        </w:tc>
        <w:tc>
          <w:tcPr>
            <w:tcW w:w="1130" w:type="dxa"/>
            <w:noWrap/>
            <w:vAlign w:val="center"/>
            <w:hideMark/>
          </w:tcPr>
          <w:p w14:paraId="1D95745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75FCF96A" w14:textId="77777777" w:rsidTr="009501B5">
        <w:trPr>
          <w:trHeight w:val="307"/>
        </w:trPr>
        <w:tc>
          <w:tcPr>
            <w:tcW w:w="1672" w:type="dxa"/>
            <w:noWrap/>
            <w:vAlign w:val="center"/>
            <w:hideMark/>
          </w:tcPr>
          <w:p w14:paraId="3A32A3EF"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ΔDLNT</w:t>
            </w:r>
            <w:r w:rsidRPr="00EA38DE">
              <w:rPr>
                <w:rFonts w:ascii="Times New Roman" w:eastAsia="Times New Roman" w:hAnsi="Times New Roman" w:cs="Times New Roman"/>
                <w:sz w:val="20"/>
                <w:szCs w:val="20"/>
                <w:vertAlign w:val="subscript"/>
              </w:rPr>
              <w:t>t-2</w:t>
            </w:r>
          </w:p>
        </w:tc>
        <w:tc>
          <w:tcPr>
            <w:tcW w:w="1314" w:type="dxa"/>
            <w:noWrap/>
            <w:vAlign w:val="center"/>
            <w:hideMark/>
          </w:tcPr>
          <w:p w14:paraId="43C7E55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1.412</w:t>
            </w:r>
          </w:p>
        </w:tc>
        <w:tc>
          <w:tcPr>
            <w:tcW w:w="1154" w:type="dxa"/>
            <w:noWrap/>
            <w:vAlign w:val="center"/>
            <w:hideMark/>
          </w:tcPr>
          <w:p w14:paraId="66B5E21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6AAF81F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6A1ACDD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2158299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4.033</w:t>
            </w:r>
          </w:p>
        </w:tc>
        <w:tc>
          <w:tcPr>
            <w:tcW w:w="1130" w:type="dxa"/>
            <w:noWrap/>
            <w:vAlign w:val="center"/>
            <w:hideMark/>
          </w:tcPr>
          <w:p w14:paraId="4E3F85C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46D2C840" w14:textId="77777777" w:rsidTr="009501B5">
        <w:trPr>
          <w:trHeight w:val="307"/>
        </w:trPr>
        <w:tc>
          <w:tcPr>
            <w:tcW w:w="1672" w:type="dxa"/>
            <w:noWrap/>
            <w:vAlign w:val="center"/>
            <w:hideMark/>
          </w:tcPr>
          <w:p w14:paraId="04F93F96"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p>
        </w:tc>
        <w:tc>
          <w:tcPr>
            <w:tcW w:w="1314" w:type="dxa"/>
            <w:noWrap/>
            <w:vAlign w:val="center"/>
            <w:hideMark/>
          </w:tcPr>
          <w:p w14:paraId="69091C8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-0.006</w:t>
            </w:r>
          </w:p>
        </w:tc>
        <w:tc>
          <w:tcPr>
            <w:tcW w:w="1154" w:type="dxa"/>
            <w:noWrap/>
            <w:vAlign w:val="center"/>
            <w:hideMark/>
          </w:tcPr>
          <w:p w14:paraId="1D9777D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0.007</w:t>
            </w:r>
          </w:p>
        </w:tc>
        <w:tc>
          <w:tcPr>
            <w:tcW w:w="1314" w:type="dxa"/>
            <w:noWrap/>
            <w:vAlign w:val="center"/>
            <w:hideMark/>
          </w:tcPr>
          <w:p w14:paraId="56DDAAC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10EC8FA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5E507FF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130" w:type="dxa"/>
            <w:noWrap/>
            <w:vAlign w:val="center"/>
            <w:hideMark/>
          </w:tcPr>
          <w:p w14:paraId="514B0A3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0.844</w:t>
            </w:r>
          </w:p>
        </w:tc>
      </w:tr>
      <w:tr w:rsidR="00EA38DE" w:rsidRPr="00EA38DE" w14:paraId="309CA13A" w14:textId="77777777" w:rsidTr="009501B5">
        <w:trPr>
          <w:trHeight w:val="307"/>
        </w:trPr>
        <w:tc>
          <w:tcPr>
            <w:tcW w:w="1672" w:type="dxa"/>
            <w:noWrap/>
            <w:vAlign w:val="center"/>
            <w:hideMark/>
          </w:tcPr>
          <w:p w14:paraId="1F591FE9"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r w:rsidRPr="00EA38DE">
              <w:rPr>
                <w:rFonts w:ascii="Times New Roman" w:eastAsia="Times New Roman" w:hAnsi="Times New Roman" w:cs="Times New Roman"/>
                <w:sz w:val="20"/>
                <w:szCs w:val="20"/>
                <w:vertAlign w:val="subscript"/>
              </w:rPr>
              <w:t>t-1</w:t>
            </w:r>
          </w:p>
        </w:tc>
        <w:tc>
          <w:tcPr>
            <w:tcW w:w="1314" w:type="dxa"/>
            <w:noWrap/>
            <w:vAlign w:val="center"/>
            <w:hideMark/>
          </w:tcPr>
          <w:p w14:paraId="3929ED4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0.012</w:t>
            </w:r>
          </w:p>
        </w:tc>
        <w:tc>
          <w:tcPr>
            <w:tcW w:w="1154" w:type="dxa"/>
            <w:noWrap/>
            <w:vAlign w:val="center"/>
            <w:hideMark/>
          </w:tcPr>
          <w:p w14:paraId="187FDEF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7C9A337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42B69A0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7240DBE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0.013</w:t>
            </w:r>
          </w:p>
        </w:tc>
        <w:tc>
          <w:tcPr>
            <w:tcW w:w="1130" w:type="dxa"/>
            <w:noWrap/>
            <w:vAlign w:val="center"/>
            <w:hideMark/>
          </w:tcPr>
          <w:p w14:paraId="3D42394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0.014</w:t>
            </w:r>
          </w:p>
        </w:tc>
      </w:tr>
      <w:tr w:rsidR="00EA38DE" w:rsidRPr="00EA38DE" w14:paraId="7AEE39E6" w14:textId="77777777" w:rsidTr="009501B5">
        <w:trPr>
          <w:trHeight w:val="307"/>
        </w:trPr>
        <w:tc>
          <w:tcPr>
            <w:tcW w:w="1672" w:type="dxa"/>
            <w:noWrap/>
            <w:vAlign w:val="center"/>
            <w:hideMark/>
          </w:tcPr>
          <w:p w14:paraId="03E203A4"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r w:rsidRPr="00EA38DE">
              <w:rPr>
                <w:rFonts w:ascii="Times New Roman" w:eastAsia="Times New Roman" w:hAnsi="Times New Roman" w:cs="Times New Roman"/>
                <w:sz w:val="20"/>
                <w:szCs w:val="20"/>
                <w:vertAlign w:val="subscript"/>
              </w:rPr>
              <w:t>t-2</w:t>
            </w:r>
          </w:p>
        </w:tc>
        <w:tc>
          <w:tcPr>
            <w:tcW w:w="1314" w:type="dxa"/>
            <w:noWrap/>
            <w:vAlign w:val="center"/>
            <w:hideMark/>
          </w:tcPr>
          <w:p w14:paraId="10B26EB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0.007</w:t>
            </w:r>
          </w:p>
        </w:tc>
        <w:tc>
          <w:tcPr>
            <w:tcW w:w="1154" w:type="dxa"/>
            <w:noWrap/>
            <w:vAlign w:val="center"/>
            <w:hideMark/>
          </w:tcPr>
          <w:p w14:paraId="284D340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34D28F9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0CDB8EE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5E057E0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0.006</w:t>
            </w:r>
          </w:p>
        </w:tc>
        <w:tc>
          <w:tcPr>
            <w:tcW w:w="1130" w:type="dxa"/>
            <w:noWrap/>
            <w:vAlign w:val="center"/>
            <w:hideMark/>
          </w:tcPr>
          <w:p w14:paraId="13C1553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0.134</w:t>
            </w:r>
          </w:p>
        </w:tc>
      </w:tr>
      <w:tr w:rsidR="00EA38DE" w:rsidRPr="00EA38DE" w14:paraId="56146AAC" w14:textId="77777777" w:rsidTr="009501B5">
        <w:trPr>
          <w:trHeight w:val="307"/>
        </w:trPr>
        <w:tc>
          <w:tcPr>
            <w:tcW w:w="1672" w:type="dxa"/>
            <w:noWrap/>
            <w:vAlign w:val="center"/>
            <w:hideMark/>
          </w:tcPr>
          <w:p w14:paraId="20302B7C"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ΔIFR</w:t>
            </w:r>
            <w:r w:rsidRPr="00EA38DE">
              <w:rPr>
                <w:rFonts w:ascii="Times New Roman" w:eastAsia="Times New Roman" w:hAnsi="Times New Roman" w:cs="Times New Roman"/>
                <w:sz w:val="20"/>
                <w:szCs w:val="20"/>
                <w:vertAlign w:val="subscript"/>
              </w:rPr>
              <w:t>t-3</w:t>
            </w:r>
          </w:p>
        </w:tc>
        <w:tc>
          <w:tcPr>
            <w:tcW w:w="1314" w:type="dxa"/>
            <w:noWrap/>
            <w:vAlign w:val="center"/>
            <w:hideMark/>
          </w:tcPr>
          <w:p w14:paraId="7301027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08C9A2C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3A772BE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08DAF9F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53B3EDB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-0.010</w:t>
            </w:r>
          </w:p>
        </w:tc>
        <w:tc>
          <w:tcPr>
            <w:tcW w:w="1130" w:type="dxa"/>
            <w:noWrap/>
            <w:vAlign w:val="center"/>
            <w:hideMark/>
          </w:tcPr>
          <w:p w14:paraId="38B36AC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0.012</w:t>
            </w:r>
          </w:p>
        </w:tc>
      </w:tr>
      <w:tr w:rsidR="00EA38DE" w:rsidRPr="00EA38DE" w14:paraId="013C983E" w14:textId="77777777" w:rsidTr="009501B5">
        <w:trPr>
          <w:trHeight w:val="307"/>
        </w:trPr>
        <w:tc>
          <w:tcPr>
            <w:tcW w:w="1672" w:type="dxa"/>
            <w:noWrap/>
            <w:vAlign w:val="center"/>
            <w:hideMark/>
          </w:tcPr>
          <w:p w14:paraId="684D378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p>
        </w:tc>
        <w:tc>
          <w:tcPr>
            <w:tcW w:w="1314" w:type="dxa"/>
            <w:noWrap/>
            <w:vAlign w:val="center"/>
            <w:hideMark/>
          </w:tcPr>
          <w:p w14:paraId="7558173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-7.094</w:t>
            </w:r>
          </w:p>
        </w:tc>
        <w:tc>
          <w:tcPr>
            <w:tcW w:w="1154" w:type="dxa"/>
            <w:noWrap/>
            <w:vAlign w:val="center"/>
            <w:hideMark/>
          </w:tcPr>
          <w:p w14:paraId="4F7FD61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7645689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2.279</w:t>
            </w:r>
          </w:p>
        </w:tc>
        <w:tc>
          <w:tcPr>
            <w:tcW w:w="1154" w:type="dxa"/>
            <w:noWrap/>
            <w:vAlign w:val="center"/>
            <w:hideMark/>
          </w:tcPr>
          <w:p w14:paraId="5FCACEE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0.031</w:t>
            </w:r>
          </w:p>
        </w:tc>
        <w:tc>
          <w:tcPr>
            <w:tcW w:w="1314" w:type="dxa"/>
            <w:noWrap/>
            <w:vAlign w:val="center"/>
            <w:hideMark/>
          </w:tcPr>
          <w:p w14:paraId="026FA68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14.137</w:t>
            </w:r>
          </w:p>
        </w:tc>
        <w:tc>
          <w:tcPr>
            <w:tcW w:w="1130" w:type="dxa"/>
            <w:noWrap/>
            <w:vAlign w:val="center"/>
            <w:hideMark/>
          </w:tcPr>
          <w:p w14:paraId="1053FDC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0.003</w:t>
            </w:r>
          </w:p>
        </w:tc>
      </w:tr>
      <w:tr w:rsidR="00EA38DE" w:rsidRPr="00EA38DE" w14:paraId="66B6A2CE" w14:textId="77777777" w:rsidTr="009501B5">
        <w:trPr>
          <w:trHeight w:val="307"/>
        </w:trPr>
        <w:tc>
          <w:tcPr>
            <w:tcW w:w="1672" w:type="dxa"/>
            <w:noWrap/>
            <w:vAlign w:val="center"/>
            <w:hideMark/>
          </w:tcPr>
          <w:p w14:paraId="0CA922D2"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r w:rsidRPr="00EA38DE">
              <w:rPr>
                <w:rFonts w:ascii="Times New Roman" w:eastAsia="Times New Roman" w:hAnsi="Times New Roman" w:cs="Times New Roman"/>
                <w:sz w:val="20"/>
                <w:szCs w:val="20"/>
                <w:vertAlign w:val="subscript"/>
              </w:rPr>
              <w:t>t-1</w:t>
            </w:r>
          </w:p>
        </w:tc>
        <w:tc>
          <w:tcPr>
            <w:tcW w:w="1314" w:type="dxa"/>
            <w:noWrap/>
            <w:vAlign w:val="center"/>
            <w:hideMark/>
          </w:tcPr>
          <w:p w14:paraId="4FA990C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19.723</w:t>
            </w:r>
          </w:p>
        </w:tc>
        <w:tc>
          <w:tcPr>
            <w:tcW w:w="1154" w:type="dxa"/>
            <w:noWrap/>
            <w:vAlign w:val="center"/>
            <w:hideMark/>
          </w:tcPr>
          <w:p w14:paraId="37241A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0.021</w:t>
            </w:r>
          </w:p>
        </w:tc>
        <w:tc>
          <w:tcPr>
            <w:tcW w:w="1314" w:type="dxa"/>
            <w:noWrap/>
            <w:vAlign w:val="center"/>
            <w:hideMark/>
          </w:tcPr>
          <w:p w14:paraId="7F1451E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4995F46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18CD571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49.598</w:t>
            </w:r>
          </w:p>
        </w:tc>
        <w:tc>
          <w:tcPr>
            <w:tcW w:w="1130" w:type="dxa"/>
            <w:noWrap/>
            <w:vAlign w:val="center"/>
            <w:hideMark/>
          </w:tcPr>
          <w:p w14:paraId="189351D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0.022</w:t>
            </w:r>
          </w:p>
        </w:tc>
      </w:tr>
      <w:tr w:rsidR="00EA38DE" w:rsidRPr="00EA38DE" w14:paraId="308A809A" w14:textId="77777777" w:rsidTr="009501B5">
        <w:trPr>
          <w:trHeight w:val="307"/>
        </w:trPr>
        <w:tc>
          <w:tcPr>
            <w:tcW w:w="1672" w:type="dxa"/>
            <w:noWrap/>
            <w:vAlign w:val="center"/>
            <w:hideMark/>
          </w:tcPr>
          <w:p w14:paraId="0790978D"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r w:rsidRPr="00EA38DE">
              <w:rPr>
                <w:rFonts w:ascii="Times New Roman" w:eastAsia="Times New Roman" w:hAnsi="Times New Roman" w:cs="Times New Roman"/>
                <w:sz w:val="20"/>
                <w:szCs w:val="20"/>
                <w:vertAlign w:val="subscript"/>
              </w:rPr>
              <w:t>t-2</w:t>
            </w:r>
          </w:p>
        </w:tc>
        <w:tc>
          <w:tcPr>
            <w:tcW w:w="1314" w:type="dxa"/>
            <w:noWrap/>
            <w:vAlign w:val="center"/>
            <w:hideMark/>
          </w:tcPr>
          <w:p w14:paraId="5112A01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24.245</w:t>
            </w:r>
          </w:p>
        </w:tc>
        <w:tc>
          <w:tcPr>
            <w:tcW w:w="1154" w:type="dxa"/>
            <w:noWrap/>
            <w:vAlign w:val="center"/>
            <w:hideMark/>
          </w:tcPr>
          <w:p w14:paraId="5295529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0.015</w:t>
            </w:r>
          </w:p>
        </w:tc>
        <w:tc>
          <w:tcPr>
            <w:tcW w:w="1314" w:type="dxa"/>
            <w:noWrap/>
            <w:vAlign w:val="center"/>
            <w:hideMark/>
          </w:tcPr>
          <w:p w14:paraId="458E9E2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0B5657E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0A77C81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24.958</w:t>
            </w:r>
          </w:p>
        </w:tc>
        <w:tc>
          <w:tcPr>
            <w:tcW w:w="1130" w:type="dxa"/>
            <w:noWrap/>
            <w:vAlign w:val="center"/>
            <w:hideMark/>
          </w:tcPr>
          <w:p w14:paraId="3043B52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0.385</w:t>
            </w:r>
          </w:p>
        </w:tc>
      </w:tr>
      <w:tr w:rsidR="00EA38DE" w:rsidRPr="00EA38DE" w14:paraId="10E06525" w14:textId="77777777" w:rsidTr="009501B5">
        <w:trPr>
          <w:trHeight w:val="307"/>
        </w:trPr>
        <w:tc>
          <w:tcPr>
            <w:tcW w:w="1672" w:type="dxa"/>
            <w:noWrap/>
            <w:vAlign w:val="center"/>
            <w:hideMark/>
          </w:tcPr>
          <w:p w14:paraId="4C745415"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ΔLAB</w:t>
            </w:r>
            <w:r w:rsidRPr="00EA38DE">
              <w:rPr>
                <w:rFonts w:ascii="Times New Roman" w:eastAsia="Times New Roman" w:hAnsi="Times New Roman" w:cs="Times New Roman"/>
                <w:sz w:val="20"/>
                <w:szCs w:val="20"/>
                <w:vertAlign w:val="subscript"/>
              </w:rPr>
              <w:t>t-3</w:t>
            </w:r>
          </w:p>
        </w:tc>
        <w:tc>
          <w:tcPr>
            <w:tcW w:w="1314" w:type="dxa"/>
            <w:noWrap/>
            <w:vAlign w:val="center"/>
            <w:hideMark/>
          </w:tcPr>
          <w:p w14:paraId="25CA960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67EB443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47A3F2F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77AD3F3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4C5F8F2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138.76</w:t>
            </w:r>
          </w:p>
        </w:tc>
        <w:tc>
          <w:tcPr>
            <w:tcW w:w="1130" w:type="dxa"/>
            <w:noWrap/>
            <w:vAlign w:val="center"/>
            <w:hideMark/>
          </w:tcPr>
          <w:p w14:paraId="09049BF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r>
      <w:tr w:rsidR="00EA38DE" w:rsidRPr="00EA38DE" w14:paraId="3DFE9870" w14:textId="77777777" w:rsidTr="009501B5">
        <w:trPr>
          <w:trHeight w:val="307"/>
        </w:trPr>
        <w:tc>
          <w:tcPr>
            <w:tcW w:w="1672" w:type="dxa"/>
            <w:noWrap/>
            <w:vAlign w:val="center"/>
            <w:hideMark/>
          </w:tcPr>
          <w:p w14:paraId="0B94ED13"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p>
        </w:tc>
        <w:tc>
          <w:tcPr>
            <w:tcW w:w="1314" w:type="dxa"/>
            <w:noWrap/>
            <w:vAlign w:val="center"/>
            <w:hideMark/>
          </w:tcPr>
          <w:p w14:paraId="6B57A0F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0.126</w:t>
            </w:r>
          </w:p>
        </w:tc>
        <w:tc>
          <w:tcPr>
            <w:tcW w:w="1154" w:type="dxa"/>
            <w:noWrap/>
            <w:vAlign w:val="center"/>
            <w:hideMark/>
          </w:tcPr>
          <w:p w14:paraId="1BC6B38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30E29B9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0076A26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6241210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0.037</w:t>
            </w:r>
          </w:p>
        </w:tc>
        <w:tc>
          <w:tcPr>
            <w:tcW w:w="1130" w:type="dxa"/>
            <w:noWrap/>
            <w:vAlign w:val="center"/>
            <w:hideMark/>
          </w:tcPr>
          <w:p w14:paraId="779C308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0.445</w:t>
            </w:r>
          </w:p>
        </w:tc>
      </w:tr>
      <w:tr w:rsidR="00EA38DE" w:rsidRPr="00EA38DE" w14:paraId="234FD59B" w14:textId="77777777" w:rsidTr="009501B5">
        <w:trPr>
          <w:trHeight w:val="307"/>
        </w:trPr>
        <w:tc>
          <w:tcPr>
            <w:tcW w:w="1672" w:type="dxa"/>
            <w:noWrap/>
            <w:hideMark/>
          </w:tcPr>
          <w:p w14:paraId="6B2AE204"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r w:rsidRPr="00EA38DE">
              <w:rPr>
                <w:rFonts w:ascii="Times New Roman" w:eastAsia="Times New Roman" w:hAnsi="Times New Roman" w:cs="Times New Roman"/>
                <w:sz w:val="20"/>
                <w:szCs w:val="20"/>
                <w:vertAlign w:val="subscript"/>
              </w:rPr>
              <w:t>t-1</w:t>
            </w:r>
          </w:p>
        </w:tc>
        <w:tc>
          <w:tcPr>
            <w:tcW w:w="1314" w:type="dxa"/>
            <w:noWrap/>
            <w:vAlign w:val="center"/>
            <w:hideMark/>
          </w:tcPr>
          <w:p w14:paraId="672DB1C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5F0A291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23D70C4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0BFDFC9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29D02B0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-1.057</w:t>
            </w:r>
          </w:p>
        </w:tc>
        <w:tc>
          <w:tcPr>
            <w:tcW w:w="1130" w:type="dxa"/>
            <w:noWrap/>
            <w:vAlign w:val="center"/>
            <w:hideMark/>
          </w:tcPr>
          <w:p w14:paraId="320FCD9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75489FD2" w14:textId="77777777" w:rsidTr="009501B5">
        <w:trPr>
          <w:trHeight w:val="307"/>
        </w:trPr>
        <w:tc>
          <w:tcPr>
            <w:tcW w:w="1672" w:type="dxa"/>
            <w:noWrap/>
            <w:hideMark/>
          </w:tcPr>
          <w:p w14:paraId="48C25F6B"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r w:rsidRPr="00EA38DE">
              <w:rPr>
                <w:rFonts w:ascii="Times New Roman" w:eastAsia="Times New Roman" w:hAnsi="Times New Roman" w:cs="Times New Roman"/>
                <w:sz w:val="20"/>
                <w:szCs w:val="20"/>
                <w:vertAlign w:val="subscript"/>
              </w:rPr>
              <w:t>t-2</w:t>
            </w:r>
          </w:p>
        </w:tc>
        <w:tc>
          <w:tcPr>
            <w:tcW w:w="1314" w:type="dxa"/>
            <w:noWrap/>
            <w:vAlign w:val="center"/>
            <w:hideMark/>
          </w:tcPr>
          <w:p w14:paraId="63D369F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4095A16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475E5A8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noWrap/>
            <w:vAlign w:val="center"/>
            <w:hideMark/>
          </w:tcPr>
          <w:p w14:paraId="09C443B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4966865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-0.805</w:t>
            </w:r>
          </w:p>
        </w:tc>
        <w:tc>
          <w:tcPr>
            <w:tcW w:w="1130" w:type="dxa"/>
            <w:noWrap/>
            <w:vAlign w:val="center"/>
            <w:hideMark/>
          </w:tcPr>
          <w:p w14:paraId="7D3BAC2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435DE7E6" w14:textId="77777777" w:rsidTr="009501B5">
        <w:trPr>
          <w:trHeight w:val="307"/>
        </w:trPr>
        <w:tc>
          <w:tcPr>
            <w:tcW w:w="1672" w:type="dxa"/>
            <w:tcBorders>
              <w:bottom w:val="nil"/>
            </w:tcBorders>
            <w:noWrap/>
            <w:hideMark/>
          </w:tcPr>
          <w:p w14:paraId="7E283019"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ΔTRF</w:t>
            </w:r>
            <w:r w:rsidRPr="00EA38DE">
              <w:rPr>
                <w:rFonts w:ascii="Times New Roman" w:eastAsia="Times New Roman" w:hAnsi="Times New Roman" w:cs="Times New Roman"/>
                <w:sz w:val="20"/>
                <w:szCs w:val="20"/>
                <w:vertAlign w:val="subscript"/>
              </w:rPr>
              <w:t>t-3</w:t>
            </w:r>
          </w:p>
        </w:tc>
        <w:tc>
          <w:tcPr>
            <w:tcW w:w="1314" w:type="dxa"/>
            <w:tcBorders>
              <w:bottom w:val="nil"/>
            </w:tcBorders>
            <w:noWrap/>
            <w:vAlign w:val="center"/>
            <w:hideMark/>
          </w:tcPr>
          <w:p w14:paraId="66CA362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tcBorders>
              <w:bottom w:val="nil"/>
            </w:tcBorders>
            <w:noWrap/>
            <w:vAlign w:val="center"/>
            <w:hideMark/>
          </w:tcPr>
          <w:p w14:paraId="768D495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tcBorders>
              <w:bottom w:val="nil"/>
            </w:tcBorders>
            <w:noWrap/>
            <w:vAlign w:val="center"/>
            <w:hideMark/>
          </w:tcPr>
          <w:p w14:paraId="2544800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tcBorders>
              <w:bottom w:val="nil"/>
            </w:tcBorders>
            <w:noWrap/>
            <w:vAlign w:val="center"/>
            <w:hideMark/>
          </w:tcPr>
          <w:p w14:paraId="4FEF6CB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tcBorders>
              <w:bottom w:val="nil"/>
            </w:tcBorders>
            <w:noWrap/>
            <w:vAlign w:val="center"/>
            <w:hideMark/>
          </w:tcPr>
          <w:p w14:paraId="2F2ABE3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-0.583</w:t>
            </w:r>
          </w:p>
        </w:tc>
        <w:tc>
          <w:tcPr>
            <w:tcW w:w="1130" w:type="dxa"/>
            <w:tcBorders>
              <w:bottom w:val="nil"/>
            </w:tcBorders>
            <w:noWrap/>
            <w:vAlign w:val="center"/>
            <w:hideMark/>
          </w:tcPr>
          <w:p w14:paraId="15CF0E2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6A2BD8AC" w14:textId="77777777" w:rsidTr="009501B5">
        <w:trPr>
          <w:trHeight w:val="307"/>
        </w:trPr>
        <w:tc>
          <w:tcPr>
            <w:tcW w:w="1672" w:type="dxa"/>
            <w:tcBorders>
              <w:top w:val="nil"/>
              <w:bottom w:val="single" w:sz="4" w:space="0" w:color="auto"/>
            </w:tcBorders>
            <w:noWrap/>
            <w:vAlign w:val="center"/>
            <w:hideMark/>
          </w:tcPr>
          <w:p w14:paraId="04962937"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ECM</w:t>
            </w:r>
            <w:r w:rsidRPr="00EA38DE">
              <w:rPr>
                <w:rFonts w:ascii="Times New Roman" w:eastAsia="Times New Roman" w:hAnsi="Times New Roman" w:cs="Times New Roman"/>
                <w:sz w:val="20"/>
                <w:szCs w:val="20"/>
                <w:vertAlign w:val="subscript"/>
              </w:rPr>
              <w:t>t-1</w:t>
            </w:r>
          </w:p>
        </w:tc>
        <w:tc>
          <w:tcPr>
            <w:tcW w:w="1314" w:type="dxa"/>
            <w:tcBorders>
              <w:top w:val="nil"/>
              <w:bottom w:val="single" w:sz="4" w:space="0" w:color="auto"/>
            </w:tcBorders>
            <w:noWrap/>
            <w:vAlign w:val="center"/>
            <w:hideMark/>
          </w:tcPr>
          <w:p w14:paraId="0FB7E17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-0.486</w:t>
            </w:r>
          </w:p>
        </w:tc>
        <w:tc>
          <w:tcPr>
            <w:tcW w:w="1154" w:type="dxa"/>
            <w:tcBorders>
              <w:top w:val="nil"/>
              <w:bottom w:val="single" w:sz="4" w:space="0" w:color="auto"/>
            </w:tcBorders>
            <w:noWrap/>
            <w:vAlign w:val="center"/>
            <w:hideMark/>
          </w:tcPr>
          <w:p w14:paraId="1C51A52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tcBorders>
              <w:top w:val="nil"/>
              <w:bottom w:val="single" w:sz="4" w:space="0" w:color="auto"/>
            </w:tcBorders>
            <w:noWrap/>
            <w:vAlign w:val="center"/>
            <w:hideMark/>
          </w:tcPr>
          <w:p w14:paraId="033A1DA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-0.262</w:t>
            </w:r>
          </w:p>
        </w:tc>
        <w:tc>
          <w:tcPr>
            <w:tcW w:w="1154" w:type="dxa"/>
            <w:tcBorders>
              <w:top w:val="nil"/>
              <w:bottom w:val="single" w:sz="4" w:space="0" w:color="auto"/>
            </w:tcBorders>
            <w:noWrap/>
            <w:vAlign w:val="center"/>
            <w:hideMark/>
          </w:tcPr>
          <w:p w14:paraId="6790E1B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tcBorders>
              <w:top w:val="nil"/>
              <w:bottom w:val="single" w:sz="4" w:space="0" w:color="auto"/>
            </w:tcBorders>
            <w:noWrap/>
            <w:vAlign w:val="center"/>
            <w:hideMark/>
          </w:tcPr>
          <w:p w14:paraId="3C2F227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-1.627</w:t>
            </w:r>
          </w:p>
        </w:tc>
        <w:tc>
          <w:tcPr>
            <w:tcW w:w="1130" w:type="dxa"/>
            <w:tcBorders>
              <w:top w:val="nil"/>
              <w:bottom w:val="single" w:sz="4" w:space="0" w:color="auto"/>
            </w:tcBorders>
            <w:noWrap/>
            <w:vAlign w:val="center"/>
            <w:hideMark/>
          </w:tcPr>
          <w:p w14:paraId="7749ED9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r>
      <w:tr w:rsidR="00EA38DE" w:rsidRPr="00EA38DE" w14:paraId="78E2FCE9" w14:textId="77777777" w:rsidTr="009501B5">
        <w:trPr>
          <w:trHeight w:val="307"/>
        </w:trPr>
        <w:tc>
          <w:tcPr>
            <w:tcW w:w="1672" w:type="dxa"/>
            <w:tcBorders>
              <w:top w:val="single" w:sz="4" w:space="0" w:color="auto"/>
              <w:bottom w:val="single" w:sz="4" w:space="0" w:color="auto"/>
            </w:tcBorders>
            <w:noWrap/>
            <w:vAlign w:val="center"/>
            <w:hideMark/>
          </w:tcPr>
          <w:p w14:paraId="2F242836" w14:textId="77777777" w:rsidR="00BA4645" w:rsidRPr="00EA38DE" w:rsidRDefault="00BA4645" w:rsidP="009501B5">
            <w:pPr>
              <w:spacing w:after="0" w:line="240" w:lineRule="auto"/>
              <w:rPr>
                <w:rFonts w:ascii="Times New Roman" w:eastAsia="Times New Roman" w:hAnsi="Times New Roman" w:cs="Times New Roman"/>
                <w:i/>
                <w:iCs/>
                <w:sz w:val="20"/>
                <w:szCs w:val="20"/>
              </w:rPr>
            </w:pPr>
            <w:r w:rsidRPr="00EA38DE">
              <w:rPr>
                <w:rFonts w:ascii="Times New Roman" w:eastAsia="Times New Roman" w:hAnsi="Times New Roman" w:cs="Times New Roman"/>
                <w:i/>
                <w:iCs/>
                <w:sz w:val="20"/>
                <w:szCs w:val="20"/>
              </w:rPr>
              <w:t>Long run</w:t>
            </w:r>
          </w:p>
        </w:tc>
        <w:tc>
          <w:tcPr>
            <w:tcW w:w="1314" w:type="dxa"/>
            <w:tcBorders>
              <w:top w:val="single" w:sz="4" w:space="0" w:color="auto"/>
            </w:tcBorders>
            <w:noWrap/>
            <w:vAlign w:val="center"/>
            <w:hideMark/>
          </w:tcPr>
          <w:p w14:paraId="19275E6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tcBorders>
              <w:top w:val="single" w:sz="4" w:space="0" w:color="auto"/>
            </w:tcBorders>
            <w:noWrap/>
            <w:vAlign w:val="center"/>
            <w:hideMark/>
          </w:tcPr>
          <w:p w14:paraId="165D9DD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tcBorders>
              <w:top w:val="single" w:sz="4" w:space="0" w:color="auto"/>
            </w:tcBorders>
            <w:noWrap/>
            <w:vAlign w:val="center"/>
            <w:hideMark/>
          </w:tcPr>
          <w:p w14:paraId="207DF83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54" w:type="dxa"/>
            <w:tcBorders>
              <w:top w:val="single" w:sz="4" w:space="0" w:color="auto"/>
            </w:tcBorders>
            <w:noWrap/>
            <w:vAlign w:val="center"/>
            <w:hideMark/>
          </w:tcPr>
          <w:p w14:paraId="1BA7E9B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tcBorders>
              <w:top w:val="single" w:sz="4" w:space="0" w:color="auto"/>
            </w:tcBorders>
            <w:noWrap/>
            <w:vAlign w:val="center"/>
            <w:hideMark/>
          </w:tcPr>
          <w:p w14:paraId="13BCD60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130" w:type="dxa"/>
            <w:tcBorders>
              <w:top w:val="single" w:sz="4" w:space="0" w:color="auto"/>
            </w:tcBorders>
            <w:noWrap/>
            <w:vAlign w:val="center"/>
            <w:hideMark/>
          </w:tcPr>
          <w:p w14:paraId="4E6AF91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5456A1E5" w14:textId="77777777" w:rsidTr="009501B5">
        <w:trPr>
          <w:trHeight w:val="307"/>
        </w:trPr>
        <w:tc>
          <w:tcPr>
            <w:tcW w:w="1672" w:type="dxa"/>
            <w:tcBorders>
              <w:top w:val="single" w:sz="4" w:space="0" w:color="auto"/>
            </w:tcBorders>
            <w:noWrap/>
            <w:vAlign w:val="center"/>
            <w:hideMark/>
          </w:tcPr>
          <w:p w14:paraId="370D65C4"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DLNT</w:t>
            </w:r>
          </w:p>
        </w:tc>
        <w:tc>
          <w:tcPr>
            <w:tcW w:w="1314" w:type="dxa"/>
            <w:noWrap/>
            <w:vAlign w:val="center"/>
            <w:hideMark/>
          </w:tcPr>
          <w:p w14:paraId="1805D21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-6.618</w:t>
            </w:r>
          </w:p>
        </w:tc>
        <w:tc>
          <w:tcPr>
            <w:tcW w:w="1154" w:type="dxa"/>
            <w:noWrap/>
            <w:vAlign w:val="center"/>
            <w:hideMark/>
          </w:tcPr>
          <w:p w14:paraId="3258A30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0.051</w:t>
            </w:r>
          </w:p>
        </w:tc>
        <w:tc>
          <w:tcPr>
            <w:tcW w:w="1314" w:type="dxa"/>
            <w:noWrap/>
            <w:vAlign w:val="center"/>
            <w:hideMark/>
          </w:tcPr>
          <w:p w14:paraId="0D74118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0.393</w:t>
            </w:r>
          </w:p>
        </w:tc>
        <w:tc>
          <w:tcPr>
            <w:tcW w:w="1154" w:type="dxa"/>
            <w:noWrap/>
            <w:vAlign w:val="center"/>
            <w:hideMark/>
          </w:tcPr>
          <w:p w14:paraId="38D024E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0.792</w:t>
            </w:r>
          </w:p>
        </w:tc>
        <w:tc>
          <w:tcPr>
            <w:tcW w:w="1314" w:type="dxa"/>
            <w:noWrap/>
            <w:vAlign w:val="center"/>
            <w:hideMark/>
          </w:tcPr>
          <w:p w14:paraId="2425989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-2.111</w:t>
            </w:r>
          </w:p>
        </w:tc>
        <w:tc>
          <w:tcPr>
            <w:tcW w:w="1130" w:type="dxa"/>
            <w:noWrap/>
            <w:vAlign w:val="center"/>
            <w:hideMark/>
          </w:tcPr>
          <w:p w14:paraId="515C132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0.217</w:t>
            </w:r>
          </w:p>
        </w:tc>
      </w:tr>
      <w:tr w:rsidR="00EA38DE" w:rsidRPr="00EA38DE" w14:paraId="75253D71" w14:textId="77777777" w:rsidTr="009501B5">
        <w:trPr>
          <w:trHeight w:val="307"/>
        </w:trPr>
        <w:tc>
          <w:tcPr>
            <w:tcW w:w="1672" w:type="dxa"/>
            <w:noWrap/>
            <w:vAlign w:val="center"/>
            <w:hideMark/>
          </w:tcPr>
          <w:p w14:paraId="1A8D9DEB"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IFR</w:t>
            </w:r>
          </w:p>
        </w:tc>
        <w:tc>
          <w:tcPr>
            <w:tcW w:w="1314" w:type="dxa"/>
            <w:noWrap/>
            <w:vAlign w:val="center"/>
            <w:hideMark/>
          </w:tcPr>
          <w:p w14:paraId="45EFFE0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-0.032</w:t>
            </w:r>
          </w:p>
        </w:tc>
        <w:tc>
          <w:tcPr>
            <w:tcW w:w="1154" w:type="dxa"/>
            <w:noWrap/>
            <w:vAlign w:val="center"/>
            <w:hideMark/>
          </w:tcPr>
          <w:p w14:paraId="22F18BE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0.081</w:t>
            </w:r>
          </w:p>
        </w:tc>
        <w:tc>
          <w:tcPr>
            <w:tcW w:w="1314" w:type="dxa"/>
            <w:noWrap/>
            <w:vAlign w:val="center"/>
            <w:hideMark/>
          </w:tcPr>
          <w:p w14:paraId="2791786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0.001</w:t>
            </w:r>
          </w:p>
        </w:tc>
        <w:tc>
          <w:tcPr>
            <w:tcW w:w="1154" w:type="dxa"/>
            <w:noWrap/>
            <w:vAlign w:val="center"/>
            <w:hideMark/>
          </w:tcPr>
          <w:p w14:paraId="12C4226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0.944</w:t>
            </w:r>
          </w:p>
        </w:tc>
        <w:tc>
          <w:tcPr>
            <w:tcW w:w="1314" w:type="dxa"/>
            <w:noWrap/>
            <w:vAlign w:val="center"/>
            <w:hideMark/>
          </w:tcPr>
          <w:p w14:paraId="09691C0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-0.016</w:t>
            </w:r>
          </w:p>
        </w:tc>
        <w:tc>
          <w:tcPr>
            <w:tcW w:w="1130" w:type="dxa"/>
            <w:noWrap/>
            <w:vAlign w:val="center"/>
            <w:hideMark/>
          </w:tcPr>
          <w:p w14:paraId="20659C2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0.196</w:t>
            </w:r>
          </w:p>
        </w:tc>
      </w:tr>
      <w:tr w:rsidR="00EA38DE" w:rsidRPr="00EA38DE" w14:paraId="000A5CD0" w14:textId="77777777" w:rsidTr="009501B5">
        <w:trPr>
          <w:trHeight w:val="307"/>
        </w:trPr>
        <w:tc>
          <w:tcPr>
            <w:tcW w:w="1672" w:type="dxa"/>
            <w:noWrap/>
            <w:vAlign w:val="center"/>
            <w:hideMark/>
          </w:tcPr>
          <w:p w14:paraId="30B302C0"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LAB</w:t>
            </w:r>
          </w:p>
        </w:tc>
        <w:tc>
          <w:tcPr>
            <w:tcW w:w="1314" w:type="dxa"/>
            <w:noWrap/>
            <w:vAlign w:val="center"/>
            <w:hideMark/>
          </w:tcPr>
          <w:p w14:paraId="5E7D4C6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3.797</w:t>
            </w:r>
          </w:p>
        </w:tc>
        <w:tc>
          <w:tcPr>
            <w:tcW w:w="1154" w:type="dxa"/>
            <w:noWrap/>
            <w:vAlign w:val="center"/>
            <w:hideMark/>
          </w:tcPr>
          <w:p w14:paraId="07E8DE4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0.512</w:t>
            </w:r>
          </w:p>
        </w:tc>
        <w:tc>
          <w:tcPr>
            <w:tcW w:w="1314" w:type="dxa"/>
            <w:noWrap/>
            <w:vAlign w:val="center"/>
            <w:hideMark/>
          </w:tcPr>
          <w:p w14:paraId="0BA492A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-10.932</w:t>
            </w:r>
          </w:p>
        </w:tc>
        <w:tc>
          <w:tcPr>
            <w:tcW w:w="1154" w:type="dxa"/>
            <w:noWrap/>
            <w:vAlign w:val="center"/>
            <w:hideMark/>
          </w:tcPr>
          <w:p w14:paraId="439BCFD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0.281</w:t>
            </w:r>
          </w:p>
        </w:tc>
        <w:tc>
          <w:tcPr>
            <w:tcW w:w="1314" w:type="dxa"/>
            <w:noWrap/>
            <w:vAlign w:val="center"/>
            <w:hideMark/>
          </w:tcPr>
          <w:p w14:paraId="4B82230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6.075</w:t>
            </w:r>
          </w:p>
        </w:tc>
        <w:tc>
          <w:tcPr>
            <w:tcW w:w="1130" w:type="dxa"/>
            <w:noWrap/>
            <w:vAlign w:val="center"/>
            <w:hideMark/>
          </w:tcPr>
          <w:p w14:paraId="5A86CA4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0.027</w:t>
            </w:r>
          </w:p>
        </w:tc>
      </w:tr>
      <w:tr w:rsidR="00EA38DE" w:rsidRPr="00EA38DE" w14:paraId="4E005F45" w14:textId="77777777" w:rsidTr="009501B5">
        <w:trPr>
          <w:trHeight w:val="307"/>
        </w:trPr>
        <w:tc>
          <w:tcPr>
            <w:tcW w:w="1672" w:type="dxa"/>
            <w:noWrap/>
            <w:vAlign w:val="center"/>
            <w:hideMark/>
          </w:tcPr>
          <w:p w14:paraId="28973D54"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TRF</w:t>
            </w:r>
          </w:p>
        </w:tc>
        <w:tc>
          <w:tcPr>
            <w:tcW w:w="1314" w:type="dxa"/>
            <w:noWrap/>
            <w:vAlign w:val="center"/>
            <w:hideMark/>
          </w:tcPr>
          <w:p w14:paraId="4D1887F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0.399</w:t>
            </w:r>
          </w:p>
        </w:tc>
        <w:tc>
          <w:tcPr>
            <w:tcW w:w="1154" w:type="dxa"/>
            <w:noWrap/>
            <w:vAlign w:val="center"/>
            <w:hideMark/>
          </w:tcPr>
          <w:p w14:paraId="4125355F"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0.004</w:t>
            </w:r>
          </w:p>
        </w:tc>
        <w:tc>
          <w:tcPr>
            <w:tcW w:w="1314" w:type="dxa"/>
            <w:noWrap/>
            <w:vAlign w:val="center"/>
            <w:hideMark/>
          </w:tcPr>
          <w:p w14:paraId="4B7D562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-0.305</w:t>
            </w:r>
          </w:p>
        </w:tc>
        <w:tc>
          <w:tcPr>
            <w:tcW w:w="1154" w:type="dxa"/>
            <w:noWrap/>
            <w:vAlign w:val="center"/>
            <w:hideMark/>
          </w:tcPr>
          <w:p w14:paraId="225EEB7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0.006</w:t>
            </w:r>
          </w:p>
        </w:tc>
        <w:tc>
          <w:tcPr>
            <w:tcW w:w="1314" w:type="dxa"/>
            <w:noWrap/>
            <w:vAlign w:val="center"/>
            <w:hideMark/>
          </w:tcPr>
          <w:p w14:paraId="2E7AF64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0.588</w:t>
            </w:r>
          </w:p>
        </w:tc>
        <w:tc>
          <w:tcPr>
            <w:tcW w:w="1130" w:type="dxa"/>
            <w:noWrap/>
            <w:vAlign w:val="center"/>
            <w:hideMark/>
          </w:tcPr>
          <w:p w14:paraId="3E473D1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0.021</w:t>
            </w:r>
          </w:p>
        </w:tc>
      </w:tr>
      <w:tr w:rsidR="00EA38DE" w:rsidRPr="00EA38DE" w14:paraId="6907EBEF" w14:textId="77777777" w:rsidTr="009501B5">
        <w:trPr>
          <w:trHeight w:val="307"/>
        </w:trPr>
        <w:tc>
          <w:tcPr>
            <w:tcW w:w="1672" w:type="dxa"/>
            <w:noWrap/>
            <w:vAlign w:val="center"/>
            <w:hideMark/>
          </w:tcPr>
          <w:p w14:paraId="7F53BCD1"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Constant</w:t>
            </w:r>
          </w:p>
        </w:tc>
        <w:tc>
          <w:tcPr>
            <w:tcW w:w="1314" w:type="dxa"/>
            <w:noWrap/>
            <w:vAlign w:val="center"/>
            <w:hideMark/>
          </w:tcPr>
          <w:p w14:paraId="4A7FAD90"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26.73</w:t>
            </w:r>
          </w:p>
        </w:tc>
        <w:tc>
          <w:tcPr>
            <w:tcW w:w="1154" w:type="dxa"/>
            <w:noWrap/>
            <w:vAlign w:val="center"/>
            <w:hideMark/>
          </w:tcPr>
          <w:p w14:paraId="1F324F19"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6811272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33.61</w:t>
            </w:r>
          </w:p>
        </w:tc>
        <w:tc>
          <w:tcPr>
            <w:tcW w:w="1154" w:type="dxa"/>
            <w:noWrap/>
            <w:vAlign w:val="center"/>
            <w:hideMark/>
          </w:tcPr>
          <w:p w14:paraId="75170DE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0.000</w:t>
            </w:r>
          </w:p>
        </w:tc>
        <w:tc>
          <w:tcPr>
            <w:tcW w:w="1314" w:type="dxa"/>
            <w:noWrap/>
            <w:vAlign w:val="center"/>
            <w:hideMark/>
          </w:tcPr>
          <w:p w14:paraId="107D4CD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-31.24</w:t>
            </w:r>
          </w:p>
        </w:tc>
        <w:tc>
          <w:tcPr>
            <w:tcW w:w="1130" w:type="dxa"/>
            <w:noWrap/>
            <w:vAlign w:val="center"/>
            <w:hideMark/>
          </w:tcPr>
          <w:p w14:paraId="31FA43C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0.011</w:t>
            </w:r>
          </w:p>
        </w:tc>
      </w:tr>
      <w:tr w:rsidR="00EA38DE" w:rsidRPr="00EA38DE" w14:paraId="4A636AA9" w14:textId="77777777" w:rsidTr="009501B5">
        <w:trPr>
          <w:trHeight w:val="307"/>
        </w:trPr>
        <w:tc>
          <w:tcPr>
            <w:tcW w:w="1672" w:type="dxa"/>
            <w:noWrap/>
            <w:vAlign w:val="center"/>
            <w:hideMark/>
          </w:tcPr>
          <w:p w14:paraId="6FF30F35"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Adj. R-sq.</w:t>
            </w:r>
          </w:p>
        </w:tc>
        <w:tc>
          <w:tcPr>
            <w:tcW w:w="1314" w:type="dxa"/>
            <w:noWrap/>
            <w:vAlign w:val="center"/>
            <w:hideMark/>
          </w:tcPr>
          <w:p w14:paraId="5A9B46DC"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0.739</w:t>
            </w:r>
          </w:p>
        </w:tc>
        <w:tc>
          <w:tcPr>
            <w:tcW w:w="1154" w:type="dxa"/>
            <w:noWrap/>
            <w:vAlign w:val="center"/>
            <w:hideMark/>
          </w:tcPr>
          <w:p w14:paraId="11FA4143"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48A66AED"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0.337</w:t>
            </w:r>
          </w:p>
        </w:tc>
        <w:tc>
          <w:tcPr>
            <w:tcW w:w="1154" w:type="dxa"/>
            <w:noWrap/>
            <w:vAlign w:val="center"/>
            <w:hideMark/>
          </w:tcPr>
          <w:p w14:paraId="3360D9C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2590167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0.926</w:t>
            </w:r>
          </w:p>
        </w:tc>
        <w:tc>
          <w:tcPr>
            <w:tcW w:w="1130" w:type="dxa"/>
            <w:noWrap/>
            <w:vAlign w:val="center"/>
            <w:hideMark/>
          </w:tcPr>
          <w:p w14:paraId="23BAA54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25027506" w14:textId="77777777" w:rsidTr="009501B5">
        <w:trPr>
          <w:trHeight w:val="307"/>
        </w:trPr>
        <w:tc>
          <w:tcPr>
            <w:tcW w:w="1672" w:type="dxa"/>
            <w:noWrap/>
            <w:vAlign w:val="center"/>
            <w:hideMark/>
          </w:tcPr>
          <w:p w14:paraId="62FFB560"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D-W stat</w:t>
            </w:r>
          </w:p>
        </w:tc>
        <w:tc>
          <w:tcPr>
            <w:tcW w:w="1314" w:type="dxa"/>
            <w:noWrap/>
            <w:vAlign w:val="center"/>
            <w:hideMark/>
          </w:tcPr>
          <w:p w14:paraId="06DE17D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2.825</w:t>
            </w:r>
          </w:p>
        </w:tc>
        <w:tc>
          <w:tcPr>
            <w:tcW w:w="1154" w:type="dxa"/>
            <w:noWrap/>
            <w:vAlign w:val="center"/>
            <w:hideMark/>
          </w:tcPr>
          <w:p w14:paraId="11465A0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52F83866"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1.884</w:t>
            </w:r>
          </w:p>
        </w:tc>
        <w:tc>
          <w:tcPr>
            <w:tcW w:w="1154" w:type="dxa"/>
            <w:noWrap/>
            <w:vAlign w:val="center"/>
            <w:hideMark/>
          </w:tcPr>
          <w:p w14:paraId="17987EF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504AADE1"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2.948</w:t>
            </w:r>
          </w:p>
        </w:tc>
        <w:tc>
          <w:tcPr>
            <w:tcW w:w="1130" w:type="dxa"/>
            <w:noWrap/>
            <w:vAlign w:val="center"/>
            <w:hideMark/>
          </w:tcPr>
          <w:p w14:paraId="5BFD71C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r w:rsidR="00EA38DE" w:rsidRPr="00EA38DE" w14:paraId="79EBEC94" w14:textId="77777777" w:rsidTr="009501B5">
        <w:trPr>
          <w:trHeight w:val="307"/>
        </w:trPr>
        <w:tc>
          <w:tcPr>
            <w:tcW w:w="1672" w:type="dxa"/>
            <w:noWrap/>
            <w:vAlign w:val="center"/>
            <w:hideMark/>
          </w:tcPr>
          <w:p w14:paraId="6A503494" w14:textId="77777777" w:rsidR="00BA4645" w:rsidRPr="00EA38DE" w:rsidRDefault="00BA4645" w:rsidP="009501B5">
            <w:pPr>
              <w:spacing w:after="0" w:line="240" w:lineRule="auto"/>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F-Stat.</w:t>
            </w:r>
          </w:p>
        </w:tc>
        <w:tc>
          <w:tcPr>
            <w:tcW w:w="1314" w:type="dxa"/>
            <w:noWrap/>
            <w:vAlign w:val="center"/>
            <w:hideMark/>
          </w:tcPr>
          <w:p w14:paraId="21FE03F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6.848</w:t>
            </w:r>
          </w:p>
        </w:tc>
        <w:tc>
          <w:tcPr>
            <w:tcW w:w="1154" w:type="dxa"/>
            <w:noWrap/>
            <w:vAlign w:val="center"/>
            <w:hideMark/>
          </w:tcPr>
          <w:p w14:paraId="28EAA0F4"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4C2D670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9.387</w:t>
            </w:r>
          </w:p>
        </w:tc>
        <w:tc>
          <w:tcPr>
            <w:tcW w:w="1154" w:type="dxa"/>
            <w:noWrap/>
            <w:vAlign w:val="center"/>
            <w:hideMark/>
          </w:tcPr>
          <w:p w14:paraId="04D6BF8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c>
          <w:tcPr>
            <w:tcW w:w="1314" w:type="dxa"/>
            <w:noWrap/>
            <w:vAlign w:val="center"/>
            <w:hideMark/>
          </w:tcPr>
          <w:p w14:paraId="3D7E702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eastAsia="Times New Roman" w:hAnsi="Times New Roman" w:cs="Times New Roman"/>
                <w:sz w:val="20"/>
                <w:szCs w:val="20"/>
              </w:rPr>
              <w:t>6.83</w:t>
            </w:r>
          </w:p>
        </w:tc>
        <w:tc>
          <w:tcPr>
            <w:tcW w:w="1130" w:type="dxa"/>
            <w:noWrap/>
            <w:vAlign w:val="center"/>
            <w:hideMark/>
          </w:tcPr>
          <w:p w14:paraId="36A1D81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p>
        </w:tc>
      </w:tr>
    </w:tbl>
    <w:p w14:paraId="6ADFDE21" w14:textId="77777777" w:rsidR="00BA4645" w:rsidRPr="00EA38DE" w:rsidRDefault="00BA4645" w:rsidP="00C32368">
      <w:pPr>
        <w:spacing w:line="480" w:lineRule="auto"/>
      </w:pPr>
      <w:r w:rsidRPr="00EA38DE">
        <w:rPr>
          <w:rFonts w:ascii="Times New Roman" w:hAnsi="Times New Roman" w:cs="Times New Roman"/>
          <w:sz w:val="18"/>
          <w:szCs w:val="18"/>
        </w:rPr>
        <w:t>Source: Author’s computation using Eview 13.</w:t>
      </w:r>
    </w:p>
    <w:p w14:paraId="67F4DDD0" w14:textId="33E7FAEA"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In the short run estimates, the coefficient of DLNT does not appear in the shipping cost model. As explained earlier these are the E</w:t>
      </w:r>
      <w:r w:rsidR="00E05EF0" w:rsidRPr="00EA38DE">
        <w:rPr>
          <w:rFonts w:ascii="Times New Roman" w:hAnsi="Times New Roman" w:cs="Times New Roman"/>
          <w:sz w:val="24"/>
          <w:szCs w:val="24"/>
        </w:rPr>
        <w:t>-</w:t>
      </w:r>
      <w:r w:rsidRPr="00EA38DE">
        <w:rPr>
          <w:rFonts w:ascii="Times New Roman" w:hAnsi="Times New Roman" w:cs="Times New Roman"/>
          <w:sz w:val="24"/>
          <w:szCs w:val="24"/>
        </w:rPr>
        <w:t>Views parsimonious estimates where the omitted coefficients are inefficient in the model estimation. Their inclusion weakens the efficiency of the estimation</w:t>
      </w:r>
      <w:r w:rsidR="009449B7" w:rsidRPr="00EA38DE">
        <w:rPr>
          <w:rFonts w:ascii="Times New Roman" w:hAnsi="Times New Roman" w:cs="Times New Roman"/>
          <w:sz w:val="24"/>
          <w:szCs w:val="24"/>
        </w:rPr>
        <w:t xml:space="preserve"> as </w:t>
      </w:r>
      <w:r w:rsidR="009449B7" w:rsidRPr="00EA38DE">
        <w:rPr>
          <w:rFonts w:ascii="Times New Roman" w:hAnsi="Times New Roman" w:cs="Times New Roman"/>
          <w:sz w:val="24"/>
          <w:szCs w:val="24"/>
        </w:rPr>
        <w:lastRenderedPageBreak/>
        <w:t>suggested by Stock &amp; Watson (2020)</w:t>
      </w:r>
      <w:r w:rsidRPr="00EA38DE">
        <w:rPr>
          <w:rFonts w:ascii="Times New Roman" w:hAnsi="Times New Roman" w:cs="Times New Roman"/>
          <w:sz w:val="24"/>
          <w:szCs w:val="24"/>
        </w:rPr>
        <w:t xml:space="preserve"> and they clearly do not contribute anything to the explained segment of the models. This shows that desalination does not have relationship with shipping costs. However, the coefficient is significant and mainly positive for the container throughput and port revenue models. This shows that desalination (which is a measure of infrastructural support in the blue economy) significantly promote both container throughput and port revenue in the short run in Nigeria. Only labour is significant in the shipping cost model which shows that central role of labour in driving short run shipping costs in Nigeria. Most of the control variables are significant in the long run estimates for </w:t>
      </w:r>
      <w:r w:rsidR="00E41AD4" w:rsidRPr="00EA38DE">
        <w:rPr>
          <w:rFonts w:ascii="Times New Roman" w:hAnsi="Times New Roman" w:cs="Times New Roman"/>
          <w:sz w:val="24"/>
          <w:szCs w:val="24"/>
        </w:rPr>
        <w:t>container throughput</w:t>
      </w:r>
      <w:r w:rsidRPr="00EA38DE">
        <w:rPr>
          <w:rFonts w:ascii="Times New Roman" w:hAnsi="Times New Roman" w:cs="Times New Roman"/>
          <w:sz w:val="24"/>
          <w:szCs w:val="24"/>
        </w:rPr>
        <w:t xml:space="preserve"> and </w:t>
      </w:r>
      <w:r w:rsidR="00E41AD4" w:rsidRPr="00EA38DE">
        <w:rPr>
          <w:rFonts w:ascii="Times New Roman" w:hAnsi="Times New Roman" w:cs="Times New Roman"/>
          <w:sz w:val="24"/>
          <w:szCs w:val="24"/>
        </w:rPr>
        <w:t>port revenue</w:t>
      </w:r>
      <w:r w:rsidRPr="00EA38DE">
        <w:rPr>
          <w:rFonts w:ascii="Times New Roman" w:hAnsi="Times New Roman" w:cs="Times New Roman"/>
          <w:sz w:val="24"/>
          <w:szCs w:val="24"/>
        </w:rPr>
        <w:t xml:space="preserve"> models, which show that in the short run, inflation rate, labour and trade freedom are important in promoting the shipping industry performance in Nigeria. The short-run dynamics therefore reveal that desalination exerts mixed effects on the shipping industry performance within the immediate period. The long-run estimates are however more stable and policy-relevant particularly for </w:t>
      </w:r>
      <w:r w:rsidR="00E41AD4" w:rsidRPr="00EA38DE">
        <w:rPr>
          <w:rFonts w:ascii="Times New Roman" w:hAnsi="Times New Roman" w:cs="Times New Roman"/>
          <w:sz w:val="24"/>
          <w:szCs w:val="24"/>
        </w:rPr>
        <w:t>desalination</w:t>
      </w:r>
      <w:r w:rsidRPr="00EA38DE">
        <w:rPr>
          <w:rFonts w:ascii="Times New Roman" w:hAnsi="Times New Roman" w:cs="Times New Roman"/>
          <w:sz w:val="24"/>
          <w:szCs w:val="24"/>
        </w:rPr>
        <w:t xml:space="preserve">. The coefficient of the error correction term is also significant in all three equations and also possess the expected negative signs. This shows that the models are stable and long run adjustments occur smoothly over time.  </w:t>
      </w:r>
    </w:p>
    <w:p w14:paraId="37EE572B" w14:textId="77777777" w:rsidR="00BA4645" w:rsidRPr="00EA38DE" w:rsidRDefault="00BA4645" w:rsidP="00BA4645">
      <w:pPr>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long run estimates of the effects of desalination are shown in the lower panel of Table 4.10. In the container throughput result, the coefficient of desalination which is -6.618 is negative and slightly significant (at the 10 percent level). This shows that desalination has marginal negative effect on container through put. The result suggests that desalination acts as a significant drag on long terms container throughput performance in Nigeria. It shows that there are severe challenges in integrating desalination into the shipping industry in Nigeria and that desalination in the country tends to compete with traditional cargo handling for port resources or lead to diversion of investment from throughput-enhancing infrastructure in the country over time. </w:t>
      </w:r>
    </w:p>
    <w:p w14:paraId="4D92E7F5" w14:textId="77777777" w:rsidR="00BA4645" w:rsidRPr="00EA38DE" w:rsidRDefault="00BA4645" w:rsidP="009501B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In the shipping cost and port revenue models, the coefficient of desalination (which is 0.393) is insignificant. This result shows that desalination does not affect operational expenses nor financial health in the shipping industry in the long run. The result therefore clearly reveal that desalination has very limited integration into shipping logistics and revenue drive in the long run in Nigeria. The coefficient of 2.111 for desalination is also insignificant for the port revenue model. The coefficient of the index for freedom of international trade is consistently significant and positive in all the regressions. This reveals that policies that promote freedom of international trade significantly enhance overall shipping industry performance in the long run in Nigeria.   </w:t>
      </w:r>
    </w:p>
    <w:p w14:paraId="0FDAE357" w14:textId="5F62E703" w:rsidR="00BA4645" w:rsidRPr="00EA38DE" w:rsidRDefault="00BA4645" w:rsidP="009501B5">
      <w:pPr>
        <w:keepNext/>
        <w:keepLines/>
        <w:spacing w:line="480" w:lineRule="auto"/>
        <w:outlineLvl w:val="1"/>
        <w:rPr>
          <w:rFonts w:ascii="Times New Roman" w:eastAsiaTheme="majorEastAsia" w:hAnsi="Times New Roman" w:cs="Times New Roman"/>
          <w:b/>
          <w:sz w:val="24"/>
          <w:szCs w:val="24"/>
        </w:rPr>
      </w:pPr>
      <w:bookmarkStart w:id="15" w:name="_Toc4274525"/>
      <w:r w:rsidRPr="00EA38DE">
        <w:rPr>
          <w:rFonts w:ascii="Times New Roman" w:eastAsiaTheme="majorEastAsia" w:hAnsi="Times New Roman" w:cs="Times New Roman"/>
          <w:b/>
          <w:sz w:val="24"/>
          <w:szCs w:val="24"/>
        </w:rPr>
        <w:t>4.</w:t>
      </w:r>
      <w:r w:rsidR="009B5F6F" w:rsidRPr="00EA38DE">
        <w:rPr>
          <w:rFonts w:ascii="Times New Roman" w:eastAsiaTheme="majorEastAsia" w:hAnsi="Times New Roman" w:cs="Times New Roman"/>
          <w:b/>
          <w:sz w:val="24"/>
          <w:szCs w:val="24"/>
        </w:rPr>
        <w:t>5.3</w:t>
      </w:r>
      <w:r w:rsidR="009501B5" w:rsidRPr="00EA38DE">
        <w:rPr>
          <w:rFonts w:ascii="Times New Roman" w:eastAsiaTheme="majorEastAsia" w:hAnsi="Times New Roman" w:cs="Times New Roman"/>
          <w:b/>
          <w:sz w:val="24"/>
          <w:szCs w:val="24"/>
        </w:rPr>
        <w:tab/>
      </w:r>
      <w:r w:rsidRPr="00EA38DE">
        <w:rPr>
          <w:rFonts w:ascii="Times New Roman" w:eastAsiaTheme="majorEastAsia" w:hAnsi="Times New Roman" w:cs="Times New Roman"/>
          <w:b/>
          <w:sz w:val="24"/>
          <w:szCs w:val="24"/>
        </w:rPr>
        <w:t>Post-Estimation Robustness Tests</w:t>
      </w:r>
      <w:bookmarkEnd w:id="15"/>
    </w:p>
    <w:p w14:paraId="5B502FF5" w14:textId="77777777" w:rsidR="00BA4645" w:rsidRPr="00EA38DE" w:rsidRDefault="00BA4645" w:rsidP="009501B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tests for structural stability of each of the equations estimated in the results stability based on the CUSUM of squares test are presented in Figure 4.7. The CUSUM of squares lines are expected to completely lie in between the dotted 5 percent significance lines (red lines). The results show that the CUSUM-square lines for the result for the two model estimates are all circumscribed within the dotted 5 percent bound lines. This shows that the estimations are stable within the analysis for the four equations. The influences of structural breaks are fully taken into cognisance with the model specification and estimation procedure. These stable estimates are therefore reliable for making policy conclusions and recommendations. </w:t>
      </w:r>
    </w:p>
    <w:p w14:paraId="51CB3260" w14:textId="77777777" w:rsidR="00BA4645" w:rsidRPr="00EA38DE" w:rsidRDefault="00BA4645" w:rsidP="00BA4645">
      <w:pPr>
        <w:spacing w:after="0"/>
        <w:rPr>
          <w:rFonts w:ascii="Times New Roman" w:hAnsi="Times New Roman" w:cs="Times New Roman"/>
          <w:b/>
          <w:bCs/>
          <w:sz w:val="20"/>
          <w:szCs w:val="20"/>
        </w:rPr>
      </w:pPr>
      <w:r w:rsidRPr="00EA38DE">
        <w:object w:dxaOrig="7270" w:dyaOrig="5101" w14:anchorId="49C220FA">
          <v:shape id="_x0000_i1037" type="#_x0000_t75" style="width:230.25pt;height:187.5pt" o:ole="">
            <v:imagedata r:id="rId29" o:title=""/>
          </v:shape>
          <o:OLEObject Type="Embed" ProgID="EViews.Workfile.2" ShapeID="_x0000_i1037" DrawAspect="Content" ObjectID="_1832094683" r:id="rId30"/>
        </w:object>
      </w:r>
      <w:r w:rsidRPr="00EA38DE">
        <w:object w:dxaOrig="7270" w:dyaOrig="5101" w14:anchorId="3777FA7A">
          <v:shape id="_x0000_i1038" type="#_x0000_t75" style="width:216.75pt;height:185.25pt" o:ole="">
            <v:imagedata r:id="rId31" o:title=""/>
          </v:shape>
          <o:OLEObject Type="Embed" ProgID="EViews.Workfile.2" ShapeID="_x0000_i1038" DrawAspect="Content" ObjectID="_1832094684" r:id="rId32"/>
        </w:object>
      </w:r>
    </w:p>
    <w:p w14:paraId="7B586CDB" w14:textId="77777777" w:rsidR="00BA4645" w:rsidRPr="00EA38DE" w:rsidRDefault="00BA4645" w:rsidP="00BA4645">
      <w:r w:rsidRPr="00EA38DE">
        <w:object w:dxaOrig="7270" w:dyaOrig="5101" w14:anchorId="10D0E421">
          <v:shape id="_x0000_i1039" type="#_x0000_t75" style="width:225pt;height:180pt" o:ole="">
            <v:imagedata r:id="rId33" o:title=""/>
          </v:shape>
          <o:OLEObject Type="Embed" ProgID="EViews.Workfile.2" ShapeID="_x0000_i1039" DrawAspect="Content" ObjectID="_1832094685" r:id="rId34"/>
        </w:object>
      </w:r>
      <w:r w:rsidRPr="00EA38DE">
        <w:object w:dxaOrig="7270" w:dyaOrig="5101" w14:anchorId="38CC763E">
          <v:shape id="_x0000_i1040" type="#_x0000_t75" style="width:222pt;height:185.25pt" o:ole="">
            <v:imagedata r:id="rId35" o:title=""/>
          </v:shape>
          <o:OLEObject Type="Embed" ProgID="EViews.Workfile.2" ShapeID="_x0000_i1040" DrawAspect="Content" ObjectID="_1832094686" r:id="rId36"/>
        </w:object>
      </w:r>
    </w:p>
    <w:p w14:paraId="5A750FC4" w14:textId="57EAC3B8" w:rsidR="009501B5" w:rsidRPr="00EA38DE" w:rsidRDefault="009501B5" w:rsidP="00BA4645">
      <w:pPr>
        <w:rPr>
          <w:rFonts w:ascii="Times New Roman" w:hAnsi="Times New Roman" w:cs="Times New Roman"/>
          <w:sz w:val="18"/>
          <w:szCs w:val="18"/>
        </w:rPr>
      </w:pPr>
      <w:r w:rsidRPr="00EA38DE">
        <w:rPr>
          <w:rFonts w:ascii="Times New Roman" w:hAnsi="Times New Roman" w:cs="Times New Roman"/>
          <w:b/>
          <w:bCs/>
          <w:sz w:val="20"/>
          <w:szCs w:val="20"/>
        </w:rPr>
        <w:t>Fig. 4.7: CUSUM Test for Stability</w:t>
      </w:r>
    </w:p>
    <w:p w14:paraId="0A55018D" w14:textId="77777777" w:rsidR="00BA4645" w:rsidRPr="00EA38DE" w:rsidRDefault="00BA4645" w:rsidP="00BA4645">
      <w:pPr>
        <w:rPr>
          <w:sz w:val="24"/>
          <w:szCs w:val="24"/>
        </w:rPr>
      </w:pPr>
      <w:r w:rsidRPr="00EA38DE">
        <w:rPr>
          <w:rFonts w:ascii="Times New Roman" w:hAnsi="Times New Roman" w:cs="Times New Roman"/>
          <w:sz w:val="18"/>
          <w:szCs w:val="18"/>
        </w:rPr>
        <w:t>Source: Author’s computation using Eview 13.</w:t>
      </w:r>
    </w:p>
    <w:p w14:paraId="7A293897" w14:textId="77777777" w:rsidR="00BA4645" w:rsidRPr="00EA38DE" w:rsidRDefault="00BA4645" w:rsidP="00BA4645">
      <w:pPr>
        <w:spacing w:before="360"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Given that dynamic analysis was conducted, there is need to also evaluate the estimated models to ascertain the overall reliability of the models. This is based on plotting the normal distribution of the estimated residuals of the model. The plot of normality from the histograms for the six models are presented in Figure 4.8. The results from the plots for the models suggest that the residuals of the estimates are well concentrated at the middle. The Jarque-Bera tests of normality also fail the significance test for each of the equations at the 5 percent level. This shows that the null hypothesis of normal distribution of the residuals cannot be rejected. Thus, it is shown that the estimates used in the analysis are well specified and stable for long run implications. </w:t>
      </w:r>
    </w:p>
    <w:p w14:paraId="5EB8C782" w14:textId="2D331D1C" w:rsidR="00BA4645" w:rsidRPr="00EA38DE" w:rsidRDefault="00BA4645" w:rsidP="00BA4645">
      <w:pPr>
        <w:spacing w:after="0"/>
        <w:rPr>
          <w:rFonts w:ascii="Times New Roman" w:hAnsi="Times New Roman" w:cs="Times New Roman"/>
          <w:b/>
          <w:bCs/>
          <w:sz w:val="20"/>
          <w:szCs w:val="20"/>
        </w:rPr>
      </w:pPr>
    </w:p>
    <w:p w14:paraId="71CA9E7D" w14:textId="77777777" w:rsidR="00BA4645" w:rsidRPr="00EA38DE" w:rsidRDefault="00BA4645" w:rsidP="00BA4645">
      <w:pPr>
        <w:spacing w:after="0" w:line="240" w:lineRule="auto"/>
      </w:pPr>
      <w:r w:rsidRPr="00EA38DE">
        <w:object w:dxaOrig="9611" w:dyaOrig="4230" w14:anchorId="16E10177">
          <v:shape id="_x0000_i1041" type="#_x0000_t75" style="width:228pt;height:164.25pt" o:ole="">
            <v:imagedata r:id="rId37" o:title=""/>
          </v:shape>
          <o:OLEObject Type="Embed" ProgID="EViews.Workfile.2" ShapeID="_x0000_i1041" DrawAspect="Content" ObjectID="_1832094687" r:id="rId38"/>
        </w:object>
      </w:r>
      <w:r w:rsidRPr="00EA38DE">
        <w:object w:dxaOrig="9611" w:dyaOrig="4230" w14:anchorId="5101FD02">
          <v:shape id="_x0000_i1042" type="#_x0000_t75" style="width:220.5pt;height:161.25pt" o:ole="">
            <v:imagedata r:id="rId39" o:title=""/>
          </v:shape>
          <o:OLEObject Type="Embed" ProgID="EViews.Workfile.2" ShapeID="_x0000_i1042" DrawAspect="Content" ObjectID="_1832094688" r:id="rId40"/>
        </w:object>
      </w:r>
    </w:p>
    <w:p w14:paraId="052F2091" w14:textId="77777777" w:rsidR="00BA4645" w:rsidRPr="00EA38DE" w:rsidRDefault="00BA4645" w:rsidP="00BA4645">
      <w:pPr>
        <w:spacing w:before="120" w:after="0" w:line="240" w:lineRule="auto"/>
        <w:jc w:val="both"/>
        <w:rPr>
          <w:rFonts w:ascii="Times New Roman" w:hAnsi="Times New Roman" w:cs="Times New Roman"/>
          <w:sz w:val="24"/>
          <w:szCs w:val="24"/>
        </w:rPr>
      </w:pPr>
      <w:r w:rsidRPr="00EA38DE">
        <w:object w:dxaOrig="9600" w:dyaOrig="4271" w14:anchorId="54541A34">
          <v:shape id="_x0000_i1043" type="#_x0000_t75" style="width:225.75pt;height:167.25pt" o:ole="">
            <v:imagedata r:id="rId41" o:title=""/>
          </v:shape>
          <o:OLEObject Type="Embed" ProgID="EViews.Workfile.2" ShapeID="_x0000_i1043" DrawAspect="Content" ObjectID="_1832094689" r:id="rId42"/>
        </w:object>
      </w:r>
      <w:r w:rsidRPr="00EA38DE">
        <w:object w:dxaOrig="9611" w:dyaOrig="4230" w14:anchorId="397E2CFC">
          <v:shape id="_x0000_i1044" type="#_x0000_t75" style="width:226.5pt;height:168pt" o:ole="">
            <v:imagedata r:id="rId43" o:title=""/>
          </v:shape>
          <o:OLEObject Type="Embed" ProgID="EViews.Workfile.2" ShapeID="_x0000_i1044" DrawAspect="Content" ObjectID="_1832094690" r:id="rId44"/>
        </w:object>
      </w:r>
    </w:p>
    <w:p w14:paraId="1CF076D2" w14:textId="500B10E2" w:rsidR="009501B5" w:rsidRPr="00EA38DE" w:rsidRDefault="009501B5" w:rsidP="009501B5">
      <w:pPr>
        <w:spacing w:after="0" w:line="360" w:lineRule="auto"/>
        <w:jc w:val="both"/>
        <w:rPr>
          <w:rFonts w:ascii="Times New Roman" w:hAnsi="Times New Roman" w:cs="Times New Roman"/>
          <w:sz w:val="18"/>
          <w:szCs w:val="18"/>
        </w:rPr>
      </w:pPr>
      <w:r w:rsidRPr="00EA38DE">
        <w:rPr>
          <w:rFonts w:ascii="Times New Roman" w:hAnsi="Times New Roman" w:cs="Times New Roman"/>
          <w:b/>
          <w:bCs/>
          <w:sz w:val="20"/>
          <w:szCs w:val="20"/>
        </w:rPr>
        <w:t>Fig. 4.8: Normality Test for Stability</w:t>
      </w:r>
    </w:p>
    <w:p w14:paraId="7C011797" w14:textId="77777777" w:rsidR="00BA4645" w:rsidRPr="00EA38DE" w:rsidRDefault="00BA4645" w:rsidP="00BA4645">
      <w:pPr>
        <w:spacing w:after="0" w:line="480" w:lineRule="auto"/>
        <w:jc w:val="both"/>
        <w:rPr>
          <w:rFonts w:ascii="Times New Roman" w:hAnsi="Times New Roman" w:cs="Times New Roman"/>
          <w:sz w:val="24"/>
          <w:szCs w:val="24"/>
        </w:rPr>
      </w:pPr>
      <w:r w:rsidRPr="00EA38DE">
        <w:rPr>
          <w:rFonts w:ascii="Times New Roman" w:hAnsi="Times New Roman" w:cs="Times New Roman"/>
          <w:sz w:val="18"/>
          <w:szCs w:val="18"/>
        </w:rPr>
        <w:t>Source: Author’s computation using Eview 13.</w:t>
      </w:r>
    </w:p>
    <w:p w14:paraId="50F2EF8B" w14:textId="77777777" w:rsidR="00BA4645" w:rsidRPr="00EA38DE" w:rsidRDefault="00BA4645" w:rsidP="00BA4645">
      <w:pPr>
        <w:spacing w:before="360"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Because of the high correlation coefficients among most of the independent variables in the models, the variance inflation factor (VIF) test is conducted to examine the status of multicollinearity in the estimated models. The results for the VIF for all the results are reported in Table 4.9. It is expected that the VIF coefficients be less than 10 in order to ensure absence of multicollinearity among the variables. In the result, none of the VIF coefficients is higher than 10. Thus, each of the coefficients for the variables follows the expected outcomes. This result shows that there is no risk of multicollinearity in the results for the study.</w:t>
      </w:r>
    </w:p>
    <w:p w14:paraId="32F573E9" w14:textId="77777777" w:rsidR="00BA4645" w:rsidRPr="00EA38DE" w:rsidRDefault="00BA4645" w:rsidP="00BA4645">
      <w:pPr>
        <w:spacing w:after="0" w:line="240" w:lineRule="auto"/>
        <w:jc w:val="both"/>
        <w:rPr>
          <w:rFonts w:ascii="Times New Roman" w:hAnsi="Times New Roman" w:cs="Times New Roman"/>
          <w:b/>
          <w:bCs/>
          <w:sz w:val="20"/>
          <w:szCs w:val="20"/>
        </w:rPr>
      </w:pPr>
    </w:p>
    <w:p w14:paraId="4A9A5CA7" w14:textId="77777777" w:rsidR="00C32368" w:rsidRPr="00EA38DE" w:rsidRDefault="00C32368" w:rsidP="00BA4645">
      <w:pPr>
        <w:spacing w:after="0" w:line="240" w:lineRule="auto"/>
        <w:jc w:val="both"/>
        <w:rPr>
          <w:rFonts w:ascii="Times New Roman" w:hAnsi="Times New Roman" w:cs="Times New Roman"/>
          <w:b/>
          <w:bCs/>
          <w:sz w:val="20"/>
          <w:szCs w:val="20"/>
        </w:rPr>
      </w:pPr>
    </w:p>
    <w:p w14:paraId="1EE14D69" w14:textId="77777777" w:rsidR="00C32368" w:rsidRPr="00EA38DE" w:rsidRDefault="00C32368" w:rsidP="00BA4645">
      <w:pPr>
        <w:spacing w:after="0" w:line="240" w:lineRule="auto"/>
        <w:jc w:val="both"/>
        <w:rPr>
          <w:rFonts w:ascii="Times New Roman" w:hAnsi="Times New Roman" w:cs="Times New Roman"/>
          <w:b/>
          <w:bCs/>
          <w:sz w:val="20"/>
          <w:szCs w:val="20"/>
        </w:rPr>
      </w:pPr>
    </w:p>
    <w:p w14:paraId="44636759" w14:textId="77777777" w:rsidR="00C32368" w:rsidRPr="00EA38DE" w:rsidRDefault="00C32368" w:rsidP="00BA4645">
      <w:pPr>
        <w:spacing w:after="0" w:line="240" w:lineRule="auto"/>
        <w:jc w:val="both"/>
        <w:rPr>
          <w:rFonts w:ascii="Times New Roman" w:hAnsi="Times New Roman" w:cs="Times New Roman"/>
          <w:b/>
          <w:bCs/>
          <w:sz w:val="20"/>
          <w:szCs w:val="20"/>
        </w:rPr>
      </w:pPr>
    </w:p>
    <w:p w14:paraId="0D6C8E09" w14:textId="77777777" w:rsidR="00BA4645" w:rsidRPr="00EA38DE" w:rsidRDefault="00BA4645" w:rsidP="00BA4645">
      <w:pPr>
        <w:spacing w:after="0" w:line="240" w:lineRule="auto"/>
        <w:jc w:val="both"/>
        <w:rPr>
          <w:rFonts w:ascii="Times New Roman" w:hAnsi="Times New Roman" w:cs="Times New Roman"/>
          <w:b/>
          <w:bCs/>
          <w:sz w:val="20"/>
          <w:szCs w:val="20"/>
        </w:rPr>
      </w:pPr>
      <w:r w:rsidRPr="00EA38DE">
        <w:rPr>
          <w:rFonts w:ascii="Times New Roman" w:hAnsi="Times New Roman" w:cs="Times New Roman"/>
          <w:b/>
          <w:bCs/>
          <w:sz w:val="20"/>
          <w:szCs w:val="20"/>
        </w:rPr>
        <w:lastRenderedPageBreak/>
        <w:t>Table 4.11: Results for Multicollinearity Test</w:t>
      </w:r>
    </w:p>
    <w:tbl>
      <w:tblPr>
        <w:tblW w:w="8483" w:type="dxa"/>
        <w:tblBorders>
          <w:top w:val="single" w:sz="4" w:space="0" w:color="auto"/>
          <w:bottom w:val="single" w:sz="4" w:space="0" w:color="auto"/>
        </w:tblBorders>
        <w:tblLook w:val="04A0" w:firstRow="1" w:lastRow="0" w:firstColumn="1" w:lastColumn="0" w:noHBand="0" w:noVBand="1"/>
      </w:tblPr>
      <w:tblGrid>
        <w:gridCol w:w="4942"/>
        <w:gridCol w:w="3541"/>
      </w:tblGrid>
      <w:tr w:rsidR="00EA38DE" w:rsidRPr="00EA38DE" w14:paraId="1D9B7BEB" w14:textId="77777777" w:rsidTr="009501B5">
        <w:trPr>
          <w:trHeight w:val="309"/>
        </w:trPr>
        <w:tc>
          <w:tcPr>
            <w:tcW w:w="4942" w:type="dxa"/>
            <w:tcBorders>
              <w:top w:val="single" w:sz="4" w:space="0" w:color="auto"/>
              <w:bottom w:val="single" w:sz="4" w:space="0" w:color="auto"/>
            </w:tcBorders>
            <w:noWrap/>
            <w:vAlign w:val="center"/>
            <w:hideMark/>
          </w:tcPr>
          <w:p w14:paraId="1891A153"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Variable</w:t>
            </w:r>
          </w:p>
        </w:tc>
        <w:tc>
          <w:tcPr>
            <w:tcW w:w="3541" w:type="dxa"/>
            <w:tcBorders>
              <w:top w:val="single" w:sz="4" w:space="0" w:color="auto"/>
              <w:bottom w:val="single" w:sz="4" w:space="0" w:color="auto"/>
            </w:tcBorders>
            <w:noWrap/>
            <w:vAlign w:val="center"/>
            <w:hideMark/>
          </w:tcPr>
          <w:p w14:paraId="25E6AD85" w14:textId="77777777" w:rsidR="00BA4645" w:rsidRPr="00EA38DE" w:rsidRDefault="00BA4645" w:rsidP="009501B5">
            <w:pPr>
              <w:spacing w:after="0" w:line="240" w:lineRule="auto"/>
              <w:jc w:val="center"/>
              <w:rPr>
                <w:rFonts w:ascii="Times New Roman" w:eastAsia="Times New Roman" w:hAnsi="Times New Roman" w:cs="Times New Roman"/>
                <w:b/>
                <w:bCs/>
                <w:sz w:val="20"/>
                <w:szCs w:val="20"/>
              </w:rPr>
            </w:pPr>
            <w:r w:rsidRPr="00EA38DE">
              <w:rPr>
                <w:rFonts w:ascii="Times New Roman" w:eastAsia="Times New Roman" w:hAnsi="Times New Roman" w:cs="Times New Roman"/>
                <w:b/>
                <w:bCs/>
                <w:sz w:val="20"/>
                <w:szCs w:val="20"/>
              </w:rPr>
              <w:t>Centred VIF</w:t>
            </w:r>
          </w:p>
        </w:tc>
      </w:tr>
      <w:tr w:rsidR="00EA38DE" w:rsidRPr="00EA38DE" w14:paraId="4CEEEC9B" w14:textId="77777777" w:rsidTr="009501B5">
        <w:trPr>
          <w:trHeight w:val="309"/>
        </w:trPr>
        <w:tc>
          <w:tcPr>
            <w:tcW w:w="4942" w:type="dxa"/>
            <w:tcBorders>
              <w:top w:val="single" w:sz="4" w:space="0" w:color="auto"/>
              <w:bottom w:val="nil"/>
            </w:tcBorders>
            <w:noWrap/>
            <w:vAlign w:val="center"/>
          </w:tcPr>
          <w:p w14:paraId="70EDAD7A"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EXRTV</w:t>
            </w:r>
          </w:p>
        </w:tc>
        <w:tc>
          <w:tcPr>
            <w:tcW w:w="3541" w:type="dxa"/>
            <w:tcBorders>
              <w:top w:val="single" w:sz="4" w:space="0" w:color="auto"/>
              <w:bottom w:val="nil"/>
            </w:tcBorders>
            <w:noWrap/>
            <w:vAlign w:val="center"/>
          </w:tcPr>
          <w:p w14:paraId="6925099E"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0.214</w:t>
            </w:r>
          </w:p>
        </w:tc>
      </w:tr>
      <w:tr w:rsidR="00EA38DE" w:rsidRPr="00EA38DE" w14:paraId="29753863" w14:textId="77777777" w:rsidTr="009501B5">
        <w:trPr>
          <w:trHeight w:val="309"/>
        </w:trPr>
        <w:tc>
          <w:tcPr>
            <w:tcW w:w="4942" w:type="dxa"/>
            <w:tcBorders>
              <w:top w:val="nil"/>
              <w:bottom w:val="nil"/>
            </w:tcBorders>
            <w:noWrap/>
            <w:vAlign w:val="center"/>
          </w:tcPr>
          <w:p w14:paraId="04F7D9F8"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FSH</w:t>
            </w:r>
          </w:p>
        </w:tc>
        <w:tc>
          <w:tcPr>
            <w:tcW w:w="3541" w:type="dxa"/>
            <w:tcBorders>
              <w:top w:val="nil"/>
              <w:bottom w:val="nil"/>
            </w:tcBorders>
            <w:noWrap/>
            <w:vAlign w:val="center"/>
          </w:tcPr>
          <w:p w14:paraId="3371A289"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10.94</w:t>
            </w:r>
          </w:p>
        </w:tc>
      </w:tr>
      <w:tr w:rsidR="00EA38DE" w:rsidRPr="00EA38DE" w14:paraId="1FCBCCEE" w14:textId="77777777" w:rsidTr="009501B5">
        <w:trPr>
          <w:trHeight w:val="309"/>
        </w:trPr>
        <w:tc>
          <w:tcPr>
            <w:tcW w:w="4942" w:type="dxa"/>
            <w:tcBorders>
              <w:top w:val="nil"/>
              <w:bottom w:val="nil"/>
            </w:tcBorders>
            <w:noWrap/>
            <w:vAlign w:val="center"/>
          </w:tcPr>
          <w:p w14:paraId="110106E8"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AQT</w:t>
            </w:r>
          </w:p>
        </w:tc>
        <w:tc>
          <w:tcPr>
            <w:tcW w:w="3541" w:type="dxa"/>
            <w:tcBorders>
              <w:top w:val="nil"/>
              <w:bottom w:val="nil"/>
            </w:tcBorders>
            <w:noWrap/>
            <w:vAlign w:val="center"/>
          </w:tcPr>
          <w:p w14:paraId="6F72BD0F"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5.364</w:t>
            </w:r>
          </w:p>
        </w:tc>
      </w:tr>
      <w:tr w:rsidR="00EA38DE" w:rsidRPr="00EA38DE" w14:paraId="028ABDBC" w14:textId="77777777" w:rsidTr="009501B5">
        <w:trPr>
          <w:trHeight w:val="309"/>
        </w:trPr>
        <w:tc>
          <w:tcPr>
            <w:tcW w:w="4942" w:type="dxa"/>
            <w:tcBorders>
              <w:top w:val="nil"/>
            </w:tcBorders>
            <w:noWrap/>
            <w:vAlign w:val="center"/>
          </w:tcPr>
          <w:p w14:paraId="68819043"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DLNT</w:t>
            </w:r>
          </w:p>
        </w:tc>
        <w:tc>
          <w:tcPr>
            <w:tcW w:w="3541" w:type="dxa"/>
            <w:tcBorders>
              <w:top w:val="nil"/>
            </w:tcBorders>
            <w:noWrap/>
            <w:vAlign w:val="center"/>
          </w:tcPr>
          <w:p w14:paraId="4D885752" w14:textId="77777777" w:rsidR="00BA4645" w:rsidRPr="00EA38DE" w:rsidRDefault="00BA4645" w:rsidP="009501B5">
            <w:pPr>
              <w:spacing w:after="0" w:line="240" w:lineRule="auto"/>
              <w:jc w:val="center"/>
              <w:rPr>
                <w:rFonts w:ascii="Times New Roman" w:hAnsi="Times New Roman" w:cs="Times New Roman"/>
                <w:sz w:val="20"/>
                <w:szCs w:val="20"/>
              </w:rPr>
            </w:pPr>
            <w:r w:rsidRPr="00EA38DE">
              <w:rPr>
                <w:rFonts w:ascii="Times New Roman" w:hAnsi="Times New Roman" w:cs="Times New Roman"/>
                <w:sz w:val="20"/>
                <w:szCs w:val="20"/>
              </w:rPr>
              <w:t>4.422</w:t>
            </w:r>
          </w:p>
        </w:tc>
      </w:tr>
      <w:tr w:rsidR="00EA38DE" w:rsidRPr="00EA38DE" w14:paraId="4AF01150" w14:textId="77777777" w:rsidTr="009501B5">
        <w:trPr>
          <w:trHeight w:val="309"/>
        </w:trPr>
        <w:tc>
          <w:tcPr>
            <w:tcW w:w="4942" w:type="dxa"/>
            <w:noWrap/>
            <w:vAlign w:val="center"/>
            <w:hideMark/>
          </w:tcPr>
          <w:p w14:paraId="1F9D79B7"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LAB</w:t>
            </w:r>
          </w:p>
        </w:tc>
        <w:tc>
          <w:tcPr>
            <w:tcW w:w="3541" w:type="dxa"/>
            <w:noWrap/>
            <w:vAlign w:val="center"/>
            <w:hideMark/>
          </w:tcPr>
          <w:p w14:paraId="77531F9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8.078</w:t>
            </w:r>
          </w:p>
        </w:tc>
      </w:tr>
      <w:tr w:rsidR="00EA38DE" w:rsidRPr="00EA38DE" w14:paraId="19B90C68" w14:textId="77777777" w:rsidTr="009501B5">
        <w:trPr>
          <w:trHeight w:val="309"/>
        </w:trPr>
        <w:tc>
          <w:tcPr>
            <w:tcW w:w="4942" w:type="dxa"/>
            <w:noWrap/>
            <w:vAlign w:val="center"/>
            <w:hideMark/>
          </w:tcPr>
          <w:p w14:paraId="76D51715"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TRF</w:t>
            </w:r>
          </w:p>
        </w:tc>
        <w:tc>
          <w:tcPr>
            <w:tcW w:w="3541" w:type="dxa"/>
            <w:noWrap/>
            <w:vAlign w:val="center"/>
            <w:hideMark/>
          </w:tcPr>
          <w:p w14:paraId="67E3657B"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4.114</w:t>
            </w:r>
          </w:p>
        </w:tc>
      </w:tr>
      <w:tr w:rsidR="00EA38DE" w:rsidRPr="00EA38DE" w14:paraId="0A4BBE65" w14:textId="77777777" w:rsidTr="009501B5">
        <w:trPr>
          <w:trHeight w:val="309"/>
        </w:trPr>
        <w:tc>
          <w:tcPr>
            <w:tcW w:w="4942" w:type="dxa"/>
            <w:noWrap/>
            <w:vAlign w:val="center"/>
            <w:hideMark/>
          </w:tcPr>
          <w:p w14:paraId="6B1DBAC2"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IFR</w:t>
            </w:r>
          </w:p>
        </w:tc>
        <w:tc>
          <w:tcPr>
            <w:tcW w:w="3541" w:type="dxa"/>
            <w:noWrap/>
            <w:vAlign w:val="center"/>
            <w:hideMark/>
          </w:tcPr>
          <w:p w14:paraId="6E92A188" w14:textId="77777777" w:rsidR="00BA4645" w:rsidRPr="00EA38DE" w:rsidRDefault="00BA4645" w:rsidP="009501B5">
            <w:pPr>
              <w:spacing w:after="0" w:line="240" w:lineRule="auto"/>
              <w:jc w:val="center"/>
              <w:rPr>
                <w:rFonts w:ascii="Times New Roman" w:eastAsia="Times New Roman" w:hAnsi="Times New Roman" w:cs="Times New Roman"/>
                <w:sz w:val="20"/>
                <w:szCs w:val="20"/>
              </w:rPr>
            </w:pPr>
            <w:r w:rsidRPr="00EA38DE">
              <w:rPr>
                <w:rFonts w:ascii="Times New Roman" w:hAnsi="Times New Roman" w:cs="Times New Roman"/>
                <w:sz w:val="20"/>
                <w:szCs w:val="20"/>
              </w:rPr>
              <w:t>2.151</w:t>
            </w:r>
          </w:p>
        </w:tc>
      </w:tr>
    </w:tbl>
    <w:p w14:paraId="16D3D008" w14:textId="7471E407" w:rsidR="00BA4645" w:rsidRPr="00EA38DE" w:rsidRDefault="00BA4645" w:rsidP="00C32368">
      <w:pPr>
        <w:spacing w:line="480" w:lineRule="auto"/>
        <w:rPr>
          <w:rFonts w:ascii="Times New Roman" w:hAnsi="Times New Roman" w:cs="Times New Roman"/>
          <w:sz w:val="24"/>
          <w:szCs w:val="24"/>
        </w:rPr>
      </w:pPr>
      <w:r w:rsidRPr="00EA38DE">
        <w:rPr>
          <w:rFonts w:ascii="Times New Roman" w:hAnsi="Times New Roman" w:cs="Times New Roman"/>
          <w:sz w:val="18"/>
          <w:szCs w:val="18"/>
        </w:rPr>
        <w:t>Source: Author’s computation</w:t>
      </w:r>
      <w:r w:rsidR="00C32368" w:rsidRPr="00EA38DE">
        <w:rPr>
          <w:rFonts w:ascii="Times New Roman" w:hAnsi="Times New Roman" w:cs="Times New Roman"/>
          <w:sz w:val="18"/>
          <w:szCs w:val="18"/>
        </w:rPr>
        <w:t>, 2025,</w:t>
      </w:r>
      <w:r w:rsidRPr="00EA38DE">
        <w:rPr>
          <w:rFonts w:ascii="Times New Roman" w:hAnsi="Times New Roman" w:cs="Times New Roman"/>
          <w:sz w:val="18"/>
          <w:szCs w:val="18"/>
        </w:rPr>
        <w:t xml:space="preserve"> using Eview 13.</w:t>
      </w:r>
    </w:p>
    <w:p w14:paraId="31785F98" w14:textId="47E6E25A" w:rsidR="00BA4645" w:rsidRPr="00EA38DE" w:rsidRDefault="009501B5" w:rsidP="00C32368">
      <w:pPr>
        <w:spacing w:after="0"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4.5</w:t>
      </w:r>
      <w:r w:rsidR="009B5F6F" w:rsidRPr="00EA38DE">
        <w:rPr>
          <w:rFonts w:ascii="Times New Roman" w:hAnsi="Times New Roman" w:cs="Times New Roman"/>
          <w:b/>
          <w:bCs/>
          <w:sz w:val="24"/>
          <w:szCs w:val="24"/>
        </w:rPr>
        <w:t>.4</w:t>
      </w:r>
      <w:r w:rsidRPr="00EA38DE">
        <w:rPr>
          <w:rFonts w:ascii="Times New Roman" w:hAnsi="Times New Roman" w:cs="Times New Roman"/>
          <w:b/>
          <w:bCs/>
          <w:sz w:val="24"/>
          <w:szCs w:val="24"/>
        </w:rPr>
        <w:tab/>
      </w:r>
      <w:r w:rsidR="00BA4645" w:rsidRPr="00EA38DE">
        <w:rPr>
          <w:rFonts w:ascii="Times New Roman" w:hAnsi="Times New Roman" w:cs="Times New Roman"/>
          <w:b/>
          <w:bCs/>
          <w:sz w:val="24"/>
          <w:szCs w:val="24"/>
        </w:rPr>
        <w:t>Test of Hypotheses</w:t>
      </w:r>
    </w:p>
    <w:p w14:paraId="71F8112C" w14:textId="77777777" w:rsidR="00BA4645" w:rsidRPr="00EA38DE" w:rsidRDefault="00BA4645" w:rsidP="00BA4645">
      <w:pPr>
        <w:spacing w:after="12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test of hypotheses are based on the coefficient estimates of the long run results since they are the stable relationships. </w:t>
      </w:r>
    </w:p>
    <w:p w14:paraId="54B7C5B6" w14:textId="452A3A6F" w:rsidR="00BA4645" w:rsidRPr="00EA38DE" w:rsidRDefault="00BA4645" w:rsidP="009501B5">
      <w:pPr>
        <w:spacing w:after="0" w:line="480" w:lineRule="auto"/>
        <w:ind w:left="720" w:hanging="720"/>
        <w:jc w:val="both"/>
        <w:rPr>
          <w:rFonts w:ascii="Times New Roman" w:hAnsi="Times New Roman" w:cs="Times New Roman"/>
          <w:i/>
          <w:iCs/>
          <w:sz w:val="24"/>
          <w:szCs w:val="24"/>
        </w:rPr>
      </w:pPr>
      <w:r w:rsidRPr="00EA38DE">
        <w:rPr>
          <w:rFonts w:ascii="Times New Roman" w:hAnsi="Times New Roman" w:cs="Times New Roman"/>
          <w:i/>
          <w:iCs/>
          <w:sz w:val="24"/>
          <w:szCs w:val="24"/>
        </w:rPr>
        <w:t>H</w:t>
      </w:r>
      <w:r w:rsidRPr="00EA38DE">
        <w:rPr>
          <w:rFonts w:ascii="Times New Roman" w:hAnsi="Times New Roman" w:cs="Times New Roman"/>
          <w:i/>
          <w:iCs/>
          <w:sz w:val="24"/>
          <w:szCs w:val="24"/>
          <w:vertAlign w:val="subscript"/>
        </w:rPr>
        <w:t>01</w:t>
      </w:r>
      <w:r w:rsidRPr="00EA38DE">
        <w:rPr>
          <w:rFonts w:ascii="Times New Roman" w:hAnsi="Times New Roman" w:cs="Times New Roman"/>
          <w:i/>
          <w:iCs/>
          <w:sz w:val="24"/>
          <w:szCs w:val="24"/>
        </w:rPr>
        <w:t>:</w:t>
      </w:r>
      <w:r w:rsidR="009501B5" w:rsidRPr="00EA38DE">
        <w:rPr>
          <w:rFonts w:ascii="Times New Roman" w:hAnsi="Times New Roman" w:cs="Times New Roman"/>
          <w:i/>
          <w:iCs/>
          <w:sz w:val="24"/>
          <w:szCs w:val="24"/>
        </w:rPr>
        <w:tab/>
      </w:r>
      <w:r w:rsidRPr="00EA38DE">
        <w:rPr>
          <w:rFonts w:ascii="Times New Roman" w:hAnsi="Times New Roman" w:cs="Times New Roman"/>
          <w:i/>
          <w:iCs/>
          <w:sz w:val="24"/>
          <w:szCs w:val="24"/>
        </w:rPr>
        <w:t>Exchange rate volatility (EXRTV) has no significant effect on the financial performance of the shipping industry in Nigeria.</w:t>
      </w:r>
    </w:p>
    <w:p w14:paraId="2928B35B" w14:textId="77777777" w:rsidR="00BA4645" w:rsidRPr="00EA38DE" w:rsidRDefault="00BA4645" w:rsidP="00BA4645">
      <w:p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The results in Table 4.7 shows that</w:t>
      </w:r>
    </w:p>
    <w:p w14:paraId="1975748A" w14:textId="77777777" w:rsidR="00BA4645" w:rsidRPr="00EA38DE" w:rsidRDefault="00BA4645" w:rsidP="00BA4645">
      <w:pPr>
        <w:numPr>
          <w:ilvl w:val="0"/>
          <w:numId w:val="44"/>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Container throughput: Coeff. = –0.643, p = 0.074 → significant at 10%, negative effect.</w:t>
      </w:r>
    </w:p>
    <w:p w14:paraId="4A049ABD" w14:textId="77777777" w:rsidR="00BA4645" w:rsidRPr="00EA38DE" w:rsidRDefault="00BA4645" w:rsidP="00BA4645">
      <w:pPr>
        <w:numPr>
          <w:ilvl w:val="0"/>
          <w:numId w:val="44"/>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Shipping cost: Coeff. = –0.099, p = 0.057 → significant at 10%, negative effect.</w:t>
      </w:r>
    </w:p>
    <w:p w14:paraId="2DB11EE0" w14:textId="77777777" w:rsidR="00BA4645" w:rsidRPr="00EA38DE" w:rsidRDefault="00BA4645" w:rsidP="00BA4645">
      <w:pPr>
        <w:numPr>
          <w:ilvl w:val="0"/>
          <w:numId w:val="44"/>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Port revenue: Coeff. = –0.849, p = 0.503 → not significant.</w:t>
      </w:r>
    </w:p>
    <w:p w14:paraId="7EFA4586" w14:textId="77777777" w:rsidR="00BA4645" w:rsidRPr="00EA38DE" w:rsidRDefault="00BA4645" w:rsidP="009501B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Based on this outcome, the null hypothesis is rejected for container throughput and shipping cost (exchange rate volatility significantly reduces performance), but accepted for port revenue. The results therefore show that exchange rate volatility consistently worsens financial performance in terms of container throughput and shipping cost.</w:t>
      </w:r>
    </w:p>
    <w:p w14:paraId="624A10D3" w14:textId="548890BB" w:rsidR="00BA4645" w:rsidRPr="00EA38DE" w:rsidRDefault="00BA4645" w:rsidP="009501B5">
      <w:pPr>
        <w:spacing w:after="0" w:line="480" w:lineRule="auto"/>
        <w:ind w:left="720" w:hanging="720"/>
        <w:jc w:val="both"/>
        <w:rPr>
          <w:rFonts w:ascii="Times New Roman" w:hAnsi="Times New Roman" w:cs="Times New Roman"/>
          <w:i/>
          <w:iCs/>
          <w:sz w:val="24"/>
          <w:szCs w:val="24"/>
        </w:rPr>
      </w:pPr>
      <w:r w:rsidRPr="00EA38DE">
        <w:rPr>
          <w:rFonts w:ascii="Times New Roman" w:hAnsi="Times New Roman" w:cs="Times New Roman"/>
          <w:i/>
          <w:iCs/>
          <w:sz w:val="24"/>
          <w:szCs w:val="24"/>
        </w:rPr>
        <w:t>H</w:t>
      </w:r>
      <w:r w:rsidRPr="00EA38DE">
        <w:rPr>
          <w:rFonts w:ascii="Times New Roman" w:hAnsi="Times New Roman" w:cs="Times New Roman"/>
          <w:i/>
          <w:iCs/>
          <w:sz w:val="24"/>
          <w:szCs w:val="24"/>
          <w:vertAlign w:val="subscript"/>
        </w:rPr>
        <w:t>02</w:t>
      </w:r>
      <w:r w:rsidRPr="00EA38DE">
        <w:rPr>
          <w:rFonts w:ascii="Times New Roman" w:hAnsi="Times New Roman" w:cs="Times New Roman"/>
          <w:i/>
          <w:iCs/>
          <w:sz w:val="24"/>
          <w:szCs w:val="24"/>
        </w:rPr>
        <w:t>:</w:t>
      </w:r>
      <w:r w:rsidR="009501B5" w:rsidRPr="00EA38DE">
        <w:rPr>
          <w:rFonts w:ascii="Times New Roman" w:hAnsi="Times New Roman" w:cs="Times New Roman"/>
          <w:i/>
          <w:iCs/>
          <w:sz w:val="24"/>
          <w:szCs w:val="24"/>
        </w:rPr>
        <w:tab/>
      </w:r>
      <w:r w:rsidRPr="00EA38DE">
        <w:rPr>
          <w:rFonts w:ascii="Times New Roman" w:hAnsi="Times New Roman" w:cs="Times New Roman"/>
          <w:i/>
          <w:iCs/>
          <w:sz w:val="24"/>
          <w:szCs w:val="24"/>
        </w:rPr>
        <w:t>Fisheries production (FSH) has no significant effect on the financial performance of the shipping industry in Nigeria.</w:t>
      </w:r>
    </w:p>
    <w:p w14:paraId="4E746543" w14:textId="77777777" w:rsidR="00BA4645" w:rsidRPr="00EA38DE" w:rsidRDefault="00BA4645" w:rsidP="00BA4645">
      <w:p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The results in Table 4.8 shows that</w:t>
      </w:r>
    </w:p>
    <w:p w14:paraId="625DA9C8" w14:textId="77777777" w:rsidR="00BA4645" w:rsidRPr="00EA38DE" w:rsidRDefault="00BA4645" w:rsidP="00BA4645">
      <w:pPr>
        <w:numPr>
          <w:ilvl w:val="0"/>
          <w:numId w:val="45"/>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Container throughput: Coeff. = –1.375, p = 0.202 → not significant.</w:t>
      </w:r>
    </w:p>
    <w:p w14:paraId="3E4753D2" w14:textId="77777777" w:rsidR="00BA4645" w:rsidRPr="00EA38DE" w:rsidRDefault="00BA4645" w:rsidP="00BA4645">
      <w:pPr>
        <w:numPr>
          <w:ilvl w:val="0"/>
          <w:numId w:val="45"/>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Shipping cost: Coeff. = –0.937, p = 0.303 → not significant.</w:t>
      </w:r>
    </w:p>
    <w:p w14:paraId="516763EC" w14:textId="77777777" w:rsidR="00BA4645" w:rsidRPr="00EA38DE" w:rsidRDefault="00BA4645" w:rsidP="00BA4645">
      <w:pPr>
        <w:numPr>
          <w:ilvl w:val="0"/>
          <w:numId w:val="45"/>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Port revenue: Coeff. = –0.446, p = 0.740 → not significant.</w:t>
      </w:r>
    </w:p>
    <w:p w14:paraId="06713D43" w14:textId="77777777" w:rsidR="00BA4645" w:rsidRPr="00EA38DE" w:rsidRDefault="00BA4645" w:rsidP="00BA464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Based on this outcome, the null hypothesis is accepted which indicates that fisheries production does not significantly affect financial performance in the long run.</w:t>
      </w:r>
    </w:p>
    <w:p w14:paraId="4147F5BA" w14:textId="2A450083" w:rsidR="00BA4645" w:rsidRPr="00EA38DE" w:rsidRDefault="00BA4645" w:rsidP="009501B5">
      <w:pPr>
        <w:spacing w:after="0" w:line="480" w:lineRule="auto"/>
        <w:ind w:left="720" w:hanging="720"/>
        <w:jc w:val="both"/>
        <w:rPr>
          <w:rFonts w:ascii="Times New Roman" w:hAnsi="Times New Roman" w:cs="Times New Roman"/>
          <w:i/>
          <w:iCs/>
          <w:sz w:val="24"/>
          <w:szCs w:val="24"/>
        </w:rPr>
      </w:pPr>
      <w:r w:rsidRPr="00EA38DE">
        <w:rPr>
          <w:rFonts w:ascii="Times New Roman" w:hAnsi="Times New Roman" w:cs="Times New Roman"/>
          <w:i/>
          <w:iCs/>
          <w:sz w:val="24"/>
          <w:szCs w:val="24"/>
        </w:rPr>
        <w:t>H</w:t>
      </w:r>
      <w:r w:rsidRPr="00EA38DE">
        <w:rPr>
          <w:rFonts w:ascii="Times New Roman" w:hAnsi="Times New Roman" w:cs="Times New Roman"/>
          <w:i/>
          <w:iCs/>
          <w:sz w:val="24"/>
          <w:szCs w:val="24"/>
          <w:vertAlign w:val="subscript"/>
        </w:rPr>
        <w:t>03</w:t>
      </w:r>
      <w:r w:rsidRPr="00EA38DE">
        <w:rPr>
          <w:rFonts w:ascii="Times New Roman" w:hAnsi="Times New Roman" w:cs="Times New Roman"/>
          <w:i/>
          <w:iCs/>
          <w:sz w:val="24"/>
          <w:szCs w:val="24"/>
        </w:rPr>
        <w:t>:</w:t>
      </w:r>
      <w:r w:rsidR="009501B5" w:rsidRPr="00EA38DE">
        <w:rPr>
          <w:rFonts w:ascii="Times New Roman" w:hAnsi="Times New Roman" w:cs="Times New Roman"/>
          <w:i/>
          <w:iCs/>
          <w:sz w:val="24"/>
          <w:szCs w:val="24"/>
        </w:rPr>
        <w:tab/>
      </w:r>
      <w:r w:rsidRPr="00EA38DE">
        <w:rPr>
          <w:rFonts w:ascii="Times New Roman" w:hAnsi="Times New Roman" w:cs="Times New Roman"/>
          <w:i/>
          <w:iCs/>
          <w:sz w:val="24"/>
          <w:szCs w:val="24"/>
        </w:rPr>
        <w:t>Aquaculture production (AQT) has no significant effect on the financial performance of the shipping industry in Nigeria.</w:t>
      </w:r>
    </w:p>
    <w:p w14:paraId="00AAB7DE" w14:textId="77777777" w:rsidR="00BA4645" w:rsidRPr="00EA38DE" w:rsidRDefault="00BA4645" w:rsidP="00BA4645">
      <w:p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The results in Table 4.9 shows that</w:t>
      </w:r>
    </w:p>
    <w:p w14:paraId="305C6437" w14:textId="77777777" w:rsidR="00BA4645" w:rsidRPr="00EA38DE" w:rsidRDefault="00BA4645" w:rsidP="00BA4645">
      <w:pPr>
        <w:numPr>
          <w:ilvl w:val="0"/>
          <w:numId w:val="46"/>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Container throughput: Coeff. = 0.116, p = 0.700 → not significant.</w:t>
      </w:r>
    </w:p>
    <w:p w14:paraId="637D5E08" w14:textId="77777777" w:rsidR="00BA4645" w:rsidRPr="00EA38DE" w:rsidRDefault="00BA4645" w:rsidP="00BA4645">
      <w:pPr>
        <w:numPr>
          <w:ilvl w:val="0"/>
          <w:numId w:val="46"/>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Shipping cost: Coeff. = –1.625, p = 0.088 → significant at 10%, negative effect.</w:t>
      </w:r>
    </w:p>
    <w:p w14:paraId="5B8D4C42" w14:textId="77777777" w:rsidR="00BA4645" w:rsidRPr="00EA38DE" w:rsidRDefault="00BA4645" w:rsidP="00BA4645">
      <w:pPr>
        <w:numPr>
          <w:ilvl w:val="0"/>
          <w:numId w:val="46"/>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Port revenue: Coeff. = 1.900, p = 0.001 → significant at 1%, positive effect.</w:t>
      </w:r>
    </w:p>
    <w:p w14:paraId="56B35EFC" w14:textId="77777777" w:rsidR="00BA4645" w:rsidRPr="00EA38DE" w:rsidRDefault="00BA4645" w:rsidP="00BA464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Based on this outcome, the null hypothesis is rejected for shipping cost (negative effect) and port revenue (positive effect), but accepted for container throughput. It is therefore demonstrated that aquaculture generally exerts significant mixed effects on the performance of the shipping industry in Nigeria.</w:t>
      </w:r>
    </w:p>
    <w:p w14:paraId="3A4FCFAD" w14:textId="67617EF5" w:rsidR="00BA4645" w:rsidRPr="00EA38DE" w:rsidRDefault="00BA4645" w:rsidP="009501B5">
      <w:pPr>
        <w:spacing w:after="0" w:line="480" w:lineRule="auto"/>
        <w:ind w:left="720" w:hanging="720"/>
        <w:jc w:val="both"/>
        <w:rPr>
          <w:rFonts w:ascii="Times New Roman" w:hAnsi="Times New Roman" w:cs="Times New Roman"/>
          <w:i/>
          <w:iCs/>
          <w:sz w:val="24"/>
          <w:szCs w:val="24"/>
        </w:rPr>
      </w:pPr>
      <w:r w:rsidRPr="00EA38DE">
        <w:rPr>
          <w:rFonts w:ascii="Times New Roman" w:hAnsi="Times New Roman" w:cs="Times New Roman"/>
          <w:i/>
          <w:iCs/>
          <w:sz w:val="24"/>
          <w:szCs w:val="24"/>
        </w:rPr>
        <w:t>H</w:t>
      </w:r>
      <w:r w:rsidRPr="00EA38DE">
        <w:rPr>
          <w:rFonts w:ascii="Times New Roman" w:hAnsi="Times New Roman" w:cs="Times New Roman"/>
          <w:i/>
          <w:iCs/>
          <w:sz w:val="24"/>
          <w:szCs w:val="24"/>
          <w:vertAlign w:val="subscript"/>
        </w:rPr>
        <w:t>04</w:t>
      </w:r>
      <w:r w:rsidRPr="00EA38DE">
        <w:rPr>
          <w:rFonts w:ascii="Times New Roman" w:hAnsi="Times New Roman" w:cs="Times New Roman"/>
          <w:i/>
          <w:iCs/>
          <w:sz w:val="24"/>
          <w:szCs w:val="24"/>
        </w:rPr>
        <w:t>:</w:t>
      </w:r>
      <w:r w:rsidR="009501B5" w:rsidRPr="00EA38DE">
        <w:rPr>
          <w:rFonts w:ascii="Times New Roman" w:hAnsi="Times New Roman" w:cs="Times New Roman"/>
          <w:i/>
          <w:iCs/>
          <w:sz w:val="24"/>
          <w:szCs w:val="24"/>
        </w:rPr>
        <w:tab/>
      </w:r>
      <w:r w:rsidRPr="00EA38DE">
        <w:rPr>
          <w:rFonts w:ascii="Times New Roman" w:hAnsi="Times New Roman" w:cs="Times New Roman"/>
          <w:i/>
          <w:iCs/>
          <w:sz w:val="24"/>
          <w:szCs w:val="24"/>
        </w:rPr>
        <w:t>Desalination (DLNT) has no significant effect on the financial performance of the shipping industry in Nigeria.</w:t>
      </w:r>
    </w:p>
    <w:p w14:paraId="22DEE96E" w14:textId="77777777" w:rsidR="00BA4645" w:rsidRPr="00EA38DE" w:rsidRDefault="00BA4645" w:rsidP="00BA4645">
      <w:p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The results in Table 4.10 shows that</w:t>
      </w:r>
    </w:p>
    <w:p w14:paraId="5CADE2AC" w14:textId="77777777" w:rsidR="00BA4645" w:rsidRPr="00EA38DE" w:rsidRDefault="00BA4645" w:rsidP="00BA4645">
      <w:pPr>
        <w:numPr>
          <w:ilvl w:val="0"/>
          <w:numId w:val="47"/>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Container throughput: Coeff. = –6.618, p = 0.051 → significant at 10%, negative effect.</w:t>
      </w:r>
    </w:p>
    <w:p w14:paraId="15DDC5CA" w14:textId="77777777" w:rsidR="00BA4645" w:rsidRPr="00EA38DE" w:rsidRDefault="00BA4645" w:rsidP="00BA4645">
      <w:pPr>
        <w:numPr>
          <w:ilvl w:val="0"/>
          <w:numId w:val="47"/>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Shipping cost: Coeff. = 0.393, p = 0.792 → not significant.</w:t>
      </w:r>
    </w:p>
    <w:p w14:paraId="77F9A009" w14:textId="77777777" w:rsidR="00BA4645" w:rsidRPr="00EA38DE" w:rsidRDefault="00BA4645" w:rsidP="00BA4645">
      <w:pPr>
        <w:numPr>
          <w:ilvl w:val="0"/>
          <w:numId w:val="47"/>
        </w:numPr>
        <w:spacing w:after="0" w:line="480" w:lineRule="auto"/>
        <w:jc w:val="both"/>
        <w:rPr>
          <w:rFonts w:ascii="Times New Roman" w:hAnsi="Times New Roman" w:cs="Times New Roman"/>
          <w:sz w:val="24"/>
          <w:szCs w:val="24"/>
        </w:rPr>
      </w:pPr>
      <w:r w:rsidRPr="00EA38DE">
        <w:rPr>
          <w:rFonts w:ascii="Times New Roman" w:hAnsi="Times New Roman" w:cs="Times New Roman"/>
          <w:sz w:val="24"/>
          <w:szCs w:val="24"/>
        </w:rPr>
        <w:t>Port revenue: Coeff. = –2.111, p = 0.217 → not significant.</w:t>
      </w:r>
    </w:p>
    <w:p w14:paraId="3E7D6850" w14:textId="00EC2244" w:rsidR="00BA4645" w:rsidRPr="00EA38DE" w:rsidRDefault="00BA4645" w:rsidP="00C32678">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Based on this outcome, the null hypothesis is rejected for container throughput (negative effect), but accepted for shipping cost and port revenue. This shows that desalination significantly has a general significant effect on the financial performance of the shipping industry in Nigeria.</w:t>
      </w:r>
    </w:p>
    <w:p w14:paraId="1496E8D6" w14:textId="61F45C52" w:rsidR="00F34815" w:rsidRPr="00EA38DE" w:rsidRDefault="009B5F6F" w:rsidP="00C32678">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lastRenderedPageBreak/>
        <w:t>4.6</w:t>
      </w:r>
      <w:r w:rsidR="00C32678" w:rsidRPr="00EA38DE">
        <w:rPr>
          <w:rFonts w:ascii="Times New Roman" w:hAnsi="Times New Roman" w:cs="Times New Roman"/>
          <w:b/>
          <w:bCs/>
          <w:sz w:val="24"/>
          <w:szCs w:val="24"/>
        </w:rPr>
        <w:tab/>
      </w:r>
      <w:r w:rsidR="00F34815" w:rsidRPr="00EA38DE">
        <w:rPr>
          <w:rFonts w:ascii="Times New Roman" w:hAnsi="Times New Roman" w:cs="Times New Roman"/>
          <w:b/>
          <w:bCs/>
          <w:sz w:val="24"/>
          <w:szCs w:val="24"/>
        </w:rPr>
        <w:t>Discussion of Findings</w:t>
      </w:r>
    </w:p>
    <w:p w14:paraId="7C6F2258" w14:textId="77777777" w:rsidR="00F34815" w:rsidRPr="00EA38DE" w:rsidRDefault="00F34815" w:rsidP="00C32678">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empirical findings of the study reveal several interesting outcomes. First, the study has shown that exchange rate volatility has significant marginally and negative long-run effects on container throughput and shipping costs in Nigeria. These results tend to align with theoretical expectations and previous empirical findings that show that currency instability increases transaction costs and intensifies uncertainty in international trade (</w:t>
      </w:r>
      <w:r w:rsidRPr="00EA38DE">
        <w:rPr>
          <w:rFonts w:ascii="Times New Roman" w:eastAsia="Times New Roman" w:hAnsi="Times New Roman" w:cs="Times New Roman"/>
          <w:sz w:val="24"/>
          <w:szCs w:val="24"/>
        </w:rPr>
        <w:t xml:space="preserve">Ojo &amp; Olajide, 2019; FAO, 2020; Osho &amp; Fagbamila, 2022; Okene et al, 2024). Essentially, exchange rate instability indirectly </w:t>
      </w:r>
      <w:r w:rsidRPr="00EA38DE">
        <w:rPr>
          <w:rFonts w:ascii="Times New Roman" w:hAnsi="Times New Roman" w:cs="Times New Roman"/>
          <w:sz w:val="24"/>
          <w:szCs w:val="24"/>
        </w:rPr>
        <w:t>reduces cargo volumes and forces adaptive cost reductions in the maritime industry through local sourcing or other efficiency measures. The counterintuitive cost-relief mechanism of exchange rate volatility tends to suggest that exchange rate volatility hinders export performance in emerging industries by amplifying risk aversion among traders (</w:t>
      </w:r>
      <w:r w:rsidRPr="00EA38DE">
        <w:rPr>
          <w:rFonts w:ascii="Times New Roman" w:eastAsia="Times New Roman" w:hAnsi="Times New Roman" w:cs="Times New Roman"/>
          <w:sz w:val="24"/>
          <w:szCs w:val="24"/>
        </w:rPr>
        <w:t>Osho &amp; Fagbamila, 2022; Akinwale &amp; Adepoju, 2024)</w:t>
      </w:r>
      <w:r w:rsidRPr="00EA38DE">
        <w:rPr>
          <w:rFonts w:ascii="Times New Roman" w:hAnsi="Times New Roman" w:cs="Times New Roman"/>
          <w:sz w:val="24"/>
          <w:szCs w:val="24"/>
        </w:rPr>
        <w:t xml:space="preserve">. This implies the capacity of exchange rate volatility to lower shipping activities and reduce overall costs over time. </w:t>
      </w:r>
    </w:p>
    <w:p w14:paraId="4E858A8C" w14:textId="77777777" w:rsidR="00F34815" w:rsidRPr="00EA38DE" w:rsidRDefault="00F34815" w:rsidP="00F34815">
      <w:pPr>
        <w:tabs>
          <w:tab w:val="num" w:pos="720"/>
        </w:tabs>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terms of the blue economy factors, the study has demonstrated that fisheries have consistently negative but insignificant long-run effects on the fishing industry factors. This shows that growth in fisheries production does not robustly translate into shipping gains over time as also shown by </w:t>
      </w:r>
      <w:r w:rsidRPr="00EA38DE">
        <w:rPr>
          <w:rFonts w:ascii="Times New Roman" w:eastAsia="Times New Roman" w:hAnsi="Times New Roman" w:cs="Times New Roman"/>
          <w:sz w:val="24"/>
          <w:szCs w:val="24"/>
        </w:rPr>
        <w:t>Adewumi et al. (2023)</w:t>
      </w:r>
      <w:r w:rsidRPr="00EA38DE">
        <w:rPr>
          <w:rFonts w:ascii="Times New Roman" w:hAnsi="Times New Roman" w:cs="Times New Roman"/>
          <w:sz w:val="24"/>
          <w:szCs w:val="24"/>
        </w:rPr>
        <w:t>. Most studies however found that fisheries production is good for growing the financial performance of the shipping industry (</w:t>
      </w:r>
      <w:r w:rsidRPr="00EA38DE">
        <w:rPr>
          <w:rFonts w:ascii="Times New Roman" w:eastAsia="Times New Roman" w:hAnsi="Times New Roman" w:cs="Times New Roman"/>
          <w:sz w:val="24"/>
          <w:szCs w:val="24"/>
        </w:rPr>
        <w:t xml:space="preserve">Adeoye &amp; Afolabi, 2021; Ekanem &amp; Bako, 2021; Ibe &amp; Nwaogu, 2023). Our study therefore shows that </w:t>
      </w:r>
      <w:r w:rsidRPr="00EA38DE">
        <w:rPr>
          <w:rFonts w:ascii="Times New Roman" w:hAnsi="Times New Roman" w:cs="Times New Roman"/>
          <w:sz w:val="24"/>
          <w:szCs w:val="24"/>
        </w:rPr>
        <w:t xml:space="preserve">increases in fisheries production do not affect long run financial performance of the shipping industry in Nigeria. The insignificant negative effects are a basis for concern with regards to the blue economy in Nigeria. It suggests that growth of the fisheries sub-sector has the capacity to crowd out other cargo activities which </w:t>
      </w:r>
      <w:r w:rsidRPr="00EA38DE">
        <w:rPr>
          <w:rFonts w:ascii="Times New Roman" w:hAnsi="Times New Roman" w:cs="Times New Roman"/>
          <w:sz w:val="24"/>
          <w:szCs w:val="24"/>
        </w:rPr>
        <w:lastRenderedPageBreak/>
        <w:t xml:space="preserve">are likely to reduce overall throughput. Thus, it reveals that fisheries need to be integrated into port operations in a more efficient manner that will avoid unnecessary resource competition. </w:t>
      </w:r>
    </w:p>
    <w:p w14:paraId="7420EB02" w14:textId="77777777" w:rsidR="00F34815" w:rsidRPr="00EA38DE" w:rsidRDefault="00F34815" w:rsidP="00F34815">
      <w:pPr>
        <w:tabs>
          <w:tab w:val="num" w:pos="720"/>
        </w:tabs>
        <w:spacing w:after="200"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result also shows that labour force and trade freedom are stronger drivers of container throughput in Nigeria. Moreover, the findings tend to reflect economies of scale in the blue economy in Nigeria. There is evidence that the fisheries production component of the blue economy does not significantly affect the long run performance of the shipping industry in Nigeria. The coefficients of labour and freedom for international trade are also significant and show that these factors are relevant for driving the growth of the shipping sector in Nigeria over time. </w:t>
      </w:r>
    </w:p>
    <w:p w14:paraId="2DE496E0" w14:textId="77777777" w:rsidR="00F34815" w:rsidRPr="00EA38DE" w:rsidRDefault="00F34815" w:rsidP="00F3481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From the results in the study, aquaculture emerges as a standout blue economy driver of shipping industry financial performance in Nigeria over time. This result aligns with studies that have positioned aquaculture as a leading emerging sub-sector that can act as a panacea for shipping industry expansion and diversification in Nigeria (</w:t>
      </w:r>
      <w:r w:rsidRPr="00EA38DE">
        <w:rPr>
          <w:rFonts w:ascii="Times New Roman" w:eastAsia="Times New Roman" w:hAnsi="Times New Roman" w:cs="Times New Roman"/>
          <w:sz w:val="24"/>
          <w:szCs w:val="24"/>
        </w:rPr>
        <w:t>Onuoha &amp; Okonkwo, 2018; Chukwu &amp; Ibrahim, 2019; Eze &amp; Ugochukwu, 2021; Okoye &amp; Ojo, 2023). In particular,</w:t>
      </w:r>
      <w:r w:rsidRPr="00EA38DE">
        <w:rPr>
          <w:rFonts w:ascii="Times New Roman" w:hAnsi="Times New Roman" w:cs="Times New Roman"/>
          <w:sz w:val="24"/>
          <w:szCs w:val="24"/>
        </w:rPr>
        <w:t xml:space="preserve"> </w:t>
      </w:r>
      <w:r w:rsidRPr="00EA38DE">
        <w:rPr>
          <w:rFonts w:ascii="Times New Roman" w:eastAsia="Times New Roman" w:hAnsi="Times New Roman" w:cs="Times New Roman"/>
          <w:sz w:val="24"/>
          <w:szCs w:val="24"/>
        </w:rPr>
        <w:t xml:space="preserve">Eze and Ugochukwu (2021) offered interesting perspectives on how aquaculture exports tend to boost port revenue and demand for port import and export logistics in Nigeria. The result of our study implies that </w:t>
      </w:r>
      <w:r w:rsidRPr="00EA38DE">
        <w:rPr>
          <w:rFonts w:ascii="Times New Roman" w:hAnsi="Times New Roman" w:cs="Times New Roman"/>
          <w:sz w:val="24"/>
          <w:szCs w:val="24"/>
        </w:rPr>
        <w:t>aquaculture tends to foster cost efficiencies in the shipping industry over time. This also tends to demonstrate the capacity of aquaculture in reducing reliance on costly foreign inputs in the blue economy in Nigeria. Thus, aquaculture appears to be a strong cost mitigator in the shipping industry in Nigeria that can offer a key blue economy leverage point for the industry in the long run. The study also revealed strong financial health for maritime infrastructure reinvestment that the blue economy indicator provides (</w:t>
      </w:r>
      <w:r w:rsidRPr="00EA38DE">
        <w:rPr>
          <w:rFonts w:ascii="Times New Roman" w:eastAsia="Times New Roman" w:hAnsi="Times New Roman" w:cs="Times New Roman"/>
          <w:sz w:val="24"/>
          <w:szCs w:val="24"/>
        </w:rPr>
        <w:t>Okoye &amp; Ojo, 2023)</w:t>
      </w:r>
      <w:r w:rsidRPr="00EA38DE">
        <w:rPr>
          <w:rFonts w:ascii="Times New Roman" w:hAnsi="Times New Roman" w:cs="Times New Roman"/>
          <w:sz w:val="24"/>
          <w:szCs w:val="24"/>
        </w:rPr>
        <w:t xml:space="preserve">. Thus, aquaculture is shown as a major revenue driver for the shipping industry in Nigeria in the long run. It also reflects the blue economy’s potential to fund port development over time in Nigeria through boost in aquaculture. </w:t>
      </w:r>
    </w:p>
    <w:p w14:paraId="357CDFA0" w14:textId="77777777" w:rsidR="00F34815" w:rsidRPr="00EA38DE" w:rsidRDefault="00F34815" w:rsidP="00F34815">
      <w:pPr>
        <w:spacing w:line="480" w:lineRule="auto"/>
        <w:jc w:val="both"/>
        <w:rPr>
          <w:rFonts w:ascii="Times New Roman" w:eastAsia="Times New Roman" w:hAnsi="Times New Roman" w:cs="Times New Roman"/>
          <w:sz w:val="24"/>
          <w:szCs w:val="24"/>
        </w:rPr>
      </w:pPr>
      <w:r w:rsidRPr="00EA38DE">
        <w:rPr>
          <w:rFonts w:ascii="Times New Roman" w:hAnsi="Times New Roman" w:cs="Times New Roman"/>
          <w:sz w:val="24"/>
          <w:szCs w:val="24"/>
        </w:rPr>
        <w:lastRenderedPageBreak/>
        <w:t xml:space="preserve">Finally, the study revealed desalination’s pronounced negative elasticity with respect to the shipping industry factors as well as the insignificant effects in the long run. This result does not appear to be in line with previous studies. For instance, the </w:t>
      </w:r>
      <w:r w:rsidRPr="00EA38DE">
        <w:rPr>
          <w:rFonts w:ascii="Times New Roman" w:eastAsia="Times New Roman" w:hAnsi="Times New Roman" w:cs="Times New Roman"/>
          <w:sz w:val="24"/>
          <w:szCs w:val="24"/>
        </w:rPr>
        <w:t xml:space="preserve">Federal Ministry of Marine and Blue Economy (2023) found that onboard desalination systems cut freshwater supply costs, improving offshore shipping efficiency, while Eze and Onyekachi (2023) found that a 1(one) percent increase in desalination growth leads to 0.5 percent increase in maritime throughput which shows that desalination drives measurable shipping demand. The result from our study however shows that these positive effects are likely more of a short-term affair since the estimations reveal strong significant and positive effects of desalination on the shipping industry factors in the short run. For the long run estimates, the findings imply that </w:t>
      </w:r>
      <w:r w:rsidRPr="00EA38DE">
        <w:rPr>
          <w:rFonts w:ascii="Times New Roman" w:hAnsi="Times New Roman" w:cs="Times New Roman"/>
          <w:sz w:val="24"/>
          <w:szCs w:val="24"/>
        </w:rPr>
        <w:t xml:space="preserve">desalination acts as a significant drag on long terms container throughput performance in Nigeria. This reveals severe challenges in integrating desalination into the shipping industry in Nigeria. This negative coefficient is rather surprising and shows that desalination weakens long run development of port infrastructure in Nigeria. The result therefore suggests that desalination in the country tends to compete with traditional cargo handling for port resources or lead to diversion of investment from throughput-enhancing infrastructure in the country over time. Given that desalination is an emerging component of the blue economy, the result from the study indicates that there may be ongoing potential misallocation or infrastructural bottlenecks in the system that are driving down the operational and overall value of desalination in broadening port infrastructure in the long run. </w:t>
      </w:r>
    </w:p>
    <w:p w14:paraId="129BC536" w14:textId="77777777" w:rsidR="00F34815" w:rsidRPr="00EA38DE" w:rsidRDefault="00F34815" w:rsidP="00F34815">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study also revealed that desalination has very limited integration into shipping logistics and revenue drive in the long run in Nigeria. The insignificant long run cost impact of desalination in Nigeria’s shipping industry demonstrates that desalination neither burdens nor benefits shipping costs. The insignificant effect of desalination on port revenue may also suggest that the focus of </w:t>
      </w:r>
      <w:r w:rsidRPr="00EA38DE">
        <w:rPr>
          <w:rFonts w:ascii="Times New Roman" w:hAnsi="Times New Roman" w:cs="Times New Roman"/>
          <w:sz w:val="24"/>
          <w:szCs w:val="24"/>
        </w:rPr>
        <w:lastRenderedPageBreak/>
        <w:t>desalination in the long run is majorly on non-revenue-generating activities like domestic water supply. Essentially, it shows that desalination has only a weak contribution to long-term financial sustainability in the shipping industry in Nigeria. These outcomes further reveal further limitation of the role of the blue economy in enhancing the shipping industry in Nigeria (when all the results are considered jointly).</w:t>
      </w:r>
    </w:p>
    <w:p w14:paraId="1BA349B2" w14:textId="77777777" w:rsidR="00F34815" w:rsidRPr="00EA38DE" w:rsidRDefault="00F34815" w:rsidP="00445B8C">
      <w:pPr>
        <w:spacing w:after="0" w:line="480" w:lineRule="auto"/>
        <w:rPr>
          <w:rFonts w:ascii="Times New Roman" w:hAnsi="Times New Roman" w:cs="Times New Roman"/>
          <w:b/>
          <w:bCs/>
          <w:sz w:val="24"/>
          <w:szCs w:val="24"/>
        </w:rPr>
      </w:pPr>
    </w:p>
    <w:p w14:paraId="23199927" w14:textId="77777777" w:rsidR="00C32368" w:rsidRPr="00EA38DE" w:rsidRDefault="00C32368">
      <w:pPr>
        <w:rPr>
          <w:rFonts w:ascii="Times New Roman" w:hAnsi="Times New Roman" w:cs="Times New Roman"/>
          <w:b/>
          <w:bCs/>
          <w:sz w:val="24"/>
          <w:szCs w:val="24"/>
        </w:rPr>
      </w:pPr>
      <w:r w:rsidRPr="00EA38DE">
        <w:rPr>
          <w:rFonts w:ascii="Times New Roman" w:hAnsi="Times New Roman" w:cs="Times New Roman"/>
          <w:b/>
          <w:bCs/>
          <w:sz w:val="24"/>
          <w:szCs w:val="24"/>
        </w:rPr>
        <w:br w:type="page"/>
      </w:r>
    </w:p>
    <w:p w14:paraId="4138608B" w14:textId="5045DC19" w:rsidR="003C6B00" w:rsidRPr="00EA38DE" w:rsidRDefault="003C6B00" w:rsidP="002F061B">
      <w:pPr>
        <w:spacing w:line="480" w:lineRule="auto"/>
        <w:jc w:val="center"/>
        <w:rPr>
          <w:rFonts w:ascii="Times New Roman" w:hAnsi="Times New Roman" w:cs="Times New Roman"/>
          <w:b/>
          <w:bCs/>
          <w:sz w:val="24"/>
          <w:szCs w:val="24"/>
        </w:rPr>
      </w:pPr>
      <w:r w:rsidRPr="00EA38DE">
        <w:rPr>
          <w:rFonts w:ascii="Times New Roman" w:hAnsi="Times New Roman" w:cs="Times New Roman"/>
          <w:b/>
          <w:bCs/>
          <w:sz w:val="24"/>
          <w:szCs w:val="24"/>
        </w:rPr>
        <w:lastRenderedPageBreak/>
        <w:t>CHAPTER FIVE</w:t>
      </w:r>
    </w:p>
    <w:p w14:paraId="2ADC9AC6" w14:textId="0C9BE59B" w:rsidR="003C6B00" w:rsidRPr="00EA38DE" w:rsidRDefault="002F061B" w:rsidP="002F061B">
      <w:pPr>
        <w:spacing w:line="480" w:lineRule="auto"/>
        <w:jc w:val="center"/>
        <w:rPr>
          <w:rFonts w:ascii="Times New Roman" w:hAnsi="Times New Roman" w:cs="Times New Roman"/>
          <w:b/>
          <w:bCs/>
          <w:sz w:val="24"/>
          <w:szCs w:val="24"/>
        </w:rPr>
      </w:pPr>
      <w:r w:rsidRPr="00EA38DE">
        <w:rPr>
          <w:rFonts w:ascii="Times New Roman" w:hAnsi="Times New Roman" w:cs="Times New Roman"/>
          <w:b/>
          <w:bCs/>
          <w:sz w:val="24"/>
          <w:szCs w:val="24"/>
        </w:rPr>
        <w:t xml:space="preserve">SUMMARY OF FINDING, </w:t>
      </w:r>
      <w:r w:rsidR="003C6B00" w:rsidRPr="00EA38DE">
        <w:rPr>
          <w:rFonts w:ascii="Times New Roman" w:hAnsi="Times New Roman" w:cs="Times New Roman"/>
          <w:b/>
          <w:bCs/>
          <w:sz w:val="24"/>
          <w:szCs w:val="24"/>
        </w:rPr>
        <w:t>CONCLUSION AND RECOMMENDATIONS</w:t>
      </w:r>
    </w:p>
    <w:p w14:paraId="6C2A7572" w14:textId="1B1C83D4" w:rsidR="003C6B00" w:rsidRPr="00EA38DE" w:rsidRDefault="002F061B" w:rsidP="002F061B">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5.1</w:t>
      </w:r>
      <w:r w:rsidRPr="00EA38DE">
        <w:rPr>
          <w:rFonts w:ascii="Times New Roman" w:hAnsi="Times New Roman" w:cs="Times New Roman"/>
          <w:b/>
          <w:bCs/>
          <w:sz w:val="24"/>
          <w:szCs w:val="24"/>
        </w:rPr>
        <w:tab/>
      </w:r>
      <w:r w:rsidR="003C6B00" w:rsidRPr="00EA38DE">
        <w:rPr>
          <w:rFonts w:ascii="Times New Roman" w:hAnsi="Times New Roman" w:cs="Times New Roman"/>
          <w:b/>
          <w:bCs/>
          <w:sz w:val="24"/>
          <w:szCs w:val="24"/>
        </w:rPr>
        <w:t>Summary</w:t>
      </w:r>
      <w:r w:rsidRPr="00EA38DE">
        <w:rPr>
          <w:rFonts w:ascii="Times New Roman" w:hAnsi="Times New Roman" w:cs="Times New Roman"/>
          <w:b/>
          <w:bCs/>
          <w:sz w:val="24"/>
          <w:szCs w:val="24"/>
        </w:rPr>
        <w:t xml:space="preserve"> of Finding </w:t>
      </w:r>
    </w:p>
    <w:p w14:paraId="33E87640" w14:textId="63849718"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In this study, the relationship between exchange rate volatility, the blue economy and the financial performance of the shipping industry in Nigeria was examined. It is argued that the performance and outcomes of the shipping industry are likely to be determined by both external-based factors that drive exchange rate instability and domestic factors that relate to the blue economy. Given that the blue economy is an emerging sector in the Nigerian economy, its role in driving the path of the shipping industry in Nigeria is shown to be critical. The blue economy is represented by three components of fishing production, aquaculture and desalination, while shipping industry financial performance is measured in terms of container through put, shipping costs</w:t>
      </w:r>
      <w:r w:rsidR="004F33D0" w:rsidRPr="00EA38DE">
        <w:rPr>
          <w:rFonts w:ascii="Times New Roman" w:hAnsi="Times New Roman" w:cs="Times New Roman"/>
          <w:sz w:val="24"/>
          <w:szCs w:val="24"/>
        </w:rPr>
        <w:t>,</w:t>
      </w:r>
      <w:r w:rsidRPr="00EA38DE">
        <w:rPr>
          <w:rFonts w:ascii="Times New Roman" w:hAnsi="Times New Roman" w:cs="Times New Roman"/>
          <w:sz w:val="24"/>
          <w:szCs w:val="24"/>
        </w:rPr>
        <w:t xml:space="preserve"> and port revenue. Thus, this study evaluated how exchange rate instability and components of the blue economy influence port infrastructure, cost and logistics as well as overall revenue performance. A dynamic framework was devised for the study where the autoregressive distributed lags (ARDL) approach was adopted for the empirical analysis. This implies that both the short run and long run relationships were estimated in the empirical analysis of the study. Data used for the study were annual data covering the period of 1990 to 2024 (34 years). The general outcome of the result reveals that exchange rate and the blue economy matter for sustainable shipping industry financial performance in Nigeria. The specific findings of the study are indicated by main specific objectives of the study, and further granulated into sub-objectives based on the variables used to capture the specific objectives. </w:t>
      </w:r>
    </w:p>
    <w:p w14:paraId="780D3503" w14:textId="23201918" w:rsidR="003C6B00" w:rsidRPr="00EA38DE" w:rsidRDefault="003C6B00" w:rsidP="002F061B">
      <w:pPr>
        <w:pStyle w:val="ListParagraph"/>
        <w:numPr>
          <w:ilvl w:val="0"/>
          <w:numId w:val="42"/>
        </w:numPr>
        <w:autoSpaceDE w:val="0"/>
        <w:autoSpaceDN w:val="0"/>
        <w:adjustRightInd w:val="0"/>
        <w:spacing w:line="480" w:lineRule="auto"/>
        <w:jc w:val="both"/>
        <w:rPr>
          <w:rFonts w:ascii="Times New Roman" w:hAnsi="Times New Roman" w:cs="Times New Roman"/>
          <w:i/>
          <w:iCs/>
          <w:sz w:val="24"/>
          <w:szCs w:val="24"/>
        </w:rPr>
      </w:pPr>
      <w:r w:rsidRPr="00EA38DE">
        <w:rPr>
          <w:rFonts w:ascii="Times New Roman" w:hAnsi="Times New Roman" w:cs="Times New Roman"/>
          <w:i/>
          <w:iCs/>
          <w:sz w:val="24"/>
          <w:szCs w:val="24"/>
        </w:rPr>
        <w:lastRenderedPageBreak/>
        <w:t>The study found that exchange rate volatility has significant effect on the financial performance of the shipping industry in Nigeria. In particular, it was shown that:</w:t>
      </w:r>
    </w:p>
    <w:p w14:paraId="2DB7A409" w14:textId="023B9B88" w:rsidR="003C6B00" w:rsidRPr="00EA38DE" w:rsidRDefault="002F061B" w:rsidP="002F061B">
      <w:pPr>
        <w:numPr>
          <w:ilvl w:val="0"/>
          <w:numId w:val="33"/>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 xml:space="preserve">Exchange </w:t>
      </w:r>
      <w:r w:rsidR="003C6B00" w:rsidRPr="00EA38DE">
        <w:rPr>
          <w:rFonts w:ascii="Times New Roman" w:hAnsi="Times New Roman" w:cs="Times New Roman"/>
          <w:sz w:val="24"/>
          <w:szCs w:val="24"/>
        </w:rPr>
        <w:t>rate volatility has a significant negative effect on container throughput which suggests that volatility of the exchange rate limits the throughput in Nigerian ports.</w:t>
      </w:r>
    </w:p>
    <w:p w14:paraId="791CAF21" w14:textId="77777777" w:rsidR="003C6B00" w:rsidRPr="00EA38DE" w:rsidRDefault="003C6B00" w:rsidP="002F061B">
      <w:pPr>
        <w:numPr>
          <w:ilvl w:val="0"/>
          <w:numId w:val="33"/>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Exchange rate volatility has a significant negative effect on shipping cost in Nigeria over time. This indicates that exchange rate depreciation can force shipping cost to fall over time.</w:t>
      </w:r>
    </w:p>
    <w:p w14:paraId="5C77783A" w14:textId="77777777" w:rsidR="003C6B00" w:rsidRPr="00EA38DE" w:rsidRDefault="003C6B00" w:rsidP="002F061B">
      <w:pPr>
        <w:numPr>
          <w:ilvl w:val="0"/>
          <w:numId w:val="33"/>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 xml:space="preserve">Exchange rate volatility has no significant effect on port revenue in Nigeria.  </w:t>
      </w:r>
    </w:p>
    <w:p w14:paraId="6E4C30FE" w14:textId="46D65D4A" w:rsidR="003C6B00" w:rsidRPr="00EA38DE" w:rsidRDefault="003C6B00" w:rsidP="002F061B">
      <w:pPr>
        <w:pStyle w:val="ListParagraph"/>
        <w:numPr>
          <w:ilvl w:val="0"/>
          <w:numId w:val="42"/>
        </w:numPr>
        <w:autoSpaceDE w:val="0"/>
        <w:autoSpaceDN w:val="0"/>
        <w:adjustRightInd w:val="0"/>
        <w:spacing w:line="480" w:lineRule="auto"/>
        <w:jc w:val="both"/>
        <w:rPr>
          <w:rFonts w:ascii="Times New Roman" w:hAnsi="Times New Roman" w:cs="Times New Roman"/>
          <w:i/>
          <w:iCs/>
          <w:sz w:val="24"/>
          <w:szCs w:val="24"/>
        </w:rPr>
      </w:pPr>
      <w:r w:rsidRPr="00EA38DE">
        <w:rPr>
          <w:rFonts w:ascii="Times New Roman" w:hAnsi="Times New Roman" w:cs="Times New Roman"/>
          <w:i/>
          <w:iCs/>
          <w:sz w:val="24"/>
          <w:szCs w:val="24"/>
        </w:rPr>
        <w:t xml:space="preserve">The study also found that fisheries production has only a limited effect on the financial performance of shipping industry in Nigeria. In particular, it was found that </w:t>
      </w:r>
    </w:p>
    <w:p w14:paraId="7C007E00" w14:textId="77777777" w:rsidR="003C6B00" w:rsidRPr="00EA38DE" w:rsidRDefault="003C6B00" w:rsidP="002F061B">
      <w:pPr>
        <w:numPr>
          <w:ilvl w:val="0"/>
          <w:numId w:val="34"/>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 xml:space="preserve">Fisheries output has no significant long run effect on container throughput in the long run. The effect was only observed to be valid in the short run, while the long run effects are insignificant and negative. </w:t>
      </w:r>
    </w:p>
    <w:p w14:paraId="39EEBE69" w14:textId="77777777" w:rsidR="003C6B00" w:rsidRPr="00EA38DE" w:rsidRDefault="003C6B00" w:rsidP="002F061B">
      <w:pPr>
        <w:numPr>
          <w:ilvl w:val="0"/>
          <w:numId w:val="34"/>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Fisheries output has no significant effect on shipping cost both in the long run and in the short run.</w:t>
      </w:r>
    </w:p>
    <w:p w14:paraId="170B9817" w14:textId="77777777" w:rsidR="003C6B00" w:rsidRPr="00EA38DE" w:rsidRDefault="003C6B00" w:rsidP="002F061B">
      <w:pPr>
        <w:numPr>
          <w:ilvl w:val="0"/>
          <w:numId w:val="34"/>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 xml:space="preserve">Fisheries output has no significant effect on port revenue both in the short run and in the long run. </w:t>
      </w:r>
    </w:p>
    <w:p w14:paraId="43CA67C7" w14:textId="77777777" w:rsidR="002F061B" w:rsidRPr="00EA38DE" w:rsidRDefault="002F061B" w:rsidP="002F061B">
      <w:pPr>
        <w:autoSpaceDE w:val="0"/>
        <w:autoSpaceDN w:val="0"/>
        <w:adjustRightInd w:val="0"/>
        <w:spacing w:line="480" w:lineRule="auto"/>
        <w:ind w:left="1800"/>
        <w:jc w:val="both"/>
        <w:rPr>
          <w:rFonts w:ascii="Times New Roman" w:hAnsi="Times New Roman" w:cs="Times New Roman"/>
          <w:sz w:val="24"/>
          <w:szCs w:val="24"/>
        </w:rPr>
      </w:pPr>
    </w:p>
    <w:p w14:paraId="32D66AF2" w14:textId="305924D8" w:rsidR="003C6B00" w:rsidRPr="00EA38DE" w:rsidRDefault="003C6B00" w:rsidP="002F061B">
      <w:pPr>
        <w:numPr>
          <w:ilvl w:val="0"/>
          <w:numId w:val="42"/>
        </w:numPr>
        <w:autoSpaceDE w:val="0"/>
        <w:autoSpaceDN w:val="0"/>
        <w:adjustRightInd w:val="0"/>
        <w:spacing w:line="360" w:lineRule="auto"/>
        <w:ind w:left="1020"/>
        <w:jc w:val="both"/>
        <w:rPr>
          <w:rFonts w:ascii="Times New Roman" w:hAnsi="Times New Roman" w:cs="Times New Roman"/>
          <w:i/>
          <w:iCs/>
          <w:sz w:val="24"/>
          <w:szCs w:val="24"/>
        </w:rPr>
      </w:pPr>
      <w:r w:rsidRPr="00EA38DE">
        <w:rPr>
          <w:rFonts w:ascii="Times New Roman" w:hAnsi="Times New Roman" w:cs="Times New Roman"/>
          <w:i/>
          <w:iCs/>
          <w:sz w:val="24"/>
          <w:szCs w:val="24"/>
        </w:rPr>
        <w:lastRenderedPageBreak/>
        <w:t xml:space="preserve">It was also found that aquaculture production has a mainly significant and positive effect on the financial performance of shipping industry in Nigeria. Particularly, it was found that </w:t>
      </w:r>
    </w:p>
    <w:p w14:paraId="66D18F6B" w14:textId="77777777" w:rsidR="003C6B00" w:rsidRPr="00EA38DE" w:rsidRDefault="003C6B00" w:rsidP="002F061B">
      <w:pPr>
        <w:numPr>
          <w:ilvl w:val="0"/>
          <w:numId w:val="35"/>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Aquaculture production has no significant effect on container throughput in Nigeria in the long run.</w:t>
      </w:r>
    </w:p>
    <w:p w14:paraId="1077DCFB" w14:textId="77777777" w:rsidR="003C6B00" w:rsidRPr="00EA38DE" w:rsidRDefault="003C6B00" w:rsidP="002F061B">
      <w:pPr>
        <w:numPr>
          <w:ilvl w:val="0"/>
          <w:numId w:val="35"/>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In the long run, it is found that aquaculture output significantly reduced shipping costs in Nigeria.</w:t>
      </w:r>
    </w:p>
    <w:p w14:paraId="61654C3E" w14:textId="77777777" w:rsidR="003C6B00" w:rsidRPr="00EA38DE" w:rsidRDefault="003C6B00" w:rsidP="002F061B">
      <w:pPr>
        <w:numPr>
          <w:ilvl w:val="0"/>
          <w:numId w:val="35"/>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 xml:space="preserve">Aquaculture production has a significant positive effect on port revenue, suggesting that aquaculture production significantly increased port revenues in Nigeria. </w:t>
      </w:r>
    </w:p>
    <w:p w14:paraId="062AD62C" w14:textId="77777777" w:rsidR="003C6B00" w:rsidRPr="00EA38DE" w:rsidRDefault="003C6B00" w:rsidP="002F061B">
      <w:pPr>
        <w:numPr>
          <w:ilvl w:val="0"/>
          <w:numId w:val="42"/>
        </w:numPr>
        <w:autoSpaceDE w:val="0"/>
        <w:autoSpaceDN w:val="0"/>
        <w:adjustRightInd w:val="0"/>
        <w:spacing w:line="480" w:lineRule="auto"/>
        <w:ind w:left="1020"/>
        <w:jc w:val="both"/>
        <w:rPr>
          <w:rFonts w:ascii="Times New Roman" w:hAnsi="Times New Roman" w:cs="Times New Roman"/>
          <w:i/>
          <w:iCs/>
          <w:sz w:val="24"/>
          <w:szCs w:val="24"/>
        </w:rPr>
      </w:pPr>
      <w:r w:rsidRPr="00EA38DE">
        <w:rPr>
          <w:rFonts w:ascii="Times New Roman" w:hAnsi="Times New Roman" w:cs="Times New Roman"/>
          <w:i/>
          <w:iCs/>
          <w:sz w:val="24"/>
          <w:szCs w:val="24"/>
        </w:rPr>
        <w:t xml:space="preserve">Lastly, the study found that desalination exerts limited effects on the financial performance of shipping industry in Nigeria. In particular, the results showed that </w:t>
      </w:r>
    </w:p>
    <w:p w14:paraId="3466FBD3" w14:textId="77777777" w:rsidR="003C6B00" w:rsidRPr="00EA38DE" w:rsidRDefault="003C6B00" w:rsidP="002F061B">
      <w:pPr>
        <w:numPr>
          <w:ilvl w:val="0"/>
          <w:numId w:val="36"/>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While desalination tends to weaken container throughput in the long run, the short run effects were shown to be positive.</w:t>
      </w:r>
    </w:p>
    <w:p w14:paraId="6DD79D13" w14:textId="77777777" w:rsidR="003C6B00" w:rsidRPr="00EA38DE" w:rsidRDefault="003C6B00" w:rsidP="002F061B">
      <w:pPr>
        <w:numPr>
          <w:ilvl w:val="0"/>
          <w:numId w:val="36"/>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 xml:space="preserve"> Desalination has no significant effect on shipping costs both in the short run and in the long run. </w:t>
      </w:r>
    </w:p>
    <w:p w14:paraId="03B1D06D" w14:textId="77777777" w:rsidR="003C6B00" w:rsidRPr="00EA38DE" w:rsidRDefault="003C6B00" w:rsidP="002F061B">
      <w:pPr>
        <w:numPr>
          <w:ilvl w:val="0"/>
          <w:numId w:val="36"/>
        </w:numPr>
        <w:autoSpaceDE w:val="0"/>
        <w:autoSpaceDN w:val="0"/>
        <w:adjustRightInd w:val="0"/>
        <w:spacing w:line="480" w:lineRule="auto"/>
        <w:ind w:left="1800" w:hanging="450"/>
        <w:jc w:val="both"/>
        <w:rPr>
          <w:rFonts w:ascii="Times New Roman" w:hAnsi="Times New Roman" w:cs="Times New Roman"/>
          <w:sz w:val="24"/>
          <w:szCs w:val="24"/>
        </w:rPr>
      </w:pPr>
      <w:r w:rsidRPr="00EA38DE">
        <w:rPr>
          <w:rFonts w:ascii="Times New Roman" w:hAnsi="Times New Roman" w:cs="Times New Roman"/>
          <w:sz w:val="24"/>
          <w:szCs w:val="24"/>
        </w:rPr>
        <w:t xml:space="preserve">Desalination has a significant positive impact on port revenue in the short run, but has no significant effect in the long run.  </w:t>
      </w:r>
    </w:p>
    <w:p w14:paraId="1349D1BD" w14:textId="77777777" w:rsidR="00F72D9A" w:rsidRPr="00EA38DE" w:rsidRDefault="00F72D9A" w:rsidP="00F72D9A">
      <w:pPr>
        <w:pStyle w:val="NormalWeb"/>
        <w:spacing w:before="0" w:beforeAutospacing="0" w:line="480" w:lineRule="auto"/>
        <w:jc w:val="both"/>
        <w:rPr>
          <w:b/>
          <w:bCs/>
        </w:rPr>
      </w:pPr>
      <w:r w:rsidRPr="00EA38DE">
        <w:rPr>
          <w:b/>
          <w:bCs/>
        </w:rPr>
        <w:t>5.2</w:t>
      </w:r>
      <w:r w:rsidRPr="00EA38DE">
        <w:rPr>
          <w:b/>
          <w:bCs/>
        </w:rPr>
        <w:tab/>
        <w:t>Conclusion</w:t>
      </w:r>
    </w:p>
    <w:p w14:paraId="12000665" w14:textId="77777777" w:rsidR="00F72D9A" w:rsidRPr="00EA38DE" w:rsidRDefault="00F72D9A" w:rsidP="00F72D9A">
      <w:pPr>
        <w:pStyle w:val="NormalWeb"/>
        <w:spacing w:before="0" w:beforeAutospacing="0" w:line="480" w:lineRule="auto"/>
        <w:jc w:val="both"/>
      </w:pPr>
      <w:r w:rsidRPr="00EA38DE">
        <w:t xml:space="preserve">The study establishes that exchange rate volatility exerts significant long-run negative effects on Nigeria’s shipping industry, particularly by reducing container throughput and shipping activity, </w:t>
      </w:r>
      <w:r w:rsidRPr="00EA38DE">
        <w:lastRenderedPageBreak/>
        <w:t>though it also indirectly lowers costs through adaptive efficiency measures. This confirms that currency instability amplifies uncertainty in maritime trade and constrains export performance.</w:t>
      </w:r>
    </w:p>
    <w:p w14:paraId="26021627" w14:textId="77777777" w:rsidR="00F72D9A" w:rsidRPr="00EA38DE" w:rsidRDefault="00F72D9A" w:rsidP="00F72D9A">
      <w:pPr>
        <w:pStyle w:val="NormalWeb"/>
        <w:spacing w:before="0" w:beforeAutospacing="0" w:line="480" w:lineRule="auto"/>
        <w:jc w:val="both"/>
      </w:pPr>
      <w:r w:rsidRPr="00EA38DE">
        <w:t>Regarding the blue economy, fisheries production showed consistently negative but insignificant long-run effects, suggesting weak integration into shipping operations and the potential crowding out of other cargo activities. In contrast, aquaculture emerged as a strong driver of shipping industry performance, reducing costs, boosting port revenues, and offering long-term potential to support port reinvestment and infrastructure development. Desalination, however, displayed mixed results: while it provided short-run benefits to shipping operations, it imposed negative and insignificant effects in the long run, highlighting challenges of integration, possible misallocation of resources, and weak contribution to financial sustainability.</w:t>
      </w:r>
    </w:p>
    <w:p w14:paraId="39189841" w14:textId="77777777" w:rsidR="00F72D9A" w:rsidRPr="00EA38DE" w:rsidRDefault="00F72D9A" w:rsidP="00F72D9A">
      <w:pPr>
        <w:pStyle w:val="NormalWeb"/>
        <w:spacing w:before="0" w:beforeAutospacing="0" w:line="480" w:lineRule="auto"/>
        <w:jc w:val="both"/>
      </w:pPr>
      <w:r w:rsidRPr="00EA38DE">
        <w:t>Overall, the findings underscore that while exchange rate management is essential, aquaculture holds the greatest promise for strengthening the shipping industry through the blue economy. Conversely, fisheries and desalination currently contribute little to long-term maritime financial performance in Nigeria, reflecting the need for deeper integration and more strategic investment.</w:t>
      </w:r>
    </w:p>
    <w:p w14:paraId="20AB44C0" w14:textId="32F7B17A" w:rsidR="003C6B00" w:rsidRPr="00EA38DE" w:rsidRDefault="003C6B00" w:rsidP="002F061B">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5.</w:t>
      </w:r>
      <w:r w:rsidR="00F72D9A" w:rsidRPr="00EA38DE">
        <w:rPr>
          <w:rFonts w:ascii="Times New Roman" w:hAnsi="Times New Roman" w:cs="Times New Roman"/>
          <w:b/>
          <w:bCs/>
          <w:sz w:val="24"/>
          <w:szCs w:val="24"/>
        </w:rPr>
        <w:t>3</w:t>
      </w:r>
      <w:r w:rsidR="002F061B" w:rsidRPr="00EA38DE">
        <w:rPr>
          <w:rFonts w:ascii="Times New Roman" w:hAnsi="Times New Roman" w:cs="Times New Roman"/>
          <w:b/>
          <w:bCs/>
          <w:sz w:val="24"/>
          <w:szCs w:val="24"/>
        </w:rPr>
        <w:tab/>
      </w:r>
      <w:r w:rsidRPr="00EA38DE">
        <w:rPr>
          <w:rFonts w:ascii="Times New Roman" w:hAnsi="Times New Roman" w:cs="Times New Roman"/>
          <w:b/>
          <w:bCs/>
          <w:sz w:val="24"/>
          <w:szCs w:val="24"/>
        </w:rPr>
        <w:t>Recommendations</w:t>
      </w:r>
    </w:p>
    <w:p w14:paraId="6579382A" w14:textId="77777777"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results from the empirical analysis have provided grounds for highlighting recommendations that are aimed at mitigating the adverse effects of exchange rate volatility while leveraging the blue economy in driving cost-effectiveness, improving revenues and ensuring overall enhancement of the financial performance of the shipping industry in Nigeria. </w:t>
      </w:r>
    </w:p>
    <w:p w14:paraId="766C88DC" w14:textId="4DB2DA8F"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First</w:t>
      </w:r>
      <w:r w:rsidR="00EE11A8" w:rsidRPr="00EA38DE">
        <w:rPr>
          <w:rFonts w:ascii="Times New Roman" w:hAnsi="Times New Roman" w:cs="Times New Roman"/>
          <w:sz w:val="24"/>
          <w:szCs w:val="24"/>
        </w:rPr>
        <w:t>ly</w:t>
      </w:r>
      <w:r w:rsidRPr="00EA38DE">
        <w:rPr>
          <w:rFonts w:ascii="Times New Roman" w:hAnsi="Times New Roman" w:cs="Times New Roman"/>
          <w:sz w:val="24"/>
          <w:szCs w:val="24"/>
        </w:rPr>
        <w:t>, the study finds that exchange rate volatility exerts notable drags on the shipping industry in Nigeria. Based on this the following recommendations are made:</w:t>
      </w:r>
    </w:p>
    <w:p w14:paraId="3CCB4573" w14:textId="77777777" w:rsidR="003C6B00" w:rsidRPr="00EA38DE" w:rsidRDefault="003C6B00" w:rsidP="002F061B">
      <w:pPr>
        <w:pStyle w:val="ListParagraph"/>
        <w:numPr>
          <w:ilvl w:val="0"/>
          <w:numId w:val="37"/>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The negative effect of exchange rate volatility on container throughput is concerning for Nigeria’s shipping industry because it signals reduced trade capacity and blue economy potential. In order to address the effects of exchange rate volatility, policies need to focus on stabilising the naira over time. This will ensure enhanced trade predictability which directly mitigates decline in throughput. Smoothening exchange rate volatility therefore needs to be a major target of the Central Bank of Nigeria (CBN). </w:t>
      </w:r>
    </w:p>
    <w:p w14:paraId="5D342B69" w14:textId="2BB7C774" w:rsidR="003C6B00" w:rsidRPr="00EA38DE" w:rsidRDefault="003C6B00" w:rsidP="002F061B">
      <w:pPr>
        <w:pStyle w:val="ListParagraph"/>
        <w:numPr>
          <w:ilvl w:val="0"/>
          <w:numId w:val="37"/>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Given the negative effects of exchange rate volatility on shipping costs, the monetary authorities also need to promote </w:t>
      </w:r>
      <w:r w:rsidR="00EE11A8" w:rsidRPr="00EA38DE">
        <w:rPr>
          <w:rFonts w:ascii="Times New Roman" w:hAnsi="Times New Roman" w:cs="Times New Roman"/>
          <w:sz w:val="24"/>
          <w:szCs w:val="24"/>
        </w:rPr>
        <w:t xml:space="preserve">risk </w:t>
      </w:r>
      <w:r w:rsidRPr="00EA38DE">
        <w:rPr>
          <w:rFonts w:ascii="Times New Roman" w:hAnsi="Times New Roman" w:cs="Times New Roman"/>
          <w:sz w:val="24"/>
          <w:szCs w:val="24"/>
        </w:rPr>
        <w:t xml:space="preserve">hedging instruments for shipping firms in Nigeria in order to help manage the effects of exchange rate </w:t>
      </w:r>
      <w:r w:rsidR="00EE11A8" w:rsidRPr="00EA38DE">
        <w:rPr>
          <w:rFonts w:ascii="Times New Roman" w:hAnsi="Times New Roman" w:cs="Times New Roman"/>
          <w:sz w:val="24"/>
          <w:szCs w:val="24"/>
        </w:rPr>
        <w:t>volatility</w:t>
      </w:r>
      <w:r w:rsidRPr="00EA38DE">
        <w:rPr>
          <w:rFonts w:ascii="Times New Roman" w:hAnsi="Times New Roman" w:cs="Times New Roman"/>
          <w:sz w:val="24"/>
          <w:szCs w:val="24"/>
        </w:rPr>
        <w:t>. This can be done by encourag</w:t>
      </w:r>
      <w:r w:rsidR="00EE11A8" w:rsidRPr="00EA38DE">
        <w:rPr>
          <w:rFonts w:ascii="Times New Roman" w:hAnsi="Times New Roman" w:cs="Times New Roman"/>
          <w:sz w:val="24"/>
          <w:szCs w:val="24"/>
        </w:rPr>
        <w:t>ing</w:t>
      </w:r>
      <w:r w:rsidRPr="00EA38DE">
        <w:rPr>
          <w:rFonts w:ascii="Times New Roman" w:hAnsi="Times New Roman" w:cs="Times New Roman"/>
          <w:sz w:val="24"/>
          <w:szCs w:val="24"/>
        </w:rPr>
        <w:t xml:space="preserve"> shipping companies to adopt financial instruments that are directly supported or subsidised by the Bank. </w:t>
      </w:r>
    </w:p>
    <w:p w14:paraId="357244CB" w14:textId="696BF26A" w:rsidR="003C6B00" w:rsidRPr="00EA38DE" w:rsidRDefault="003C6B00" w:rsidP="002F061B">
      <w:pPr>
        <w:pStyle w:val="ListParagraph"/>
        <w:numPr>
          <w:ilvl w:val="0"/>
          <w:numId w:val="37"/>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weak but positive effect of exchange rate volatility in port revenue requires that public-private partnerships be developed between the maritime authorities and banks so as to offer low-cost hedging products that are tailored for maritime operators. This can also help to reduce the effects of uncertainty that can depress the shipping industry </w:t>
      </w:r>
      <w:r w:rsidR="00EE11A8" w:rsidRPr="00EA38DE">
        <w:rPr>
          <w:rFonts w:ascii="Times New Roman" w:hAnsi="Times New Roman" w:cs="Times New Roman"/>
          <w:sz w:val="24"/>
          <w:szCs w:val="24"/>
        </w:rPr>
        <w:t xml:space="preserve">financial </w:t>
      </w:r>
      <w:r w:rsidRPr="00EA38DE">
        <w:rPr>
          <w:rFonts w:ascii="Times New Roman" w:hAnsi="Times New Roman" w:cs="Times New Roman"/>
          <w:sz w:val="24"/>
          <w:szCs w:val="24"/>
        </w:rPr>
        <w:t>performance</w:t>
      </w:r>
      <w:r w:rsidR="00EE11A8" w:rsidRPr="00EA38DE">
        <w:rPr>
          <w:rFonts w:ascii="Times New Roman" w:hAnsi="Times New Roman" w:cs="Times New Roman"/>
          <w:sz w:val="24"/>
          <w:szCs w:val="24"/>
        </w:rPr>
        <w:t xml:space="preserve"> in Nigeria</w:t>
      </w:r>
      <w:r w:rsidRPr="00EA38DE">
        <w:rPr>
          <w:rFonts w:ascii="Times New Roman" w:hAnsi="Times New Roman" w:cs="Times New Roman"/>
          <w:sz w:val="24"/>
          <w:szCs w:val="24"/>
        </w:rPr>
        <w:t>.</w:t>
      </w:r>
    </w:p>
    <w:p w14:paraId="7BC5FDED" w14:textId="6819DF51" w:rsidR="003C6B00" w:rsidRPr="00EA38DE" w:rsidRDefault="00EE11A8"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Secondly, t</w:t>
      </w:r>
      <w:r w:rsidR="003C6B00" w:rsidRPr="00EA38DE">
        <w:rPr>
          <w:rFonts w:ascii="Times New Roman" w:hAnsi="Times New Roman" w:cs="Times New Roman"/>
          <w:sz w:val="24"/>
          <w:szCs w:val="24"/>
        </w:rPr>
        <w:t>he study also found that fisheries production only exerts short-term effects on the shipping industry performance. The following recommendations are therefore provided:</w:t>
      </w:r>
    </w:p>
    <w:p w14:paraId="75AB79A9" w14:textId="42A2D201" w:rsidR="003C6B00" w:rsidRPr="00EA38DE" w:rsidRDefault="003C6B00" w:rsidP="002F061B">
      <w:pPr>
        <w:pStyle w:val="ListParagraph"/>
        <w:numPr>
          <w:ilvl w:val="0"/>
          <w:numId w:val="41"/>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Given that fisheries output has a significant and negative short run effect on container throughput, there is need to enhance port and overall maritime infrastructure to enhance the integration of the fisheries sub-sector. Adequate investment in dedicated fisheries terminals need to be made in order</w:t>
      </w:r>
      <w:r w:rsidR="00353FBD" w:rsidRPr="00EA38DE">
        <w:rPr>
          <w:rFonts w:ascii="Times New Roman" w:hAnsi="Times New Roman" w:cs="Times New Roman"/>
          <w:sz w:val="24"/>
          <w:szCs w:val="24"/>
        </w:rPr>
        <w:t xml:space="preserve"> to</w:t>
      </w:r>
      <w:r w:rsidRPr="00EA38DE">
        <w:rPr>
          <w:rFonts w:ascii="Times New Roman" w:hAnsi="Times New Roman" w:cs="Times New Roman"/>
          <w:sz w:val="24"/>
          <w:szCs w:val="24"/>
        </w:rPr>
        <w:t xml:space="preserve"> improve facilities to handle seafood exports without crowding out other cargo throughput. </w:t>
      </w:r>
    </w:p>
    <w:p w14:paraId="4E673F4E" w14:textId="77777777" w:rsidR="003C6B00" w:rsidRPr="00EA38DE" w:rsidRDefault="003C6B00" w:rsidP="002F061B">
      <w:pPr>
        <w:pStyle w:val="ListParagraph"/>
        <w:numPr>
          <w:ilvl w:val="0"/>
          <w:numId w:val="41"/>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Also, no significant relationship was found between shipping cost and fisheries production in Nigeria. Hence, the fisheries logistics in the blue economy also need to be streamlined by developing efficient supply chains for fisheries products as well as reducing transport costs over time. This will further improve the contribution of fisheries to the shipping sector performance. </w:t>
      </w:r>
    </w:p>
    <w:p w14:paraId="69F4775D" w14:textId="704A78AD" w:rsidR="003C6B00" w:rsidRPr="00EA38DE" w:rsidRDefault="003C6B00" w:rsidP="002F061B">
      <w:pPr>
        <w:pStyle w:val="ListParagraph"/>
        <w:numPr>
          <w:ilvl w:val="0"/>
          <w:numId w:val="41"/>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insignificant effect of fisheries output on port revenue suggests the need to increase the output and productivity of the fisheries sector, especially the off-shore fishing sub-sector.</w:t>
      </w:r>
      <w:r w:rsidR="00EE11A8" w:rsidRPr="00EA38DE">
        <w:rPr>
          <w:rFonts w:ascii="Times New Roman" w:hAnsi="Times New Roman" w:cs="Times New Roman"/>
          <w:sz w:val="24"/>
          <w:szCs w:val="24"/>
        </w:rPr>
        <w:t xml:space="preserve"> It is therefore highly recommended that more activity is encouraged by government in this area</w:t>
      </w:r>
      <w:r w:rsidR="00D02F8D" w:rsidRPr="00EA38DE">
        <w:rPr>
          <w:rFonts w:ascii="Times New Roman" w:hAnsi="Times New Roman" w:cs="Times New Roman"/>
          <w:sz w:val="24"/>
          <w:szCs w:val="24"/>
        </w:rPr>
        <w:t>.</w:t>
      </w:r>
    </w:p>
    <w:p w14:paraId="6294176E" w14:textId="782DB2B0" w:rsidR="003C6B00" w:rsidRPr="00EA38DE" w:rsidRDefault="00D02F8D"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Thirdly</w:t>
      </w:r>
      <w:r w:rsidR="003C6B00" w:rsidRPr="00EA38DE">
        <w:rPr>
          <w:rFonts w:ascii="Times New Roman" w:hAnsi="Times New Roman" w:cs="Times New Roman"/>
          <w:sz w:val="24"/>
          <w:szCs w:val="24"/>
        </w:rPr>
        <w:t>, the study found evidence that aquaculture effectively promotes the financial performance of the shipping industry. The major recommendations are as follows:</w:t>
      </w:r>
    </w:p>
    <w:p w14:paraId="6653BF56" w14:textId="3DC7ED00" w:rsidR="003C6B00" w:rsidRPr="00EA38DE" w:rsidRDefault="003C6B00" w:rsidP="002F061B">
      <w:pPr>
        <w:numPr>
          <w:ilvl w:val="0"/>
          <w:numId w:val="40"/>
        </w:numPr>
        <w:autoSpaceDE w:val="0"/>
        <w:autoSpaceDN w:val="0"/>
        <w:adjustRightInd w:val="0"/>
        <w:spacing w:line="480" w:lineRule="auto"/>
        <w:ind w:left="900" w:hanging="468"/>
        <w:jc w:val="both"/>
        <w:rPr>
          <w:rFonts w:ascii="Times New Roman" w:hAnsi="Times New Roman" w:cs="Times New Roman"/>
          <w:sz w:val="24"/>
          <w:szCs w:val="24"/>
        </w:rPr>
      </w:pPr>
      <w:r w:rsidRPr="00EA38DE">
        <w:rPr>
          <w:rFonts w:ascii="Times New Roman" w:hAnsi="Times New Roman" w:cs="Times New Roman"/>
          <w:sz w:val="24"/>
          <w:szCs w:val="24"/>
        </w:rPr>
        <w:t xml:space="preserve">Aquaculture has no significant effect on container throughput in Nigeria in the long run. Hence, there is need </w:t>
      </w:r>
      <w:r w:rsidR="00D02F8D" w:rsidRPr="00EA38DE">
        <w:rPr>
          <w:rFonts w:ascii="Times New Roman" w:hAnsi="Times New Roman" w:cs="Times New Roman"/>
          <w:sz w:val="24"/>
          <w:szCs w:val="24"/>
        </w:rPr>
        <w:t>for</w:t>
      </w:r>
      <w:r w:rsidRPr="00EA38DE">
        <w:rPr>
          <w:rFonts w:ascii="Times New Roman" w:hAnsi="Times New Roman" w:cs="Times New Roman"/>
          <w:sz w:val="24"/>
          <w:szCs w:val="24"/>
        </w:rPr>
        <w:t xml:space="preserve"> sufficient integration</w:t>
      </w:r>
      <w:r w:rsidR="00D02F8D" w:rsidRPr="00EA38DE">
        <w:rPr>
          <w:rFonts w:ascii="Times New Roman" w:hAnsi="Times New Roman" w:cs="Times New Roman"/>
          <w:sz w:val="24"/>
          <w:szCs w:val="24"/>
        </w:rPr>
        <w:t xml:space="preserve"> of the</w:t>
      </w:r>
      <w:r w:rsidRPr="00EA38DE">
        <w:rPr>
          <w:rFonts w:ascii="Times New Roman" w:hAnsi="Times New Roman" w:cs="Times New Roman"/>
          <w:sz w:val="24"/>
          <w:szCs w:val="24"/>
        </w:rPr>
        <w:t xml:space="preserve"> aquaculture segment fully into the maritime trade flows in Nigeria. This can be done by developing dedicated port facilities as well as efficiently amplifying the shipping cost-saving potential of the sub-sector in the blue economy.  </w:t>
      </w:r>
    </w:p>
    <w:p w14:paraId="35E0210E" w14:textId="77777777" w:rsidR="003C6B00" w:rsidRPr="00EA38DE" w:rsidRDefault="003C6B00" w:rsidP="002F061B">
      <w:pPr>
        <w:numPr>
          <w:ilvl w:val="0"/>
          <w:numId w:val="40"/>
        </w:numPr>
        <w:autoSpaceDE w:val="0"/>
        <w:autoSpaceDN w:val="0"/>
        <w:adjustRightInd w:val="0"/>
        <w:spacing w:line="480" w:lineRule="auto"/>
        <w:ind w:left="900" w:hanging="468"/>
        <w:jc w:val="both"/>
        <w:rPr>
          <w:rFonts w:ascii="Times New Roman" w:hAnsi="Times New Roman" w:cs="Times New Roman"/>
          <w:sz w:val="24"/>
          <w:szCs w:val="24"/>
        </w:rPr>
      </w:pPr>
      <w:r w:rsidRPr="00EA38DE">
        <w:rPr>
          <w:rFonts w:ascii="Times New Roman" w:hAnsi="Times New Roman" w:cs="Times New Roman"/>
          <w:sz w:val="24"/>
          <w:szCs w:val="24"/>
        </w:rPr>
        <w:t xml:space="preserve">Given that aquaculture significantly reduces shipping cost in the long run, there is need to integrate aquaculture into shipping services in the country. Increased investment in the shipping sector is therefore required. </w:t>
      </w:r>
    </w:p>
    <w:p w14:paraId="7260F59E" w14:textId="77777777" w:rsidR="003C6B00" w:rsidRPr="00EA38DE" w:rsidRDefault="003C6B00" w:rsidP="002F061B">
      <w:pPr>
        <w:numPr>
          <w:ilvl w:val="0"/>
          <w:numId w:val="40"/>
        </w:numPr>
        <w:autoSpaceDE w:val="0"/>
        <w:autoSpaceDN w:val="0"/>
        <w:adjustRightInd w:val="0"/>
        <w:spacing w:line="480" w:lineRule="auto"/>
        <w:ind w:left="900" w:hanging="468"/>
        <w:jc w:val="both"/>
        <w:rPr>
          <w:rFonts w:ascii="Times New Roman" w:hAnsi="Times New Roman" w:cs="Times New Roman"/>
          <w:sz w:val="24"/>
          <w:szCs w:val="24"/>
        </w:rPr>
      </w:pPr>
      <w:r w:rsidRPr="00EA38DE">
        <w:rPr>
          <w:rFonts w:ascii="Times New Roman" w:hAnsi="Times New Roman" w:cs="Times New Roman"/>
          <w:sz w:val="24"/>
          <w:szCs w:val="24"/>
        </w:rPr>
        <w:t xml:space="preserve">There was also evidence that Aquaculture production has a significant positive effect on port revenue, suggesting that aquaculture production significantly increased port </w:t>
      </w:r>
      <w:r w:rsidRPr="00EA38DE">
        <w:rPr>
          <w:rFonts w:ascii="Times New Roman" w:hAnsi="Times New Roman" w:cs="Times New Roman"/>
          <w:sz w:val="24"/>
          <w:szCs w:val="24"/>
        </w:rPr>
        <w:lastRenderedPageBreak/>
        <w:t xml:space="preserve">revenues in Nigeria. Thus, there is need to expand the aquaculture sector in Nigeria by creating more points of activities across the coastline of the country.  </w:t>
      </w:r>
    </w:p>
    <w:p w14:paraId="0CBB9EF2" w14:textId="77777777"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fourth finding of the study showed that desalination only exerts limited effect on the financial performance of the shipping sector in Nigeria. </w:t>
      </w:r>
    </w:p>
    <w:p w14:paraId="14CD56CD" w14:textId="0FB2B320" w:rsidR="003C6B00" w:rsidRPr="00EA38DE" w:rsidRDefault="003C6B00" w:rsidP="002F061B">
      <w:pPr>
        <w:pStyle w:val="ListParagraph"/>
        <w:numPr>
          <w:ilvl w:val="0"/>
          <w:numId w:val="39"/>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In terms of the limited effect of desalination on container throughput, it is recommended that to mitigate competition between desalination infrastructure development and throughput activities. Essentially, dedicated port facilities for desalination-related activities can be developed in order to reduce the competition of the activities with </w:t>
      </w:r>
      <w:r w:rsidR="00750308" w:rsidRPr="00EA38DE">
        <w:rPr>
          <w:rFonts w:ascii="Times New Roman" w:hAnsi="Times New Roman" w:cs="Times New Roman"/>
          <w:sz w:val="24"/>
          <w:szCs w:val="24"/>
        </w:rPr>
        <w:t>containerized</w:t>
      </w:r>
      <w:r w:rsidRPr="00EA38DE">
        <w:rPr>
          <w:rFonts w:ascii="Times New Roman" w:hAnsi="Times New Roman" w:cs="Times New Roman"/>
          <w:sz w:val="24"/>
          <w:szCs w:val="24"/>
        </w:rPr>
        <w:t xml:space="preserve"> cargo activities. This requires adequate coordination in the maritime industry. </w:t>
      </w:r>
    </w:p>
    <w:p w14:paraId="2487A262" w14:textId="77777777" w:rsidR="003C6B00" w:rsidRPr="00EA38DE" w:rsidRDefault="003C6B00" w:rsidP="002F061B">
      <w:pPr>
        <w:pStyle w:val="ListParagraph"/>
        <w:numPr>
          <w:ilvl w:val="0"/>
          <w:numId w:val="39"/>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Given that desalination has no significant effect on shipping cost, there is need to address the budgetary costs and efficiency of desalination both by the public and private sectors in Nigeria. The cost of desalination needs to be reduced in order to make it more cost-effective for the shipping industry in the country. </w:t>
      </w:r>
    </w:p>
    <w:p w14:paraId="026D4E04" w14:textId="77777777" w:rsidR="003C6B00" w:rsidRPr="00EA38DE" w:rsidRDefault="003C6B00" w:rsidP="002F061B">
      <w:pPr>
        <w:pStyle w:val="ListParagraph"/>
        <w:numPr>
          <w:ilvl w:val="0"/>
          <w:numId w:val="39"/>
        </w:num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Moreover, the revenue generation capacity of desalination as a blue economy strategy in Nigeria must be significantly pursued. In this case, trade concepts and activities that are related to desalination should be promoted. Moreover, all sorts of inefficiencies in the desalination systems should be trimmed down especially with the application of digital tracking and taxation systems.</w:t>
      </w:r>
    </w:p>
    <w:p w14:paraId="33C6C0DF" w14:textId="2ED2C87A" w:rsidR="003C6B00" w:rsidRPr="00EA38DE" w:rsidRDefault="003C6B00" w:rsidP="002F061B">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5.4</w:t>
      </w:r>
      <w:r w:rsidR="00C32678" w:rsidRPr="00EA38DE">
        <w:rPr>
          <w:rFonts w:ascii="Times New Roman" w:hAnsi="Times New Roman" w:cs="Times New Roman"/>
          <w:b/>
          <w:bCs/>
          <w:sz w:val="24"/>
          <w:szCs w:val="24"/>
        </w:rPr>
        <w:tab/>
      </w:r>
      <w:r w:rsidRPr="00EA38DE">
        <w:rPr>
          <w:rFonts w:ascii="Times New Roman" w:hAnsi="Times New Roman" w:cs="Times New Roman"/>
          <w:b/>
          <w:bCs/>
          <w:sz w:val="24"/>
          <w:szCs w:val="24"/>
        </w:rPr>
        <w:t>Contribution to Knowledge</w:t>
      </w:r>
    </w:p>
    <w:p w14:paraId="6AE1F1D1" w14:textId="328C2F33"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The study contributes to the current body of knowledge in the following ways</w:t>
      </w:r>
      <w:r w:rsidR="00E05EF0" w:rsidRPr="00EA38DE">
        <w:rPr>
          <w:rFonts w:ascii="Times New Roman" w:hAnsi="Times New Roman" w:cs="Times New Roman"/>
          <w:sz w:val="24"/>
          <w:szCs w:val="24"/>
        </w:rPr>
        <w:t>:</w:t>
      </w:r>
    </w:p>
    <w:p w14:paraId="7906D1B6" w14:textId="77777777"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study provided novel insights into the pattern of impacts that the blue economy can have on the shipping industry. This was done by engaging three blue economy proxies which have received </w:t>
      </w:r>
      <w:r w:rsidRPr="00EA38DE">
        <w:rPr>
          <w:rFonts w:ascii="Times New Roman" w:hAnsi="Times New Roman" w:cs="Times New Roman"/>
          <w:sz w:val="24"/>
          <w:szCs w:val="24"/>
        </w:rPr>
        <w:lastRenderedPageBreak/>
        <w:t xml:space="preserve">limited consideration in previous studies. This study therefore contributes to knowledge by empirically demonstrating the differential long-run effects of blue economy components of fisheries production, aquaculture, and desalination on Nigeria's shipping industry. </w:t>
      </w:r>
    </w:p>
    <w:p w14:paraId="15A83DD0" w14:textId="32F45449"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study also deepened understanding of the role of volatility in exchange rate </w:t>
      </w:r>
      <w:r w:rsidR="00D02F8D" w:rsidRPr="00EA38DE">
        <w:rPr>
          <w:rFonts w:ascii="Times New Roman" w:hAnsi="Times New Roman" w:cs="Times New Roman"/>
          <w:sz w:val="24"/>
          <w:szCs w:val="24"/>
        </w:rPr>
        <w:t>i</w:t>
      </w:r>
      <w:r w:rsidRPr="00EA38DE">
        <w:rPr>
          <w:rFonts w:ascii="Times New Roman" w:hAnsi="Times New Roman" w:cs="Times New Roman"/>
          <w:sz w:val="24"/>
          <w:szCs w:val="24"/>
        </w:rPr>
        <w:t xml:space="preserve">n the shipping industry. New insights were demonstrated by revealing the dual role of exchange rate volatility in the shipping industry in terms of operational deterioration and cost-relief capacity of unstable exchange rates in Nigeria. </w:t>
      </w:r>
    </w:p>
    <w:p w14:paraId="7258106D" w14:textId="47BE2BB6"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By using a dynamic framework, the study also contributed to knowledge by demonstrating that the blue economy factors may exert differing effects on the shipping industry depending on the time horizon being considered. This throws more light on the policy maker’s inter temporal decision-making in relation to optimizing the financial performance of the shipping industry in Nigeria. In particular, the decision makers now have evidence of the necessary policies to undertake in the short run and in the long </w:t>
      </w:r>
      <w:r w:rsidR="004F20A5" w:rsidRPr="00EA38DE">
        <w:rPr>
          <w:rFonts w:ascii="Times New Roman" w:hAnsi="Times New Roman" w:cs="Times New Roman"/>
          <w:sz w:val="24"/>
          <w:szCs w:val="24"/>
        </w:rPr>
        <w:t>run-in</w:t>
      </w:r>
      <w:r w:rsidRPr="00EA38DE">
        <w:rPr>
          <w:rFonts w:ascii="Times New Roman" w:hAnsi="Times New Roman" w:cs="Times New Roman"/>
          <w:sz w:val="24"/>
          <w:szCs w:val="24"/>
        </w:rPr>
        <w:t xml:space="preserve"> order to promote the shipping industry. The study shows that in most cases, required policy directions in the short run often differ from those required for the long run management. </w:t>
      </w:r>
    </w:p>
    <w:p w14:paraId="0B2692A2" w14:textId="53CAE237" w:rsidR="003C6B00" w:rsidRPr="00EA38DE" w:rsidRDefault="003C6B00" w:rsidP="002F061B">
      <w:pPr>
        <w:spacing w:line="480" w:lineRule="auto"/>
        <w:jc w:val="both"/>
        <w:rPr>
          <w:rFonts w:ascii="Times New Roman" w:hAnsi="Times New Roman" w:cs="Times New Roman"/>
          <w:b/>
          <w:bCs/>
          <w:sz w:val="24"/>
          <w:szCs w:val="24"/>
        </w:rPr>
      </w:pPr>
      <w:r w:rsidRPr="00EA38DE">
        <w:rPr>
          <w:rFonts w:ascii="Times New Roman" w:hAnsi="Times New Roman" w:cs="Times New Roman"/>
          <w:b/>
          <w:bCs/>
          <w:sz w:val="24"/>
          <w:szCs w:val="24"/>
        </w:rPr>
        <w:t>5.5</w:t>
      </w:r>
      <w:r w:rsidR="00C32678" w:rsidRPr="00EA38DE">
        <w:rPr>
          <w:rFonts w:ascii="Times New Roman" w:hAnsi="Times New Roman" w:cs="Times New Roman"/>
          <w:b/>
          <w:bCs/>
          <w:sz w:val="24"/>
          <w:szCs w:val="24"/>
        </w:rPr>
        <w:tab/>
      </w:r>
      <w:r w:rsidRPr="00EA38DE">
        <w:rPr>
          <w:rFonts w:ascii="Times New Roman" w:hAnsi="Times New Roman" w:cs="Times New Roman"/>
          <w:b/>
          <w:bCs/>
          <w:sz w:val="24"/>
          <w:szCs w:val="24"/>
        </w:rPr>
        <w:t>Areas for Further Study</w:t>
      </w:r>
    </w:p>
    <w:p w14:paraId="61D40A3F" w14:textId="77777777"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t xml:space="preserve">The preliminary analysis of the relationships among variables in the study revealed non-linear relationships among certain variables. Thus, there is need for future studies to explore non-linear relationships and interaction terms among the exchange rate and blue economy factors to better capture any complex dynamics. Although the use of the ARDL estimation captured part of this dynamics, other methodological and specification approaches that reveal non-linearities may reveal other aspects of the relationships.  </w:t>
      </w:r>
    </w:p>
    <w:p w14:paraId="1E99F1F9" w14:textId="61B86446" w:rsidR="003C6B00" w:rsidRPr="00EA38DE" w:rsidRDefault="003C6B00" w:rsidP="002F061B">
      <w:pPr>
        <w:spacing w:line="480" w:lineRule="auto"/>
        <w:jc w:val="both"/>
        <w:rPr>
          <w:rFonts w:ascii="Times New Roman" w:hAnsi="Times New Roman" w:cs="Times New Roman"/>
          <w:sz w:val="24"/>
          <w:szCs w:val="24"/>
        </w:rPr>
      </w:pPr>
      <w:r w:rsidRPr="00EA38DE">
        <w:rPr>
          <w:rFonts w:ascii="Times New Roman" w:hAnsi="Times New Roman" w:cs="Times New Roman"/>
          <w:sz w:val="24"/>
          <w:szCs w:val="24"/>
        </w:rPr>
        <w:lastRenderedPageBreak/>
        <w:t>The limitation of data has ensured that only selected macro-based evaluation of the blue economy and shipping industry variables are used. Further studies may employ more</w:t>
      </w:r>
      <w:r w:rsidR="00D02F8D" w:rsidRPr="00EA38DE">
        <w:rPr>
          <w:rFonts w:ascii="Times New Roman" w:hAnsi="Times New Roman" w:cs="Times New Roman"/>
          <w:sz w:val="24"/>
          <w:szCs w:val="24"/>
        </w:rPr>
        <w:t xml:space="preserve"> blue economy variables and more</w:t>
      </w:r>
      <w:r w:rsidRPr="00EA38DE">
        <w:rPr>
          <w:rFonts w:ascii="Times New Roman" w:hAnsi="Times New Roman" w:cs="Times New Roman"/>
          <w:sz w:val="24"/>
          <w:szCs w:val="24"/>
        </w:rPr>
        <w:t xml:space="preserve"> firm-specific or industry-specific dataset to further intensify the expected outcomes. For instance, variables that capture port terminal operations, logistics performance, and other emerging value chains activities move beyond national aggregates to address and reveal operational efficiency, financial health, and competitive dynamics of the shipping industry in the country. </w:t>
      </w:r>
      <w:r w:rsidRPr="00EA38DE">
        <w:rPr>
          <w:rFonts w:ascii="Times New Roman" w:hAnsi="Times New Roman" w:cs="Times New Roman"/>
          <w:sz w:val="24"/>
          <w:szCs w:val="24"/>
          <w:shd w:val="clear" w:color="auto" w:fill="FFFFFF"/>
        </w:rPr>
        <w:t xml:space="preserve"> </w:t>
      </w:r>
    </w:p>
    <w:p w14:paraId="12E4A431" w14:textId="77777777" w:rsidR="003C6B00" w:rsidRPr="00EA38DE" w:rsidRDefault="003C6B00" w:rsidP="003C6B00"/>
    <w:p w14:paraId="687BB142" w14:textId="77777777" w:rsidR="003C6B00" w:rsidRPr="00EA38DE" w:rsidRDefault="003C6B00" w:rsidP="003C6B00"/>
    <w:p w14:paraId="6C4C196D" w14:textId="77777777" w:rsidR="003C6B00" w:rsidRPr="00EA38DE" w:rsidRDefault="003C6B00" w:rsidP="003C6B00"/>
    <w:p w14:paraId="3E784C61" w14:textId="77777777" w:rsidR="003C6B00" w:rsidRPr="00EA38DE" w:rsidRDefault="003C6B00" w:rsidP="003C6B00"/>
    <w:p w14:paraId="281700BA" w14:textId="77777777" w:rsidR="003C6B00" w:rsidRPr="00EA38DE" w:rsidRDefault="003C6B00" w:rsidP="003C6B00"/>
    <w:p w14:paraId="1583B118" w14:textId="77777777" w:rsidR="003C6B00" w:rsidRPr="00EA38DE" w:rsidRDefault="003C6B00" w:rsidP="003C6B00"/>
    <w:p w14:paraId="782DB12B" w14:textId="77777777" w:rsidR="003C6B00" w:rsidRPr="00EA38DE" w:rsidRDefault="003C6B00" w:rsidP="003C6B00"/>
    <w:p w14:paraId="0BF2BB75" w14:textId="77777777" w:rsidR="003C6B00" w:rsidRPr="00EA38DE" w:rsidRDefault="003C6B00" w:rsidP="003C6B00"/>
    <w:p w14:paraId="7A0E1C4A" w14:textId="77777777" w:rsidR="003C6B00" w:rsidRPr="00EA38DE" w:rsidRDefault="003C6B00" w:rsidP="003C6B00"/>
    <w:p w14:paraId="0A604A35" w14:textId="77777777" w:rsidR="003C6B00" w:rsidRPr="00EA38DE" w:rsidRDefault="003C6B00" w:rsidP="003C6B00"/>
    <w:p w14:paraId="541A22D1" w14:textId="77777777" w:rsidR="00F72D9A" w:rsidRPr="00EA38DE" w:rsidRDefault="00F72D9A">
      <w:pPr>
        <w:rPr>
          <w:rFonts w:ascii="Times New Roman" w:hAnsi="Times New Roman" w:cs="Times New Roman"/>
          <w:b/>
          <w:sz w:val="24"/>
          <w:szCs w:val="24"/>
        </w:rPr>
      </w:pPr>
      <w:r w:rsidRPr="00EA38DE">
        <w:rPr>
          <w:rFonts w:ascii="Times New Roman" w:hAnsi="Times New Roman" w:cs="Times New Roman"/>
          <w:b/>
          <w:sz w:val="24"/>
          <w:szCs w:val="24"/>
        </w:rPr>
        <w:br w:type="page"/>
      </w:r>
    </w:p>
    <w:p w14:paraId="319D1A1B" w14:textId="6EBC97D8" w:rsidR="003C6B00" w:rsidRPr="00EA38DE" w:rsidRDefault="003C6B00" w:rsidP="00C32678">
      <w:pPr>
        <w:spacing w:after="240" w:line="240" w:lineRule="auto"/>
        <w:jc w:val="center"/>
        <w:rPr>
          <w:rFonts w:ascii="Times New Roman" w:hAnsi="Times New Roman" w:cs="Times New Roman"/>
          <w:sz w:val="24"/>
          <w:szCs w:val="24"/>
        </w:rPr>
      </w:pPr>
      <w:r w:rsidRPr="00EA38DE">
        <w:rPr>
          <w:rFonts w:ascii="Times New Roman" w:hAnsi="Times New Roman" w:cs="Times New Roman"/>
          <w:b/>
          <w:sz w:val="24"/>
          <w:szCs w:val="24"/>
        </w:rPr>
        <w:lastRenderedPageBreak/>
        <w:t>REFERENCES</w:t>
      </w:r>
    </w:p>
    <w:p w14:paraId="0FC0C4A2"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Abdullahi, A. (2023). The impact of exchange rate fluctuations on shipping costs and trade in Nigeria. </w:t>
      </w:r>
      <w:r w:rsidRPr="00EA38DE">
        <w:rPr>
          <w:rFonts w:ascii="Times New Roman" w:eastAsiaTheme="majorEastAsia" w:hAnsi="Times New Roman" w:cs="Times New Roman"/>
          <w:i/>
          <w:sz w:val="24"/>
          <w:szCs w:val="24"/>
        </w:rPr>
        <w:t>Journal of Economics and Sustainable Development, 14</w:t>
      </w:r>
      <w:r w:rsidRPr="00EA38DE">
        <w:rPr>
          <w:rFonts w:ascii="Times New Roman" w:hAnsi="Times New Roman" w:cs="Times New Roman"/>
          <w:sz w:val="24"/>
          <w:szCs w:val="24"/>
        </w:rPr>
        <w:t>(3), 45-58.</w:t>
      </w:r>
    </w:p>
    <w:p w14:paraId="71443D76" w14:textId="77777777" w:rsidR="007539AC" w:rsidRPr="00EA38DE" w:rsidRDefault="007539AC" w:rsidP="007539AC">
      <w:pPr>
        <w:tabs>
          <w:tab w:val="left" w:pos="7749"/>
        </w:tabs>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Abdul-Mumuni, B. (2019). Exchange rate and manufacturing sector performance in Ghana. </w:t>
      </w:r>
      <w:r w:rsidRPr="00EA38DE">
        <w:rPr>
          <w:rFonts w:ascii="Times New Roman" w:eastAsiaTheme="majorEastAsia" w:hAnsi="Times New Roman" w:cs="Times New Roman"/>
          <w:i/>
          <w:sz w:val="24"/>
          <w:szCs w:val="24"/>
        </w:rPr>
        <w:t>Ghanaian Economic Review, 6</w:t>
      </w:r>
      <w:r w:rsidRPr="00EA38DE">
        <w:rPr>
          <w:rFonts w:ascii="Times New Roman" w:hAnsi="Times New Roman" w:cs="Times New Roman"/>
          <w:sz w:val="24"/>
          <w:szCs w:val="24"/>
        </w:rPr>
        <w:t>(4), 54-68.</w:t>
      </w:r>
    </w:p>
    <w:p w14:paraId="61F6C410"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Style w:val="Strong"/>
          <w:rFonts w:ascii="Times New Roman" w:hAnsi="Times New Roman" w:cs="Times New Roman"/>
          <w:b w:val="0"/>
          <w:sz w:val="24"/>
          <w:szCs w:val="24"/>
        </w:rPr>
        <w:t>Abila, R., Okafor, N., &amp; Mensah, K. (2021).</w:t>
      </w:r>
      <w:r w:rsidRPr="00EA38DE">
        <w:rPr>
          <w:rFonts w:ascii="Times New Roman" w:hAnsi="Times New Roman" w:cs="Times New Roman"/>
          <w:sz w:val="24"/>
          <w:szCs w:val="24"/>
        </w:rPr>
        <w:t xml:space="preserve"> Impact of aquaculture growth on shipping and port services in West Africa. </w:t>
      </w:r>
      <w:r w:rsidRPr="00EA38DE">
        <w:rPr>
          <w:rStyle w:val="Emphasis"/>
          <w:rFonts w:ascii="Times New Roman" w:hAnsi="Times New Roman" w:cs="Times New Roman"/>
          <w:sz w:val="24"/>
          <w:szCs w:val="24"/>
        </w:rPr>
        <w:t>Journal of Maritime Transport and Trade</w:t>
      </w:r>
      <w:r w:rsidRPr="00EA38DE">
        <w:rPr>
          <w:rFonts w:ascii="Times New Roman" w:hAnsi="Times New Roman" w:cs="Times New Roman"/>
          <w:sz w:val="24"/>
          <w:szCs w:val="24"/>
        </w:rPr>
        <w:t>,</w:t>
      </w:r>
      <w:r w:rsidRPr="00EA38DE">
        <w:rPr>
          <w:rStyle w:val="Heading3Char"/>
          <w:rFonts w:eastAsiaTheme="minorHAnsi"/>
          <w:sz w:val="24"/>
          <w:szCs w:val="24"/>
        </w:rPr>
        <w:t xml:space="preserve"> </w:t>
      </w:r>
      <w:r w:rsidRPr="00EA38DE">
        <w:rPr>
          <w:rStyle w:val="Emphasis"/>
          <w:rFonts w:ascii="Times New Roman" w:hAnsi="Times New Roman" w:cs="Times New Roman"/>
          <w:sz w:val="24"/>
          <w:szCs w:val="24"/>
        </w:rPr>
        <w:t>9</w:t>
      </w:r>
      <w:r w:rsidRPr="00EA38DE">
        <w:rPr>
          <w:rFonts w:ascii="Times New Roman" w:hAnsi="Times New Roman" w:cs="Times New Roman"/>
          <w:sz w:val="24"/>
          <w:szCs w:val="24"/>
        </w:rPr>
        <w:t>(2), 101–120.</w:t>
      </w:r>
    </w:p>
    <w:p w14:paraId="52CC7EBD"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Acha, I. O., &amp; Acha, E. O. (2014). Trade balance and exchange rate fluctuations in Nigeria. </w:t>
      </w:r>
      <w:r w:rsidRPr="00EA38DE">
        <w:rPr>
          <w:rFonts w:ascii="Times New Roman" w:eastAsiaTheme="majorEastAsia" w:hAnsi="Times New Roman" w:cs="Times New Roman"/>
          <w:i/>
          <w:sz w:val="24"/>
          <w:szCs w:val="24"/>
        </w:rPr>
        <w:t>International Journal of Business and Social Science, 5</w:t>
      </w:r>
      <w:r w:rsidRPr="00EA38DE">
        <w:rPr>
          <w:rFonts w:ascii="Times New Roman" w:hAnsi="Times New Roman" w:cs="Times New Roman"/>
          <w:sz w:val="24"/>
          <w:szCs w:val="24"/>
        </w:rPr>
        <w:t>(2), 1-9.</w:t>
      </w:r>
    </w:p>
    <w:p w14:paraId="0A270C34"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Adaramola, A. O. (2016). Exchange rate volatility and trade in Nigeria. </w:t>
      </w:r>
      <w:r w:rsidRPr="00EA38DE">
        <w:rPr>
          <w:rFonts w:ascii="Times New Roman" w:eastAsia="Times New Roman" w:hAnsi="Times New Roman" w:cs="Times New Roman"/>
          <w:i/>
          <w:iCs/>
          <w:sz w:val="24"/>
          <w:szCs w:val="24"/>
        </w:rPr>
        <w:t>International Journal of Economics and Financial Issues, 6</w:t>
      </w:r>
      <w:r w:rsidRPr="00EA38DE">
        <w:rPr>
          <w:rFonts w:ascii="Times New Roman" w:eastAsia="Times New Roman" w:hAnsi="Times New Roman" w:cs="Times New Roman"/>
          <w:sz w:val="24"/>
          <w:szCs w:val="24"/>
        </w:rPr>
        <w:t>(1), 1–9.</w:t>
      </w:r>
    </w:p>
    <w:p w14:paraId="170BDDD1"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Adebayo, S., Adewale, O., &amp; Olutayo, O. (2022). Environmental sustainability and blue economy development in Nigeria. </w:t>
      </w:r>
      <w:r w:rsidRPr="00EA38DE">
        <w:rPr>
          <w:rFonts w:ascii="Times New Roman" w:eastAsia="Times New Roman" w:hAnsi="Times New Roman" w:cs="Times New Roman"/>
          <w:i/>
          <w:iCs/>
          <w:sz w:val="24"/>
          <w:szCs w:val="24"/>
        </w:rPr>
        <w:t>Journal of Maritime Studies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14</w:t>
      </w:r>
      <w:r w:rsidRPr="00EA38DE">
        <w:rPr>
          <w:rFonts w:ascii="Times New Roman" w:eastAsia="Times New Roman" w:hAnsi="Times New Roman" w:cs="Times New Roman"/>
          <w:sz w:val="24"/>
          <w:szCs w:val="24"/>
        </w:rPr>
        <w:t>(2), 78–92.</w:t>
      </w:r>
    </w:p>
    <w:p w14:paraId="3D4953DF"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Adebayo, S., Adewale, O., &amp; Olutayo, O. (2022). Environmental sustainability and blue economy development in Nigeria. </w:t>
      </w:r>
      <w:r w:rsidRPr="00EA38DE">
        <w:rPr>
          <w:rFonts w:ascii="Times New Roman" w:eastAsia="Times New Roman" w:hAnsi="Times New Roman" w:cs="Times New Roman"/>
          <w:i/>
          <w:iCs/>
          <w:sz w:val="24"/>
          <w:szCs w:val="24"/>
        </w:rPr>
        <w:t>Journal of Maritime Studies</w:t>
      </w:r>
      <w:r w:rsidRPr="00EA38DE">
        <w:rPr>
          <w:rFonts w:ascii="Times New Roman" w:eastAsia="Times New Roman" w:hAnsi="Times New Roman" w:cs="Times New Roman"/>
          <w:sz w:val="24"/>
          <w:szCs w:val="24"/>
        </w:rPr>
        <w:t xml:space="preserve">, </w:t>
      </w:r>
      <w:r w:rsidRPr="00EA38DE">
        <w:rPr>
          <w:rStyle w:val="Emphasis"/>
          <w:rFonts w:ascii="Times New Roman" w:hAnsi="Times New Roman" w:cs="Times New Roman"/>
          <w:sz w:val="24"/>
          <w:szCs w:val="24"/>
        </w:rPr>
        <w:t>14</w:t>
      </w:r>
      <w:r w:rsidRPr="00EA38DE">
        <w:rPr>
          <w:rFonts w:ascii="Times New Roman" w:hAnsi="Times New Roman" w:cs="Times New Roman"/>
          <w:sz w:val="24"/>
          <w:szCs w:val="24"/>
        </w:rPr>
        <w:t>(1), 70–88.</w:t>
      </w:r>
    </w:p>
    <w:p w14:paraId="41236DA6"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Adebiyi, M. S., &amp; Adeyemi, J. A. (2022). </w:t>
      </w:r>
      <w:r w:rsidRPr="00EA38DE">
        <w:rPr>
          <w:rFonts w:ascii="Times New Roman" w:eastAsiaTheme="majorEastAsia" w:hAnsi="Times New Roman" w:cs="Times New Roman"/>
          <w:sz w:val="24"/>
          <w:szCs w:val="24"/>
        </w:rPr>
        <w:t>The effect of exchange rate fluctuation on the performance of manufacturing sector in Nigeria: An ARDL approach</w:t>
      </w:r>
      <w:r w:rsidRPr="00EA38DE">
        <w:rPr>
          <w:rFonts w:ascii="Times New Roman" w:hAnsi="Times New Roman" w:cs="Times New Roman"/>
          <w:i/>
          <w:sz w:val="24"/>
          <w:szCs w:val="24"/>
        </w:rPr>
        <w:t>. African Journal of Applied Economics, 6</w:t>
      </w:r>
      <w:r w:rsidRPr="00EA38DE">
        <w:rPr>
          <w:rFonts w:ascii="Times New Roman" w:hAnsi="Times New Roman" w:cs="Times New Roman"/>
          <w:sz w:val="24"/>
          <w:szCs w:val="24"/>
        </w:rPr>
        <w:t>(4), 131–139</w:t>
      </w:r>
    </w:p>
    <w:p w14:paraId="073258C4"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Adegbemi, A. (2018). Effect of changes in macroeconomic factors on manufacturing sector performance in Nigeria. </w:t>
      </w:r>
      <w:r w:rsidRPr="00EA38DE">
        <w:rPr>
          <w:rFonts w:ascii="Times New Roman" w:eastAsia="Times New Roman" w:hAnsi="Times New Roman" w:cs="Times New Roman"/>
          <w:i/>
          <w:iCs/>
          <w:sz w:val="24"/>
          <w:szCs w:val="24"/>
        </w:rPr>
        <w:t>International Journal of Economics and Financial Issues, 8</w:t>
      </w:r>
      <w:r w:rsidRPr="00EA38DE">
        <w:rPr>
          <w:rFonts w:ascii="Times New Roman" w:eastAsia="Times New Roman" w:hAnsi="Times New Roman" w:cs="Times New Roman"/>
          <w:sz w:val="24"/>
          <w:szCs w:val="24"/>
        </w:rPr>
        <w:t>(4), 1–8.</w:t>
      </w:r>
    </w:p>
    <w:p w14:paraId="31841A6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Adegboye, A., &amp; Olawole, A. 2024). Exchange rate management and financial market development in Nigeria. </w:t>
      </w:r>
      <w:r w:rsidRPr="00EA38DE">
        <w:rPr>
          <w:rFonts w:ascii="Times New Roman" w:eastAsia="Times New Roman" w:hAnsi="Times New Roman" w:cs="Times New Roman"/>
          <w:i/>
          <w:iCs/>
          <w:sz w:val="24"/>
          <w:szCs w:val="24"/>
        </w:rPr>
        <w:t>Journal of African Finance and Economic Development</w:t>
      </w:r>
      <w:r w:rsidRPr="00EA38DE">
        <w:rPr>
          <w:rFonts w:ascii="Times New Roman" w:eastAsia="Times New Roman" w:hAnsi="Times New Roman" w:cs="Times New Roman"/>
          <w:sz w:val="24"/>
          <w:szCs w:val="24"/>
        </w:rPr>
        <w:t xml:space="preserve">, </w:t>
      </w:r>
      <w:r w:rsidRPr="00EA38DE">
        <w:rPr>
          <w:rStyle w:val="Emphasis"/>
          <w:rFonts w:ascii="Times New Roman" w:hAnsi="Times New Roman" w:cs="Times New Roman"/>
          <w:sz w:val="24"/>
          <w:szCs w:val="24"/>
        </w:rPr>
        <w:t>12</w:t>
      </w:r>
      <w:r w:rsidRPr="00EA38DE">
        <w:rPr>
          <w:rFonts w:ascii="Times New Roman" w:hAnsi="Times New Roman" w:cs="Times New Roman"/>
          <w:sz w:val="24"/>
          <w:szCs w:val="24"/>
        </w:rPr>
        <w:t>(1), 45–62.</w:t>
      </w:r>
    </w:p>
    <w:p w14:paraId="33F62BB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Adekoya, T., &amp; Olubunmi, F. (2022). </w:t>
      </w:r>
      <w:r w:rsidRPr="00EA38DE">
        <w:rPr>
          <w:rFonts w:ascii="Times New Roman" w:eastAsia="Times New Roman" w:hAnsi="Times New Roman" w:cs="Times New Roman"/>
          <w:iCs/>
          <w:sz w:val="24"/>
          <w:szCs w:val="24"/>
        </w:rPr>
        <w:t>Energy</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sector challenges and maritime logistics for desalination growth</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Energy Policy Journal, 8</w:t>
      </w:r>
      <w:r w:rsidRPr="00EA38DE">
        <w:rPr>
          <w:rFonts w:ascii="Times New Roman" w:eastAsia="Times New Roman" w:hAnsi="Times New Roman" w:cs="Times New Roman"/>
          <w:sz w:val="24"/>
          <w:szCs w:val="24"/>
        </w:rPr>
        <w:t>(10), 12-22.</w:t>
      </w:r>
    </w:p>
    <w:p w14:paraId="05F84289"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Adekoya, T., &amp; Olubunmi, S. (2022). </w:t>
      </w:r>
      <w:r w:rsidRPr="00EA38DE">
        <w:rPr>
          <w:rFonts w:ascii="Times New Roman" w:eastAsia="Times New Roman" w:hAnsi="Times New Roman" w:cs="Times New Roman"/>
          <w:iCs/>
          <w:sz w:val="24"/>
          <w:szCs w:val="24"/>
        </w:rPr>
        <w:t>Energy</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sector constraints and desalination logistics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Energy and Maritime Economics Review, 22</w:t>
      </w:r>
      <w:r w:rsidRPr="00EA38DE">
        <w:rPr>
          <w:rFonts w:ascii="Times New Roman" w:eastAsia="Times New Roman" w:hAnsi="Times New Roman" w:cs="Times New Roman"/>
          <w:sz w:val="24"/>
          <w:szCs w:val="24"/>
        </w:rPr>
        <w:t>(10), 190-199</w:t>
      </w:r>
    </w:p>
    <w:p w14:paraId="201D2B9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Adekunle, A., &amp; Eyo, C. (2022). </w:t>
      </w:r>
      <w:r w:rsidRPr="00EA38DE">
        <w:rPr>
          <w:rFonts w:ascii="Times New Roman" w:eastAsia="Times New Roman" w:hAnsi="Times New Roman" w:cs="Times New Roman"/>
          <w:iCs/>
          <w:sz w:val="24"/>
          <w:szCs w:val="24"/>
        </w:rPr>
        <w:t>Econometric analysis of aquaculture output and shipping firm income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Transport Economics,</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18</w:t>
      </w:r>
      <w:r w:rsidRPr="00EA38DE">
        <w:rPr>
          <w:rFonts w:ascii="Times New Roman" w:hAnsi="Times New Roman" w:cs="Times New Roman"/>
          <w:sz w:val="24"/>
          <w:szCs w:val="24"/>
        </w:rPr>
        <w:t>(2), 134–150.</w:t>
      </w:r>
    </w:p>
    <w:p w14:paraId="1A1DB43F" w14:textId="77777777" w:rsidR="007539AC" w:rsidRPr="00EA38DE" w:rsidRDefault="007539AC" w:rsidP="007539AC">
      <w:pPr>
        <w:adjustRightInd w:val="0"/>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Adelowokan, O. O., Adesoye, A. O., &amp; Osisanwo, O. (2017). Exchange rate volatility, investment and economic growth in Nigeria. </w:t>
      </w:r>
      <w:r w:rsidRPr="00EA38DE">
        <w:rPr>
          <w:rFonts w:ascii="Times New Roman" w:eastAsia="Times New Roman" w:hAnsi="Times New Roman" w:cs="Times New Roman"/>
          <w:i/>
          <w:iCs/>
          <w:sz w:val="24"/>
          <w:szCs w:val="24"/>
        </w:rPr>
        <w:t>International Journal of Economics and Financial Issues, 7</w:t>
      </w:r>
      <w:r w:rsidRPr="00EA38DE">
        <w:rPr>
          <w:rFonts w:ascii="Times New Roman" w:eastAsia="Times New Roman" w:hAnsi="Times New Roman" w:cs="Times New Roman"/>
          <w:sz w:val="24"/>
          <w:szCs w:val="24"/>
        </w:rPr>
        <w:t>(3), 1–9.</w:t>
      </w:r>
    </w:p>
    <w:p w14:paraId="00988273" w14:textId="77777777" w:rsidR="007539AC" w:rsidRPr="00EA38DE" w:rsidRDefault="007539AC" w:rsidP="007539AC">
      <w:pPr>
        <w:spacing w:after="240" w:line="240" w:lineRule="auto"/>
        <w:ind w:left="720" w:hanging="720"/>
        <w:jc w:val="both"/>
        <w:rPr>
          <w:rFonts w:ascii="Times New Roman" w:eastAsiaTheme="majorEastAsia" w:hAnsi="Times New Roman" w:cs="Times New Roman"/>
          <w:sz w:val="24"/>
          <w:szCs w:val="24"/>
        </w:rPr>
      </w:pPr>
      <w:r w:rsidRPr="00EA38DE">
        <w:rPr>
          <w:rFonts w:ascii="Times New Roman" w:hAnsi="Times New Roman" w:cs="Times New Roman"/>
          <w:sz w:val="24"/>
          <w:szCs w:val="24"/>
        </w:rPr>
        <w:lastRenderedPageBreak/>
        <w:t xml:space="preserve">Adeniran, A. O., &amp; Akinwale, A. T. (2021). </w:t>
      </w:r>
      <w:r w:rsidRPr="00EA38DE">
        <w:rPr>
          <w:rFonts w:ascii="Times New Roman" w:eastAsiaTheme="majorEastAsia" w:hAnsi="Times New Roman" w:cs="Times New Roman"/>
          <w:sz w:val="24"/>
          <w:szCs w:val="24"/>
        </w:rPr>
        <w:t>Exchange rate volatility and economic growth in Nigeria: An empirical investigation</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Journal of African Economies, 8</w:t>
      </w:r>
      <w:r w:rsidRPr="00EA38DE">
        <w:rPr>
          <w:rFonts w:ascii="Times New Roman" w:hAnsi="Times New Roman" w:cs="Times New Roman"/>
          <w:sz w:val="24"/>
          <w:szCs w:val="24"/>
        </w:rPr>
        <w:t>(2), 157–174.</w:t>
      </w:r>
    </w:p>
    <w:p w14:paraId="75D113AC"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Adeniran, A. O., &amp; Akinwale, A. T. (2021). Exchange rate volatility and economic growth in Nigeria: An empirical investigation. </w:t>
      </w:r>
      <w:r w:rsidRPr="00EA38DE">
        <w:rPr>
          <w:rFonts w:ascii="Times New Roman" w:eastAsia="Times New Roman" w:hAnsi="Times New Roman" w:cs="Times New Roman"/>
          <w:i/>
          <w:iCs/>
          <w:sz w:val="24"/>
          <w:szCs w:val="24"/>
        </w:rPr>
        <w:t>Journal of African Economies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bCs/>
          <w:i/>
          <w:sz w:val="24"/>
          <w:szCs w:val="24"/>
        </w:rPr>
        <w:t>30</w:t>
      </w:r>
      <w:r w:rsidRPr="00EA38DE">
        <w:rPr>
          <w:rFonts w:ascii="Times New Roman" w:eastAsia="Times New Roman" w:hAnsi="Times New Roman" w:cs="Times New Roman"/>
          <w:sz w:val="24"/>
          <w:szCs w:val="24"/>
        </w:rPr>
        <w:t>(2), 157–174.</w:t>
      </w:r>
    </w:p>
    <w:p w14:paraId="70EC9988"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Adeniran, A. O., &amp; Akinwale, A. T. (2021). Exchange rate volatility and economic growth in Nigeria: An empirical investigation. </w:t>
      </w:r>
      <w:r w:rsidRPr="00EA38DE">
        <w:rPr>
          <w:rFonts w:ascii="Times New Roman" w:eastAsia="Times New Roman" w:hAnsi="Times New Roman" w:cs="Times New Roman"/>
          <w:i/>
          <w:iCs/>
          <w:sz w:val="24"/>
          <w:szCs w:val="24"/>
        </w:rPr>
        <w:t>Journal of African Economies</w:t>
      </w:r>
      <w:r w:rsidRPr="00EA38DE">
        <w:rPr>
          <w:rFonts w:ascii="Times New Roman" w:eastAsia="Times New Roman" w:hAnsi="Times New Roman" w:cs="Times New Roman"/>
          <w:sz w:val="24"/>
          <w:szCs w:val="24"/>
        </w:rPr>
        <w:t xml:space="preserve">, </w:t>
      </w:r>
      <w:r w:rsidRPr="00EA38DE">
        <w:rPr>
          <w:rStyle w:val="Emphasis"/>
          <w:rFonts w:ascii="Times New Roman" w:hAnsi="Times New Roman" w:cs="Times New Roman"/>
          <w:sz w:val="24"/>
          <w:szCs w:val="24"/>
        </w:rPr>
        <w:t>30</w:t>
      </w:r>
      <w:r w:rsidRPr="00EA38DE">
        <w:rPr>
          <w:rFonts w:ascii="Times New Roman" w:hAnsi="Times New Roman" w:cs="Times New Roman"/>
          <w:sz w:val="24"/>
          <w:szCs w:val="24"/>
        </w:rPr>
        <w:t>(3), 345–367.</w:t>
      </w:r>
    </w:p>
    <w:p w14:paraId="3FCAD8F0"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Adeniran, J. O., Yusuf, S. A., &amp; Adeyemi, O. A.</w:t>
      </w:r>
      <w:r w:rsidRPr="00EA38DE">
        <w:rPr>
          <w:rFonts w:ascii="Times New Roman" w:eastAsia="Times New Roman" w:hAnsi="Times New Roman" w:cs="Times New Roman"/>
          <w:sz w:val="24"/>
          <w:szCs w:val="24"/>
        </w:rPr>
        <w:t xml:space="preserve"> (2014). </w:t>
      </w:r>
      <w:r w:rsidRPr="00EA38DE">
        <w:rPr>
          <w:rFonts w:ascii="Times New Roman" w:eastAsia="Times New Roman" w:hAnsi="Times New Roman" w:cs="Times New Roman"/>
          <w:iCs/>
          <w:sz w:val="24"/>
          <w:szCs w:val="24"/>
        </w:rPr>
        <w:t>The impact of exchange rate fluctuation on the Nigerian economic growth: an empirical investigation</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 xml:space="preserve">International Journal of Academic Research in Business and Social Sciences, </w:t>
      </w:r>
      <w:r w:rsidRPr="00EA38DE">
        <w:rPr>
          <w:rFonts w:ascii="Times New Roman" w:eastAsia="Times New Roman" w:hAnsi="Times New Roman" w:cs="Times New Roman"/>
          <w:bCs/>
          <w:i/>
          <w:sz w:val="24"/>
          <w:szCs w:val="24"/>
        </w:rPr>
        <w:t>4</w:t>
      </w:r>
      <w:r w:rsidRPr="00EA38DE">
        <w:rPr>
          <w:rFonts w:ascii="Times New Roman" w:eastAsia="Times New Roman" w:hAnsi="Times New Roman" w:cs="Times New Roman"/>
          <w:sz w:val="24"/>
          <w:szCs w:val="24"/>
        </w:rPr>
        <w:t>(8), 224–233. http://dx.doi.org/10.6007/IJARBSS/v4-i8/1091</w:t>
      </w:r>
    </w:p>
    <w:p w14:paraId="63F143A1"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Adepoju, A. A., &amp; Olowu, T. (2020). </w:t>
      </w:r>
      <w:r w:rsidRPr="00EA38DE">
        <w:rPr>
          <w:rFonts w:ascii="Times New Roman" w:eastAsia="Times New Roman" w:hAnsi="Times New Roman" w:cs="Times New Roman"/>
          <w:iCs/>
          <w:sz w:val="24"/>
          <w:szCs w:val="24"/>
        </w:rPr>
        <w:t>Port development and blue economy strategy in Nigeria: challenges and prospects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Economics and Logistics, 22</w:t>
      </w:r>
      <w:r w:rsidRPr="00EA38DE">
        <w:rPr>
          <w:rFonts w:ascii="Times New Roman" w:eastAsia="Times New Roman" w:hAnsi="Times New Roman" w:cs="Times New Roman"/>
          <w:sz w:val="24"/>
          <w:szCs w:val="24"/>
        </w:rPr>
        <w:t>(4), 301–318.</w:t>
      </w:r>
    </w:p>
    <w:p w14:paraId="39BC6C8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Adesanya, A., &amp; Sulaimon, M. (2022). Exchange rate volatility and liner shipping connectivity in Nigeria. </w:t>
      </w:r>
      <w:r w:rsidRPr="00EA38DE">
        <w:rPr>
          <w:rFonts w:ascii="Times New Roman" w:eastAsiaTheme="majorEastAsia" w:hAnsi="Times New Roman" w:cs="Times New Roman"/>
          <w:i/>
          <w:iCs/>
          <w:sz w:val="24"/>
          <w:szCs w:val="24"/>
        </w:rPr>
        <w:t>Maritime Economics &amp; Logistics</w:t>
      </w:r>
      <w:r w:rsidRPr="00EA38DE">
        <w:rPr>
          <w:rFonts w:ascii="Times New Roman" w:eastAsiaTheme="majorEastAsia" w:hAnsi="Times New Roman" w:cs="Times New Roman"/>
          <w:sz w:val="24"/>
          <w:szCs w:val="24"/>
        </w:rPr>
        <w:t>, 24</w:t>
      </w:r>
      <w:r w:rsidRPr="00EA38DE">
        <w:rPr>
          <w:rFonts w:ascii="Times New Roman" w:hAnsi="Times New Roman" w:cs="Times New Roman"/>
          <w:sz w:val="24"/>
          <w:szCs w:val="24"/>
        </w:rPr>
        <w:t>(1), 1-18.</w:t>
      </w:r>
    </w:p>
    <w:p w14:paraId="0C9C463F" w14:textId="77777777" w:rsidR="007539AC" w:rsidRPr="00EA38DE" w:rsidRDefault="007539AC" w:rsidP="007539AC">
      <w:pPr>
        <w:spacing w:after="240" w:line="240" w:lineRule="auto"/>
        <w:ind w:left="720" w:hanging="720"/>
        <w:jc w:val="both"/>
        <w:rPr>
          <w:rFonts w:ascii="Times New Roman" w:eastAsia="Times New Roman" w:hAnsi="Times New Roman" w:cs="Times New Roman"/>
          <w:i/>
          <w:iCs/>
          <w:sz w:val="24"/>
          <w:szCs w:val="24"/>
        </w:rPr>
      </w:pPr>
      <w:r w:rsidRPr="00EA38DE">
        <w:rPr>
          <w:rFonts w:ascii="Times New Roman" w:eastAsia="Times New Roman" w:hAnsi="Times New Roman" w:cs="Times New Roman"/>
          <w:sz w:val="24"/>
          <w:szCs w:val="24"/>
        </w:rPr>
        <w:t xml:space="preserve">Adewale, T., &amp; Aluko, M. (2022). </w:t>
      </w:r>
      <w:r w:rsidRPr="00EA38DE">
        <w:rPr>
          <w:rFonts w:ascii="Times New Roman" w:eastAsia="Times New Roman" w:hAnsi="Times New Roman" w:cs="Times New Roman"/>
          <w:iCs/>
          <w:sz w:val="24"/>
          <w:szCs w:val="24"/>
        </w:rPr>
        <w:t>Impact of exchange rate fluctuations on maritime trade in challenges and opportunities</w:t>
      </w:r>
      <w:r w:rsidRPr="00EA38DE">
        <w:rPr>
          <w:rFonts w:ascii="Times New Roman" w:eastAsia="Times New Roman" w:hAnsi="Times New Roman" w:cs="Times New Roman"/>
          <w:i/>
          <w:iCs/>
          <w:sz w:val="24"/>
          <w:szCs w:val="24"/>
        </w:rPr>
        <w:t>. Journal of Maritime Economics, 9</w:t>
      </w:r>
      <w:r w:rsidRPr="00EA38DE">
        <w:rPr>
          <w:rFonts w:ascii="Times New Roman" w:eastAsia="Times New Roman" w:hAnsi="Times New Roman" w:cs="Times New Roman"/>
          <w:iCs/>
          <w:sz w:val="24"/>
          <w:szCs w:val="24"/>
        </w:rPr>
        <w:t>(2), 113-129</w:t>
      </w:r>
    </w:p>
    <w:p w14:paraId="623F9223"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Adewole, A., &amp; Osagie, C. (2020). Exchange rate volatility and port operations in Nigeria. </w:t>
      </w:r>
      <w:r w:rsidRPr="00EA38DE">
        <w:rPr>
          <w:rFonts w:ascii="Times New Roman" w:eastAsia="Times New Roman" w:hAnsi="Times New Roman" w:cs="Times New Roman"/>
          <w:i/>
          <w:iCs/>
          <w:sz w:val="24"/>
          <w:szCs w:val="24"/>
        </w:rPr>
        <w:t>International Journal of Maritime Economics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8</w:t>
      </w:r>
      <w:r w:rsidRPr="00EA38DE">
        <w:rPr>
          <w:rFonts w:ascii="Times New Roman" w:eastAsia="Times New Roman" w:hAnsi="Times New Roman" w:cs="Times New Roman"/>
          <w:sz w:val="24"/>
          <w:szCs w:val="24"/>
        </w:rPr>
        <w:t>(1), 33–47.</w:t>
      </w:r>
    </w:p>
    <w:p w14:paraId="3BD62BD8"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hAnsi="Times New Roman" w:cs="Times New Roman"/>
          <w:sz w:val="24"/>
          <w:szCs w:val="24"/>
        </w:rPr>
        <w:t>Adewumi, T., Nwankwo, J., &amp; Eze, M. (2023).</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Cs/>
          <w:sz w:val="24"/>
          <w:szCs w:val="24"/>
        </w:rPr>
        <w:t>Infrastructure gaps in Nigeria’s aquaculture export logistics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Trade and Development,</w:t>
      </w:r>
      <w:r w:rsidRPr="00EA38DE">
        <w:rPr>
          <w:rStyle w:val="Emphasis"/>
          <w:rFonts w:ascii="Times New Roman" w:hAnsi="Times New Roman" w:cs="Times New Roman"/>
          <w:sz w:val="24"/>
          <w:szCs w:val="24"/>
        </w:rPr>
        <w:t xml:space="preserve"> 5</w:t>
      </w:r>
      <w:r w:rsidRPr="00EA38DE">
        <w:rPr>
          <w:rFonts w:ascii="Times New Roman" w:hAnsi="Times New Roman" w:cs="Times New Roman"/>
          <w:sz w:val="24"/>
          <w:szCs w:val="24"/>
        </w:rPr>
        <w:t>(1), 45–60.</w:t>
      </w:r>
    </w:p>
    <w:p w14:paraId="225CE339"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Adewuyi, A. O., &amp; Adefolami, T. (2021). </w:t>
      </w:r>
      <w:r w:rsidRPr="00EA38DE">
        <w:rPr>
          <w:rFonts w:ascii="Times New Roman" w:eastAsia="Times New Roman" w:hAnsi="Times New Roman" w:cs="Times New Roman"/>
          <w:iCs/>
          <w:sz w:val="24"/>
          <w:szCs w:val="24"/>
        </w:rPr>
        <w:t>Exchange rate volatility and port throughput in Nigeria: Evidence from ARDL analysis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Economics and Logistics, 23</w:t>
      </w:r>
      <w:r w:rsidRPr="00EA38DE">
        <w:rPr>
          <w:rFonts w:ascii="Times New Roman" w:eastAsia="Times New Roman" w:hAnsi="Times New Roman" w:cs="Times New Roman"/>
          <w:sz w:val="24"/>
          <w:szCs w:val="24"/>
        </w:rPr>
        <w:t>(4), 567–586.</w:t>
      </w:r>
    </w:p>
    <w:p w14:paraId="6085CEC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Adewuyi, A. O., &amp; Adefolami, T. (2021). </w:t>
      </w:r>
      <w:r w:rsidRPr="00EA38DE">
        <w:rPr>
          <w:rFonts w:ascii="Times New Roman" w:eastAsia="Times New Roman" w:hAnsi="Times New Roman" w:cs="Times New Roman"/>
          <w:iCs/>
          <w:sz w:val="24"/>
          <w:szCs w:val="24"/>
        </w:rPr>
        <w:t>Exchange rate volatility and port throughput in Nigeria: Evidence from ARDL analysis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Economics and Logistics, 23</w:t>
      </w:r>
      <w:r w:rsidRPr="00EA38DE">
        <w:rPr>
          <w:rFonts w:ascii="Times New Roman" w:eastAsia="Times New Roman" w:hAnsi="Times New Roman" w:cs="Times New Roman"/>
          <w:sz w:val="24"/>
          <w:szCs w:val="24"/>
        </w:rPr>
        <w:t>(4), 457–472.</w:t>
      </w:r>
    </w:p>
    <w:p w14:paraId="085BB185"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Adewuyi, A. O., &amp; Ogege, S. O. (2019). Exchange rate volatility and trade flows in Nigeria: Implications for port and shipping sector performance. </w:t>
      </w:r>
      <w:r w:rsidRPr="00EA38DE">
        <w:rPr>
          <w:rFonts w:ascii="Times New Roman" w:eastAsiaTheme="majorEastAsia" w:hAnsi="Times New Roman" w:cs="Times New Roman"/>
          <w:i/>
          <w:sz w:val="24"/>
          <w:szCs w:val="24"/>
        </w:rPr>
        <w:t>Journal of African Trade</w:t>
      </w:r>
      <w:r w:rsidRPr="00EA38DE">
        <w:rPr>
          <w:rFonts w:ascii="Times New Roman" w:hAnsi="Times New Roman" w:cs="Times New Roman"/>
          <w:i/>
          <w:sz w:val="24"/>
          <w:szCs w:val="24"/>
        </w:rPr>
        <w:t>, 6</w:t>
      </w:r>
      <w:r w:rsidRPr="00EA38DE">
        <w:rPr>
          <w:rFonts w:ascii="Times New Roman" w:hAnsi="Times New Roman" w:cs="Times New Roman"/>
          <w:sz w:val="24"/>
          <w:szCs w:val="24"/>
        </w:rPr>
        <w:t>(1), 25–40.</w:t>
      </w:r>
    </w:p>
    <w:p w14:paraId="40B5F86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Adewuyi, A. O., &amp; Okodua, H. (2019). </w:t>
      </w:r>
      <w:r w:rsidRPr="00EA38DE">
        <w:rPr>
          <w:rFonts w:ascii="Times New Roman" w:eastAsia="Times New Roman" w:hAnsi="Times New Roman" w:cs="Times New Roman"/>
          <w:iCs/>
          <w:sz w:val="24"/>
          <w:szCs w:val="24"/>
        </w:rPr>
        <w:t>Exchange rate volatility and sectoral export performance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African Trade, 6</w:t>
      </w:r>
      <w:r w:rsidRPr="00EA38DE">
        <w:rPr>
          <w:rFonts w:ascii="Times New Roman" w:eastAsia="Times New Roman" w:hAnsi="Times New Roman" w:cs="Times New Roman"/>
          <w:sz w:val="24"/>
          <w:szCs w:val="24"/>
        </w:rPr>
        <w:t xml:space="preserve">(1), 51–66. </w:t>
      </w:r>
      <w:hyperlink r:id="rId45" w:history="1">
        <w:r w:rsidRPr="00EA38DE">
          <w:rPr>
            <w:rStyle w:val="Hyperlink"/>
            <w:rFonts w:ascii="Times New Roman" w:eastAsia="Times New Roman" w:hAnsi="Times New Roman" w:cs="Times New Roman"/>
            <w:color w:val="auto"/>
            <w:sz w:val="24"/>
            <w:szCs w:val="24"/>
            <w:u w:val="none"/>
          </w:rPr>
          <w:t>https://doi.org/10.2991/jat.k.190528.001</w:t>
        </w:r>
      </w:hyperlink>
    </w:p>
    <w:p w14:paraId="2006A2D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Style w:val="Strong"/>
          <w:rFonts w:ascii="Times New Roman" w:hAnsi="Times New Roman" w:cs="Times New Roman"/>
          <w:b w:val="0"/>
          <w:sz w:val="24"/>
          <w:szCs w:val="24"/>
        </w:rPr>
        <w:t>Adewuyi, A. O., &amp; Olayiwola, K. (2021).</w:t>
      </w:r>
      <w:r w:rsidRPr="00EA38DE">
        <w:rPr>
          <w:rFonts w:ascii="Times New Roman" w:hAnsi="Times New Roman" w:cs="Times New Roman"/>
          <w:sz w:val="24"/>
          <w:szCs w:val="24"/>
        </w:rPr>
        <w:t xml:space="preserve"> Exchange rate volatility and trade flows in Nigeria. </w:t>
      </w:r>
      <w:r w:rsidRPr="00EA38DE">
        <w:rPr>
          <w:rStyle w:val="Emphasis"/>
          <w:rFonts w:ascii="Times New Roman" w:hAnsi="Times New Roman" w:cs="Times New Roman"/>
          <w:sz w:val="24"/>
          <w:szCs w:val="24"/>
        </w:rPr>
        <w:t>Journal of African Trade</w:t>
      </w:r>
      <w:r w:rsidRPr="00EA38DE">
        <w:rPr>
          <w:rFonts w:ascii="Times New Roman" w:hAnsi="Times New Roman" w:cs="Times New Roman"/>
          <w:sz w:val="24"/>
          <w:szCs w:val="24"/>
        </w:rPr>
        <w:t xml:space="preserve">, </w:t>
      </w:r>
      <w:r w:rsidRPr="00EA38DE">
        <w:rPr>
          <w:rStyle w:val="Emphasis"/>
          <w:rFonts w:ascii="Times New Roman" w:hAnsi="Times New Roman" w:cs="Times New Roman"/>
          <w:sz w:val="24"/>
          <w:szCs w:val="24"/>
        </w:rPr>
        <w:t>8</w:t>
      </w:r>
      <w:r w:rsidRPr="00EA38DE">
        <w:rPr>
          <w:rFonts w:ascii="Times New Roman" w:hAnsi="Times New Roman" w:cs="Times New Roman"/>
          <w:sz w:val="24"/>
          <w:szCs w:val="24"/>
        </w:rPr>
        <w:t>(1), 25–40. https://doi.org/10.1016/j.joat.2021.100271</w:t>
      </w:r>
    </w:p>
    <w:p w14:paraId="39A2DB44"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Adewuyi, A. O., &amp; Saibu, M. O. (2017). Macroeconomic policy volatility and industrial growth in Nigeria. </w:t>
      </w:r>
      <w:r w:rsidRPr="00EA38DE">
        <w:rPr>
          <w:rFonts w:ascii="Times New Roman" w:eastAsia="Times New Roman" w:hAnsi="Times New Roman" w:cs="Times New Roman"/>
          <w:i/>
          <w:iCs/>
          <w:sz w:val="24"/>
          <w:szCs w:val="24"/>
        </w:rPr>
        <w:t>African Development Review</w:t>
      </w:r>
      <w:r w:rsidRPr="00EA38DE">
        <w:rPr>
          <w:rFonts w:ascii="Times New Roman" w:eastAsia="Times New Roman" w:hAnsi="Times New Roman" w:cs="Times New Roman"/>
          <w:sz w:val="24"/>
          <w:szCs w:val="24"/>
        </w:rPr>
        <w:t>, 29(2), 153–165.</w:t>
      </w:r>
    </w:p>
    <w:p w14:paraId="37C2978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Adewuyi, A., &amp; Otubu, O. (2021). </w:t>
      </w:r>
      <w:r w:rsidRPr="00EA38DE">
        <w:rPr>
          <w:rFonts w:ascii="Times New Roman" w:eastAsia="Times New Roman" w:hAnsi="Times New Roman" w:cs="Times New Roman"/>
          <w:iCs/>
          <w:sz w:val="24"/>
          <w:szCs w:val="24"/>
        </w:rPr>
        <w:t>Economic impacts of desalination infrastructure on maritime services in</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Marine Infrastructure Journal, 10</w:t>
      </w:r>
      <w:r w:rsidRPr="00EA38DE">
        <w:rPr>
          <w:rFonts w:ascii="Times New Roman" w:eastAsia="Times New Roman" w:hAnsi="Times New Roman" w:cs="Times New Roman"/>
          <w:sz w:val="24"/>
          <w:szCs w:val="24"/>
        </w:rPr>
        <w:t>(16) 200-212.</w:t>
      </w:r>
    </w:p>
    <w:p w14:paraId="3F3B9EA9"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hAnsi="Times New Roman" w:cs="Times New Roman"/>
          <w:sz w:val="24"/>
          <w:szCs w:val="24"/>
        </w:rPr>
        <w:t>Adewuyi, A., Okeke, B., &amp; Nnamdi, C. (2022).</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Cs/>
          <w:sz w:val="24"/>
          <w:szCs w:val="24"/>
        </w:rPr>
        <w:t>Cold chain logistics and shipping sector performance in Nigeria’s fisheries industry</w:t>
      </w:r>
      <w:r w:rsidRPr="00EA38DE">
        <w:rPr>
          <w:rFonts w:ascii="Times New Roman" w:eastAsia="Times New Roman" w:hAnsi="Times New Roman" w:cs="Times New Roman"/>
          <w:sz w:val="24"/>
          <w:szCs w:val="24"/>
        </w:rPr>
        <w:t>.</w:t>
      </w:r>
      <w:r w:rsidRPr="00EA38DE">
        <w:rPr>
          <w:rFonts w:ascii="Times New Roman" w:eastAsia="Times New Roman" w:hAnsi="Times New Roman" w:cs="Times New Roman"/>
          <w:i/>
          <w:sz w:val="24"/>
          <w:szCs w:val="24"/>
        </w:rPr>
        <w:t xml:space="preserve"> Journal of Fisheries Economics and Policy,</w:t>
      </w:r>
      <w:r w:rsidRPr="00EA38DE">
        <w:rPr>
          <w:rStyle w:val="Heading3Char"/>
          <w:rFonts w:eastAsiaTheme="majorEastAsia"/>
          <w:i/>
          <w:sz w:val="24"/>
          <w:szCs w:val="24"/>
        </w:rPr>
        <w:t xml:space="preserve"> </w:t>
      </w:r>
      <w:r w:rsidRPr="00EA38DE">
        <w:rPr>
          <w:rStyle w:val="Emphasis"/>
          <w:rFonts w:ascii="Times New Roman" w:hAnsi="Times New Roman" w:cs="Times New Roman"/>
          <w:sz w:val="24"/>
          <w:szCs w:val="24"/>
        </w:rPr>
        <w:t>11</w:t>
      </w:r>
      <w:r w:rsidRPr="00EA38DE">
        <w:rPr>
          <w:rFonts w:ascii="Times New Roman" w:hAnsi="Times New Roman" w:cs="Times New Roman"/>
          <w:sz w:val="24"/>
          <w:szCs w:val="24"/>
        </w:rPr>
        <w:t>(3), 120–135.</w:t>
      </w:r>
    </w:p>
    <w:p w14:paraId="6D428EF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Adewuyi, M., &amp; Otubu, A. (2021). </w:t>
      </w:r>
      <w:r w:rsidRPr="00EA38DE">
        <w:rPr>
          <w:rFonts w:ascii="Times New Roman" w:eastAsia="Times New Roman" w:hAnsi="Times New Roman" w:cs="Times New Roman"/>
          <w:iCs/>
          <w:sz w:val="24"/>
          <w:szCs w:val="24"/>
        </w:rPr>
        <w:t>Economic implications of desalination infrastructure on</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maritime</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logistics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Infrastructure Economics, 18</w:t>
      </w:r>
      <w:r w:rsidRPr="00EA38DE">
        <w:rPr>
          <w:rFonts w:ascii="Times New Roman" w:eastAsia="Times New Roman" w:hAnsi="Times New Roman" w:cs="Times New Roman"/>
          <w:sz w:val="24"/>
          <w:szCs w:val="24"/>
        </w:rPr>
        <w:t>(5),180-196</w:t>
      </w:r>
    </w:p>
    <w:p w14:paraId="2D735DD7"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Adeyemi, K.</w:t>
      </w:r>
      <w:r w:rsidRPr="00EA38DE">
        <w:rPr>
          <w:rFonts w:ascii="Times New Roman" w:eastAsia="Times New Roman" w:hAnsi="Times New Roman" w:cs="Times New Roman"/>
          <w:sz w:val="24"/>
          <w:szCs w:val="24"/>
        </w:rPr>
        <w:t xml:space="preserve"> (2024). </w:t>
      </w:r>
      <w:r w:rsidRPr="00EA38DE">
        <w:rPr>
          <w:rFonts w:ascii="Times New Roman" w:eastAsia="Times New Roman" w:hAnsi="Times New Roman" w:cs="Times New Roman"/>
          <w:iCs/>
          <w:sz w:val="24"/>
          <w:szCs w:val="24"/>
        </w:rPr>
        <w:t>Structural adjustments’ complex legacy in sub-saharan Africa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bCs/>
          <w:i/>
          <w:iCs/>
          <w:sz w:val="24"/>
          <w:szCs w:val="24"/>
        </w:rPr>
        <w:t>Michigan Journal of Economics</w:t>
      </w:r>
      <w:r w:rsidRPr="00EA38DE">
        <w:rPr>
          <w:rFonts w:ascii="Times New Roman" w:eastAsia="Times New Roman" w:hAnsi="Times New Roman" w:cs="Times New Roman"/>
          <w:sz w:val="24"/>
          <w:szCs w:val="24"/>
        </w:rPr>
        <w:t xml:space="preserve">. </w:t>
      </w:r>
      <w:hyperlink r:id="rId46" w:history="1">
        <w:r w:rsidRPr="00EA38DE">
          <w:rPr>
            <w:rFonts w:ascii="Times New Roman" w:eastAsia="Times New Roman" w:hAnsi="Times New Roman" w:cs="Times New Roman"/>
            <w:iCs/>
            <w:sz w:val="24"/>
            <w:szCs w:val="24"/>
          </w:rPr>
          <w:t>https://sites.lsa.umich.edu/mje/2024/04/29/structural-adjustments-complex-legacy-in-sub-saharan-africa/</w:t>
        </w:r>
      </w:hyperlink>
    </w:p>
    <w:p w14:paraId="3DE3DF4A"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Adeyemo, A., Okafor, E., &amp; Obinna, C. (2020). Exchange rate volatility and financial performance of firms in the transport and logistics sector in Nigeria. </w:t>
      </w:r>
      <w:r w:rsidRPr="00EA38DE">
        <w:rPr>
          <w:rFonts w:ascii="Times New Roman" w:eastAsiaTheme="majorEastAsia" w:hAnsi="Times New Roman" w:cs="Times New Roman"/>
          <w:i/>
          <w:iCs/>
          <w:sz w:val="24"/>
          <w:szCs w:val="24"/>
        </w:rPr>
        <w:t>Journal of Transport Economics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13</w:t>
      </w:r>
      <w:r w:rsidRPr="00EA38DE">
        <w:rPr>
          <w:rFonts w:ascii="Times New Roman" w:hAnsi="Times New Roman" w:cs="Times New Roman"/>
          <w:sz w:val="24"/>
          <w:szCs w:val="24"/>
        </w:rPr>
        <w:t>(2), 58-73.</w:t>
      </w:r>
    </w:p>
    <w:p w14:paraId="69FA001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African Union Commission. (2020). </w:t>
      </w:r>
      <w:r w:rsidRPr="00EA38DE">
        <w:rPr>
          <w:rFonts w:ascii="Times New Roman" w:eastAsia="Times New Roman" w:hAnsi="Times New Roman" w:cs="Times New Roman"/>
          <w:i/>
          <w:iCs/>
          <w:sz w:val="24"/>
          <w:szCs w:val="24"/>
        </w:rPr>
        <w:t>African blue economy strategy</w:t>
      </w:r>
      <w:r w:rsidRPr="00EA38DE">
        <w:rPr>
          <w:rFonts w:ascii="Times New Roman" w:eastAsia="Times New Roman" w:hAnsi="Times New Roman" w:cs="Times New Roman"/>
          <w:sz w:val="24"/>
          <w:szCs w:val="24"/>
        </w:rPr>
        <w:t>. Addis Ababa: African Union.</w:t>
      </w:r>
    </w:p>
    <w:p w14:paraId="36E21C8A"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African Union. (2020). </w:t>
      </w:r>
      <w:r w:rsidRPr="00EA38DE">
        <w:rPr>
          <w:rStyle w:val="Emphasis"/>
          <w:rFonts w:ascii="Times New Roman" w:hAnsi="Times New Roman" w:cs="Times New Roman"/>
          <w:sz w:val="24"/>
          <w:szCs w:val="24"/>
        </w:rPr>
        <w:t>Africa’s blue economy strategy</w:t>
      </w:r>
      <w:r w:rsidRPr="00EA38DE">
        <w:rPr>
          <w:rFonts w:ascii="Times New Roman" w:hAnsi="Times New Roman" w:cs="Times New Roman"/>
          <w:sz w:val="24"/>
          <w:szCs w:val="24"/>
        </w:rPr>
        <w:t xml:space="preserve">. </w:t>
      </w:r>
      <w:hyperlink r:id="rId47" w:history="1">
        <w:r w:rsidRPr="00EA38DE">
          <w:rPr>
            <w:rStyle w:val="Hyperlink"/>
            <w:rFonts w:ascii="Times New Roman" w:hAnsi="Times New Roman" w:cs="Times New Roman"/>
            <w:color w:val="auto"/>
            <w:sz w:val="24"/>
            <w:szCs w:val="24"/>
            <w:u w:val="none"/>
          </w:rPr>
          <w:t>https://au.int</w:t>
        </w:r>
      </w:hyperlink>
    </w:p>
    <w:p w14:paraId="1B6DBE1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Ahmad, M., &amp; Wazir, R. (2017). Exchange rate volatility and financial performance of shipping companies in Pakistan. </w:t>
      </w:r>
      <w:r w:rsidRPr="00EA38DE">
        <w:rPr>
          <w:rFonts w:ascii="Times New Roman" w:eastAsia="Times New Roman" w:hAnsi="Times New Roman" w:cs="Times New Roman"/>
          <w:i/>
          <w:iCs/>
          <w:sz w:val="24"/>
          <w:szCs w:val="24"/>
        </w:rPr>
        <w:t>Journal of Business and Management, 19</w:t>
      </w:r>
      <w:r w:rsidRPr="00EA38DE">
        <w:rPr>
          <w:rFonts w:ascii="Times New Roman" w:eastAsia="Times New Roman" w:hAnsi="Times New Roman" w:cs="Times New Roman"/>
          <w:sz w:val="24"/>
          <w:szCs w:val="24"/>
        </w:rPr>
        <w:t>(6), 1–10.</w:t>
      </w:r>
    </w:p>
    <w:p w14:paraId="5C2237AB"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Ajayi, L. B., &amp; Olayiwola, W. K. (2021). </w:t>
      </w:r>
      <w:r w:rsidRPr="00EA38DE">
        <w:rPr>
          <w:rFonts w:ascii="Times New Roman" w:eastAsiaTheme="majorEastAsia" w:hAnsi="Times New Roman" w:cs="Times New Roman"/>
          <w:sz w:val="24"/>
          <w:szCs w:val="24"/>
        </w:rPr>
        <w:t>Impact of exchange rate volatility on investment decisions in Nigeria's maritime sector</w:t>
      </w:r>
      <w:r w:rsidRPr="00EA38DE">
        <w:rPr>
          <w:rFonts w:ascii="Times New Roman" w:hAnsi="Times New Roman" w:cs="Times New Roman"/>
          <w:sz w:val="24"/>
          <w:szCs w:val="24"/>
        </w:rPr>
        <w:t xml:space="preserve">. </w:t>
      </w:r>
      <w:r w:rsidRPr="00EA38DE">
        <w:rPr>
          <w:rFonts w:ascii="Times New Roman" w:hAnsi="Times New Roman" w:cs="Times New Roman"/>
          <w:i/>
          <w:iCs/>
          <w:sz w:val="24"/>
          <w:szCs w:val="24"/>
        </w:rPr>
        <w:t>Maritime Policy &amp; Management</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48</w:t>
      </w:r>
      <w:r w:rsidRPr="00EA38DE">
        <w:rPr>
          <w:rFonts w:ascii="Times New Roman" w:hAnsi="Times New Roman" w:cs="Times New Roman"/>
          <w:sz w:val="24"/>
          <w:szCs w:val="24"/>
        </w:rPr>
        <w:t>(7), 905–922.</w:t>
      </w:r>
    </w:p>
    <w:p w14:paraId="27BE879E" w14:textId="77777777" w:rsidR="007539AC" w:rsidRPr="00EA38DE" w:rsidRDefault="007539AC" w:rsidP="007539AC">
      <w:pPr>
        <w:pStyle w:val="NormalWeb"/>
        <w:spacing w:before="0" w:beforeAutospacing="0" w:after="240" w:afterAutospacing="0"/>
        <w:ind w:left="720" w:hanging="720"/>
        <w:jc w:val="both"/>
      </w:pPr>
      <w:r w:rsidRPr="00EA38DE">
        <w:t xml:space="preserve">Ajayi, O. R., &amp; Olayiwola, S. O. (2021). Trade liberalization, macroeconomic instability, and performance of transport and logistics firms in Nigeria. </w:t>
      </w:r>
      <w:r w:rsidRPr="00EA38DE">
        <w:rPr>
          <w:rStyle w:val="Emphasis"/>
          <w:rFonts w:eastAsiaTheme="majorEastAsia"/>
        </w:rPr>
        <w:t>Nigerian Journal of Economics and Social Studies, 63</w:t>
      </w:r>
      <w:r w:rsidRPr="00EA38DE">
        <w:t>(1), 23–42.</w:t>
      </w:r>
    </w:p>
    <w:p w14:paraId="536592D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Akanbi, M., &amp; Adetunji, O. (2021). Challenges and prospects of Nigeria’s blue economy development. </w:t>
      </w:r>
      <w:r w:rsidRPr="00EA38DE">
        <w:rPr>
          <w:rFonts w:ascii="Times New Roman" w:eastAsia="Times New Roman" w:hAnsi="Times New Roman" w:cs="Times New Roman"/>
          <w:i/>
          <w:iCs/>
          <w:sz w:val="24"/>
          <w:szCs w:val="24"/>
        </w:rPr>
        <w:t>International Journal of Maritime Affairs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9</w:t>
      </w:r>
      <w:r w:rsidRPr="00EA38DE">
        <w:rPr>
          <w:rFonts w:ascii="Times New Roman" w:eastAsia="Times New Roman" w:hAnsi="Times New Roman" w:cs="Times New Roman"/>
          <w:sz w:val="24"/>
          <w:szCs w:val="24"/>
        </w:rPr>
        <w:t>(1), 45–60.</w:t>
      </w:r>
    </w:p>
    <w:p w14:paraId="7ABEFEC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Akanbi, M., &amp; Adetunji, O. (2021). Challenges and prospects of Nigeria’s blue economy development. </w:t>
      </w:r>
      <w:r w:rsidRPr="00EA38DE">
        <w:rPr>
          <w:rFonts w:ascii="Times New Roman" w:eastAsia="Times New Roman" w:hAnsi="Times New Roman" w:cs="Times New Roman"/>
          <w:i/>
          <w:iCs/>
          <w:sz w:val="24"/>
          <w:szCs w:val="24"/>
        </w:rPr>
        <w:t>International Journal of Maritime Affairs</w:t>
      </w:r>
      <w:r w:rsidRPr="00EA38DE">
        <w:rPr>
          <w:rFonts w:ascii="Times New Roman" w:eastAsia="Times New Roman" w:hAnsi="Times New Roman" w:cs="Times New Roman"/>
          <w:sz w:val="24"/>
          <w:szCs w:val="24"/>
        </w:rPr>
        <w:t xml:space="preserve">, </w:t>
      </w:r>
      <w:r w:rsidRPr="00EA38DE">
        <w:rPr>
          <w:rStyle w:val="Emphasis"/>
          <w:rFonts w:ascii="Times New Roman" w:hAnsi="Times New Roman" w:cs="Times New Roman"/>
          <w:sz w:val="24"/>
          <w:szCs w:val="24"/>
        </w:rPr>
        <w:t>10</w:t>
      </w:r>
      <w:r w:rsidRPr="00EA38DE">
        <w:rPr>
          <w:rFonts w:ascii="Times New Roman" w:hAnsi="Times New Roman" w:cs="Times New Roman"/>
          <w:sz w:val="24"/>
          <w:szCs w:val="24"/>
        </w:rPr>
        <w:t>(2), 85–102.</w:t>
      </w:r>
    </w:p>
    <w:p w14:paraId="0C41B6E6"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Akinbobola, T. O., &amp; Saibu, M. O. (2018). Exchange rate volatility and sectoral output performance in Nigeria. </w:t>
      </w:r>
      <w:r w:rsidRPr="00EA38DE">
        <w:rPr>
          <w:rFonts w:ascii="Times New Roman" w:eastAsiaTheme="majorEastAsia" w:hAnsi="Times New Roman" w:cs="Times New Roman"/>
          <w:i/>
          <w:iCs/>
          <w:sz w:val="24"/>
          <w:szCs w:val="24"/>
        </w:rPr>
        <w:t>Journal of Economics and Finance</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9</w:t>
      </w:r>
      <w:r w:rsidRPr="00EA38DE">
        <w:rPr>
          <w:rFonts w:ascii="Times New Roman" w:hAnsi="Times New Roman" w:cs="Times New Roman"/>
          <w:sz w:val="24"/>
          <w:szCs w:val="24"/>
        </w:rPr>
        <w:t>(1), 34–47.</w:t>
      </w:r>
    </w:p>
    <w:p w14:paraId="5012407D"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Akinlo, A. E., &amp; Adejumo, A. O. (2018). Exchange rate volatility and non-oil exports in Nigeria. </w:t>
      </w:r>
      <w:r w:rsidRPr="00EA38DE">
        <w:rPr>
          <w:rFonts w:ascii="Times New Roman" w:eastAsia="Times New Roman" w:hAnsi="Times New Roman" w:cs="Times New Roman"/>
          <w:i/>
          <w:iCs/>
          <w:sz w:val="24"/>
          <w:szCs w:val="24"/>
        </w:rPr>
        <w:t>African Development Review, 30</w:t>
      </w:r>
      <w:r w:rsidRPr="00EA38DE">
        <w:rPr>
          <w:rFonts w:ascii="Times New Roman" w:eastAsia="Times New Roman" w:hAnsi="Times New Roman" w:cs="Times New Roman"/>
          <w:sz w:val="24"/>
          <w:szCs w:val="24"/>
        </w:rPr>
        <w:t>(1), 1–14.</w:t>
      </w:r>
    </w:p>
    <w:p w14:paraId="6740D852" w14:textId="77777777" w:rsidR="007539AC" w:rsidRPr="00EA38DE" w:rsidRDefault="007539AC" w:rsidP="007539AC">
      <w:pPr>
        <w:spacing w:after="200" w:line="240" w:lineRule="auto"/>
        <w:ind w:left="720" w:hanging="720"/>
        <w:jc w:val="both"/>
        <w:outlineLvl w:val="2"/>
        <w:rPr>
          <w:rFonts w:ascii="Times New Roman" w:eastAsia="Times New Roman" w:hAnsi="Times New Roman" w:cs="Times New Roman"/>
          <w:b/>
          <w:bCs/>
          <w:sz w:val="24"/>
          <w:szCs w:val="24"/>
        </w:rPr>
      </w:pPr>
      <w:r w:rsidRPr="00EA38DE">
        <w:rPr>
          <w:rFonts w:ascii="Times New Roman" w:hAnsi="Times New Roman" w:cs="Times New Roman"/>
          <w:sz w:val="24"/>
          <w:szCs w:val="24"/>
        </w:rPr>
        <w:lastRenderedPageBreak/>
        <w:t xml:space="preserve">Akinola, O., &amp; Adewumi, T. (2021). Human capital development and maritime industry growth in Nigeria. </w:t>
      </w:r>
      <w:r w:rsidRPr="00EA38DE">
        <w:rPr>
          <w:rStyle w:val="Emphasis"/>
          <w:rFonts w:ascii="Times New Roman" w:hAnsi="Times New Roman" w:cs="Times New Roman"/>
          <w:sz w:val="24"/>
          <w:szCs w:val="24"/>
        </w:rPr>
        <w:t>African Journal of Maritime Research and Development, 13</w:t>
      </w:r>
      <w:r w:rsidRPr="00EA38DE">
        <w:rPr>
          <w:rFonts w:ascii="Times New Roman" w:hAnsi="Times New Roman" w:cs="Times New Roman"/>
          <w:sz w:val="24"/>
          <w:szCs w:val="24"/>
        </w:rPr>
        <w:t>(2), 76–92.</w:t>
      </w:r>
    </w:p>
    <w:p w14:paraId="3DB7A49F" w14:textId="77777777" w:rsidR="007539AC" w:rsidRPr="00EA38DE" w:rsidRDefault="007539AC" w:rsidP="007539AC">
      <w:pPr>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Akinyemi, F. O. (2022). Blue economy and sustainable development: Lessons for Nigeria. </w:t>
      </w:r>
      <w:r w:rsidRPr="00EA38DE">
        <w:rPr>
          <w:rFonts w:ascii="Times New Roman" w:eastAsiaTheme="majorEastAsia" w:hAnsi="Times New Roman" w:cs="Times New Roman"/>
          <w:i/>
          <w:iCs/>
          <w:sz w:val="24"/>
          <w:szCs w:val="24"/>
        </w:rPr>
        <w:t>Journal of Maritime Research and Policy</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8</w:t>
      </w:r>
      <w:r w:rsidRPr="00EA38DE">
        <w:rPr>
          <w:rFonts w:ascii="Times New Roman" w:hAnsi="Times New Roman" w:cs="Times New Roman"/>
          <w:sz w:val="24"/>
          <w:szCs w:val="24"/>
        </w:rPr>
        <w:t>(2), 45–58.</w:t>
      </w:r>
    </w:p>
    <w:p w14:paraId="493331A4" w14:textId="77777777" w:rsidR="007539AC" w:rsidRPr="00EA38DE" w:rsidRDefault="007539AC" w:rsidP="007539AC">
      <w:pPr>
        <w:spacing w:after="20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Akinyemi, O. (2016). Port infrastructure and performance in Nigeria: A study of Apapa Port. </w:t>
      </w:r>
      <w:r w:rsidRPr="00EA38DE">
        <w:rPr>
          <w:rFonts w:ascii="Times New Roman" w:eastAsia="Times New Roman" w:hAnsi="Times New Roman" w:cs="Times New Roman"/>
          <w:i/>
          <w:iCs/>
          <w:sz w:val="24"/>
          <w:szCs w:val="24"/>
        </w:rPr>
        <w:t>Journal of Maritime Transport and Logistics</w:t>
      </w:r>
      <w:r w:rsidRPr="00EA38DE">
        <w:rPr>
          <w:rFonts w:ascii="Times New Roman" w:eastAsia="Times New Roman" w:hAnsi="Times New Roman" w:cs="Times New Roman"/>
          <w:sz w:val="24"/>
          <w:szCs w:val="24"/>
        </w:rPr>
        <w:t>,</w:t>
      </w:r>
      <w:r w:rsidRPr="00EA38DE">
        <w:rPr>
          <w:rFonts w:ascii="Times New Roman" w:eastAsia="Times New Roman" w:hAnsi="Times New Roman" w:cs="Times New Roman"/>
          <w:i/>
          <w:sz w:val="24"/>
          <w:szCs w:val="24"/>
        </w:rPr>
        <w:t xml:space="preserve"> 3</w:t>
      </w:r>
      <w:r w:rsidRPr="00EA38DE">
        <w:rPr>
          <w:rFonts w:ascii="Times New Roman" w:eastAsia="Times New Roman" w:hAnsi="Times New Roman" w:cs="Times New Roman"/>
          <w:sz w:val="24"/>
          <w:szCs w:val="24"/>
        </w:rPr>
        <w:t>(1), 15–28.</w:t>
      </w:r>
    </w:p>
    <w:p w14:paraId="4C043E2A" w14:textId="77777777" w:rsidR="007539AC" w:rsidRPr="00EA38DE" w:rsidRDefault="007539AC" w:rsidP="007539AC">
      <w:pPr>
        <w:spacing w:after="200" w:line="240" w:lineRule="auto"/>
        <w:ind w:left="720" w:hanging="720"/>
        <w:jc w:val="both"/>
        <w:rPr>
          <w:rFonts w:ascii="Times New Roman" w:hAnsi="Times New Roman" w:cs="Times New Roman"/>
          <w:sz w:val="24"/>
          <w:szCs w:val="24"/>
        </w:rPr>
      </w:pPr>
      <w:r w:rsidRPr="00EA38DE">
        <w:rPr>
          <w:rStyle w:val="Strong"/>
          <w:rFonts w:ascii="Times New Roman" w:hAnsi="Times New Roman" w:cs="Times New Roman"/>
          <w:b w:val="0"/>
          <w:sz w:val="24"/>
          <w:szCs w:val="24"/>
        </w:rPr>
        <w:t>Alam, S., Ahmed, S., &amp; Shahbaz, M. (2017).</w:t>
      </w:r>
      <w:r w:rsidRPr="00EA38DE">
        <w:rPr>
          <w:rFonts w:ascii="Times New Roman" w:hAnsi="Times New Roman" w:cs="Times New Roman"/>
          <w:sz w:val="24"/>
          <w:szCs w:val="24"/>
        </w:rPr>
        <w:t xml:space="preserve"> Exchange rate volatility and sectoral exports: Evidence from Pakistan. </w:t>
      </w:r>
      <w:r w:rsidRPr="00EA38DE">
        <w:rPr>
          <w:rStyle w:val="Emphasis"/>
          <w:rFonts w:ascii="Times New Roman" w:hAnsi="Times New Roman" w:cs="Times New Roman"/>
          <w:sz w:val="24"/>
          <w:szCs w:val="24"/>
        </w:rPr>
        <w:t>Economic Modelling</w:t>
      </w:r>
      <w:r w:rsidRPr="00EA38DE">
        <w:rPr>
          <w:rFonts w:ascii="Times New Roman" w:hAnsi="Times New Roman" w:cs="Times New Roman"/>
          <w:sz w:val="24"/>
          <w:szCs w:val="24"/>
        </w:rPr>
        <w:t xml:space="preserve">, </w:t>
      </w:r>
      <w:r w:rsidRPr="00EA38DE">
        <w:rPr>
          <w:rStyle w:val="Emphasis"/>
          <w:rFonts w:ascii="Times New Roman" w:hAnsi="Times New Roman" w:cs="Times New Roman"/>
          <w:sz w:val="24"/>
          <w:szCs w:val="24"/>
        </w:rPr>
        <w:t>67</w:t>
      </w:r>
      <w:r w:rsidRPr="00EA38DE">
        <w:rPr>
          <w:rFonts w:ascii="Times New Roman" w:hAnsi="Times New Roman" w:cs="Times New Roman"/>
          <w:sz w:val="24"/>
          <w:szCs w:val="24"/>
        </w:rPr>
        <w:t>, 322–330. https://doi.org/10.1016/j.econmod.2017.05.020</w:t>
      </w:r>
    </w:p>
    <w:p w14:paraId="59D1A613"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Ali, S. (2020). Exchange rate fluctuations and manufacturing performance in Nigeria. </w:t>
      </w:r>
      <w:r w:rsidRPr="00EA38DE">
        <w:rPr>
          <w:rFonts w:ascii="Times New Roman" w:eastAsiaTheme="majorEastAsia" w:hAnsi="Times New Roman" w:cs="Times New Roman"/>
          <w:i/>
          <w:iCs/>
          <w:sz w:val="24"/>
          <w:szCs w:val="24"/>
        </w:rPr>
        <w:t>Nigerian Economic Review,</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8</w:t>
      </w:r>
      <w:r w:rsidRPr="00EA38DE">
        <w:rPr>
          <w:rFonts w:ascii="Times New Roman" w:hAnsi="Times New Roman" w:cs="Times New Roman"/>
          <w:sz w:val="24"/>
          <w:szCs w:val="24"/>
        </w:rPr>
        <w:t>(1), 45-63.</w:t>
      </w:r>
    </w:p>
    <w:p w14:paraId="5ADD186B"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Aliyu, A. (2021). The impact of exchange rate fluctuations on Nigeria's shipping industry. </w:t>
      </w:r>
      <w:r w:rsidRPr="00EA38DE">
        <w:rPr>
          <w:rFonts w:ascii="Times New Roman" w:eastAsiaTheme="majorEastAsia" w:hAnsi="Times New Roman" w:cs="Times New Roman"/>
          <w:i/>
          <w:iCs/>
          <w:sz w:val="24"/>
          <w:szCs w:val="24"/>
        </w:rPr>
        <w:t>Journal of Economics and Sustainable Development</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12</w:t>
      </w:r>
      <w:r w:rsidRPr="00EA38DE">
        <w:rPr>
          <w:rFonts w:ascii="Times New Roman" w:hAnsi="Times New Roman" w:cs="Times New Roman"/>
          <w:sz w:val="24"/>
          <w:szCs w:val="24"/>
        </w:rPr>
        <w:t>(3), 45-58.</w:t>
      </w:r>
    </w:p>
    <w:p w14:paraId="6EFEA1D3"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Allen, D. E., &amp; McAleer, M. (2020). Port authorities and local port data: A review of governance, performance, and transparency. </w:t>
      </w:r>
      <w:r w:rsidRPr="00EA38DE">
        <w:rPr>
          <w:rFonts w:ascii="Times New Roman" w:eastAsiaTheme="majorEastAsia" w:hAnsi="Times New Roman" w:cs="Times New Roman"/>
          <w:i/>
          <w:sz w:val="24"/>
          <w:szCs w:val="24"/>
        </w:rPr>
        <w:t>Maritime Economics &amp; Logistics</w:t>
      </w:r>
      <w:r w:rsidRPr="00EA38DE">
        <w:rPr>
          <w:rFonts w:ascii="Times New Roman" w:hAnsi="Times New Roman" w:cs="Times New Roman"/>
          <w:i/>
          <w:sz w:val="24"/>
          <w:szCs w:val="24"/>
        </w:rPr>
        <w:t>, 22</w:t>
      </w:r>
      <w:r w:rsidRPr="00EA38DE">
        <w:rPr>
          <w:rFonts w:ascii="Times New Roman" w:hAnsi="Times New Roman" w:cs="Times New Roman"/>
          <w:sz w:val="24"/>
          <w:szCs w:val="24"/>
        </w:rPr>
        <w:t xml:space="preserve">(3), 345–367. </w:t>
      </w:r>
      <w:hyperlink r:id="rId48" w:history="1">
        <w:r w:rsidRPr="00EA38DE">
          <w:rPr>
            <w:rFonts w:ascii="Times New Roman" w:hAnsi="Times New Roman" w:cs="Times New Roman"/>
            <w:iCs/>
            <w:sz w:val="24"/>
            <w:szCs w:val="24"/>
          </w:rPr>
          <w:t>https://doi.org/10.1057/s41278-020-00145-7</w:t>
        </w:r>
      </w:hyperlink>
    </w:p>
    <w:p w14:paraId="39931D81" w14:textId="77777777" w:rsidR="007539AC" w:rsidRPr="00EA38DE" w:rsidRDefault="007539AC" w:rsidP="007539AC">
      <w:pPr>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Aniebonam, M. C., &amp; Ekpo, S. I. (2021). Blue economy development and port efficiency in Nigeria. </w:t>
      </w:r>
      <w:r w:rsidRPr="00EA38DE">
        <w:rPr>
          <w:rFonts w:ascii="Times New Roman" w:eastAsiaTheme="majorEastAsia" w:hAnsi="Times New Roman" w:cs="Times New Roman"/>
          <w:i/>
          <w:iCs/>
          <w:sz w:val="24"/>
          <w:szCs w:val="24"/>
        </w:rPr>
        <w:t>Journal of Maritime Economics</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3</w:t>
      </w:r>
      <w:r w:rsidRPr="00EA38DE">
        <w:rPr>
          <w:rFonts w:ascii="Times New Roman" w:hAnsi="Times New Roman" w:cs="Times New Roman"/>
          <w:sz w:val="24"/>
          <w:szCs w:val="24"/>
        </w:rPr>
        <w:t>(2), 110–127.</w:t>
      </w:r>
    </w:p>
    <w:p w14:paraId="5BDFAF75"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Aponjolosun, F. O. (2018). Effects of foreign exchange rate fluctuations on port terminal operators in Nigeria. </w:t>
      </w:r>
      <w:r w:rsidRPr="00EA38DE">
        <w:rPr>
          <w:rFonts w:ascii="Times New Roman" w:eastAsia="Times New Roman" w:hAnsi="Times New Roman" w:cs="Times New Roman"/>
          <w:i/>
          <w:iCs/>
          <w:sz w:val="24"/>
          <w:szCs w:val="24"/>
        </w:rPr>
        <w:t>International Journal of Research in Business and Social Science, 7</w:t>
      </w:r>
      <w:r w:rsidRPr="00EA38DE">
        <w:rPr>
          <w:rFonts w:ascii="Times New Roman" w:eastAsia="Times New Roman" w:hAnsi="Times New Roman" w:cs="Times New Roman"/>
          <w:sz w:val="24"/>
          <w:szCs w:val="24"/>
        </w:rPr>
        <w:t>(3), 1–12.</w:t>
      </w:r>
    </w:p>
    <w:p w14:paraId="2F5B144A" w14:textId="77777777" w:rsidR="007539AC" w:rsidRPr="00EA38DE" w:rsidRDefault="007539AC" w:rsidP="007539AC">
      <w:pPr>
        <w:pStyle w:val="NormalWeb"/>
        <w:spacing w:before="0" w:beforeAutospacing="0" w:after="200" w:afterAutospacing="0"/>
        <w:ind w:left="720" w:hanging="720"/>
        <w:jc w:val="both"/>
      </w:pPr>
      <w:r w:rsidRPr="00EA38DE">
        <w:t xml:space="preserve">Arowolo, S., Adeyemi, K., &amp; Musa, H. (2022). Exchange Rate Volatility and the Cost of Maritime Operations in Nigeria. </w:t>
      </w:r>
      <w:r w:rsidRPr="00EA38DE">
        <w:rPr>
          <w:rStyle w:val="Emphasis"/>
          <w:rFonts w:eastAsiaTheme="majorEastAsia"/>
        </w:rPr>
        <w:t>West African Journal of Transport and Logistics</w:t>
      </w:r>
      <w:r w:rsidRPr="00EA38DE">
        <w:t>, 14(3), 101–119.</w:t>
      </w:r>
    </w:p>
    <w:p w14:paraId="54262D3A"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Asaleye, A., Adeoye, O., &amp; Abiodun, T. (2021). The effect of exchange rate on manufacturing performance in Nigeria. </w:t>
      </w:r>
      <w:r w:rsidRPr="00EA38DE">
        <w:rPr>
          <w:rFonts w:ascii="Times New Roman" w:eastAsiaTheme="majorEastAsia" w:hAnsi="Times New Roman" w:cs="Times New Roman"/>
          <w:i/>
          <w:iCs/>
          <w:sz w:val="24"/>
          <w:szCs w:val="24"/>
        </w:rPr>
        <w:t>African Journal of Economic and Policy Studies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6</w:t>
      </w:r>
      <w:r w:rsidRPr="00EA38DE">
        <w:rPr>
          <w:rFonts w:ascii="Times New Roman" w:hAnsi="Times New Roman" w:cs="Times New Roman"/>
          <w:sz w:val="24"/>
          <w:szCs w:val="24"/>
        </w:rPr>
        <w:t>(3), 72-85.</w:t>
      </w:r>
    </w:p>
    <w:p w14:paraId="57A1FBCF"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Asher, M. G. (2012). Exchange rate regimes and economic performance: A review of the literature. </w:t>
      </w:r>
      <w:r w:rsidRPr="00EA38DE">
        <w:rPr>
          <w:rFonts w:ascii="Times New Roman" w:eastAsiaTheme="majorEastAsia" w:hAnsi="Times New Roman" w:cs="Times New Roman"/>
          <w:i/>
          <w:sz w:val="24"/>
          <w:szCs w:val="24"/>
        </w:rPr>
        <w:t>Asian Economic Policy Review, 7</w:t>
      </w:r>
      <w:r w:rsidRPr="00EA38DE">
        <w:rPr>
          <w:rFonts w:ascii="Times New Roman" w:hAnsi="Times New Roman" w:cs="Times New Roman"/>
          <w:sz w:val="24"/>
          <w:szCs w:val="24"/>
        </w:rPr>
        <w:t>(1), 1-17.</w:t>
      </w:r>
    </w:p>
    <w:p w14:paraId="7C462A0F"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Asteriou, D., &amp; Hall, S.G. (2021). </w:t>
      </w:r>
      <w:r w:rsidRPr="00EA38DE">
        <w:rPr>
          <w:rFonts w:ascii="Times New Roman" w:hAnsi="Times New Roman" w:cs="Times New Roman"/>
          <w:i/>
          <w:sz w:val="24"/>
          <w:szCs w:val="24"/>
        </w:rPr>
        <w:t>Applied econometrics</w:t>
      </w:r>
      <w:r w:rsidRPr="00EA38DE">
        <w:rPr>
          <w:rFonts w:ascii="Times New Roman" w:hAnsi="Times New Roman" w:cs="Times New Roman"/>
          <w:sz w:val="24"/>
          <w:szCs w:val="24"/>
        </w:rPr>
        <w:t>, *4th ed.). Red Globe Press</w:t>
      </w:r>
    </w:p>
    <w:p w14:paraId="2AC876F0"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Ayeni, T. T. (2023). The Nigerian blue economy: Economic expansion, issues, and challenges. ResearchGate.</w:t>
      </w:r>
      <w:hyperlink r:id="rId49" w:tgtFrame="_new" w:history="1">
        <w:r w:rsidRPr="00EA38DE">
          <w:rPr>
            <w:rFonts w:ascii="Times New Roman" w:eastAsia="Times New Roman" w:hAnsi="Times New Roman" w:cs="Times New Roman"/>
            <w:sz w:val="24"/>
            <w:szCs w:val="24"/>
          </w:rPr>
          <w:t>https://www.researchgate.net/publication/367395797_THE_NIGERIAN_BLUE_ECONOMY_ECONOMIC_EXPANSION_ISSUES_AND_CHALLENGES</w:t>
        </w:r>
      </w:hyperlink>
    </w:p>
    <w:p w14:paraId="6787A7D5"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Ayobami, J. (2019). Exchange rate fluctuations and manufacturing performance in Nigeria: An empirical analysis. </w:t>
      </w:r>
      <w:r w:rsidRPr="00EA38DE">
        <w:rPr>
          <w:rFonts w:ascii="Times New Roman" w:eastAsiaTheme="majorEastAsia" w:hAnsi="Times New Roman" w:cs="Times New Roman"/>
          <w:i/>
          <w:iCs/>
          <w:sz w:val="24"/>
          <w:szCs w:val="24"/>
        </w:rPr>
        <w:t>Journal of Business and Economics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10</w:t>
      </w:r>
      <w:r w:rsidRPr="00EA38DE">
        <w:rPr>
          <w:rFonts w:ascii="Times New Roman" w:hAnsi="Times New Roman" w:cs="Times New Roman"/>
          <w:sz w:val="24"/>
          <w:szCs w:val="24"/>
        </w:rPr>
        <w:t>(3), 78-91.</w:t>
      </w:r>
    </w:p>
    <w:p w14:paraId="5A3E7DA1" w14:textId="77777777" w:rsidR="007539AC" w:rsidRPr="00EA38DE" w:rsidRDefault="007539AC" w:rsidP="007539AC">
      <w:pPr>
        <w:adjustRightInd w:val="0"/>
        <w:spacing w:after="20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Ayodele, T. (2004). Exchange rate volatility and trade balance: Evidence from Nigeria. </w:t>
      </w:r>
      <w:r w:rsidRPr="00EA38DE">
        <w:rPr>
          <w:rFonts w:ascii="Times New Roman" w:eastAsiaTheme="majorEastAsia" w:hAnsi="Times New Roman" w:cs="Times New Roman"/>
          <w:i/>
          <w:iCs/>
          <w:sz w:val="24"/>
          <w:szCs w:val="24"/>
        </w:rPr>
        <w:t xml:space="preserve">International Journal of Humanities and Social Science Research, </w:t>
      </w:r>
      <w:r w:rsidRPr="00EA38DE">
        <w:rPr>
          <w:rFonts w:ascii="Times New Roman" w:eastAsiaTheme="majorEastAsia" w:hAnsi="Times New Roman" w:cs="Times New Roman"/>
          <w:i/>
          <w:sz w:val="24"/>
          <w:szCs w:val="24"/>
        </w:rPr>
        <w:t>3</w:t>
      </w:r>
      <w:r w:rsidRPr="00EA38DE">
        <w:rPr>
          <w:rFonts w:ascii="Times New Roman" w:hAnsi="Times New Roman" w:cs="Times New Roman"/>
          <w:sz w:val="24"/>
          <w:szCs w:val="24"/>
        </w:rPr>
        <w:t>(5), 4-10.</w:t>
      </w:r>
    </w:p>
    <w:p w14:paraId="2A666EDE"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Azeez, B., et al. (2012). Determinants of exchange rate volatility in Nigeria. </w:t>
      </w:r>
      <w:r w:rsidRPr="00EA38DE">
        <w:rPr>
          <w:rFonts w:ascii="Times New Roman" w:eastAsiaTheme="majorEastAsia" w:hAnsi="Times New Roman" w:cs="Times New Roman"/>
          <w:i/>
          <w:iCs/>
          <w:sz w:val="24"/>
          <w:szCs w:val="24"/>
        </w:rPr>
        <w:t xml:space="preserve">Journal of Economics and Sustainable Development, </w:t>
      </w:r>
      <w:r w:rsidRPr="00EA38DE">
        <w:rPr>
          <w:rFonts w:ascii="Times New Roman" w:eastAsiaTheme="majorEastAsia" w:hAnsi="Times New Roman" w:cs="Times New Roman"/>
          <w:i/>
          <w:sz w:val="24"/>
          <w:szCs w:val="24"/>
        </w:rPr>
        <w:t>3</w:t>
      </w:r>
      <w:r w:rsidRPr="00EA38DE">
        <w:rPr>
          <w:rFonts w:ascii="Times New Roman" w:hAnsi="Times New Roman" w:cs="Times New Roman"/>
          <w:sz w:val="24"/>
          <w:szCs w:val="24"/>
        </w:rPr>
        <w:t>(9), 45-52</w:t>
      </w:r>
    </w:p>
    <w:p w14:paraId="36B80B46"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Babubudjnauth, S. (2020). Exchange rate depreciation and its effect on trade balance: Evidence from developing countries. </w:t>
      </w:r>
      <w:r w:rsidRPr="00EA38DE">
        <w:rPr>
          <w:rFonts w:ascii="Times New Roman" w:eastAsiaTheme="majorEastAsia" w:hAnsi="Times New Roman" w:cs="Times New Roman"/>
          <w:i/>
          <w:sz w:val="24"/>
          <w:szCs w:val="24"/>
        </w:rPr>
        <w:t>International Journal of Economics and Finance, 8</w:t>
      </w:r>
      <w:r w:rsidRPr="00EA38DE">
        <w:rPr>
          <w:rFonts w:ascii="Times New Roman" w:hAnsi="Times New Roman" w:cs="Times New Roman"/>
          <w:sz w:val="24"/>
          <w:szCs w:val="24"/>
        </w:rPr>
        <w:t>(2), 120-130.</w:t>
      </w:r>
    </w:p>
    <w:p w14:paraId="4D9540FD" w14:textId="77777777" w:rsidR="007539AC" w:rsidRPr="00EA38DE" w:rsidRDefault="007539AC" w:rsidP="007539AC">
      <w:pPr>
        <w:pStyle w:val="NormalWeb"/>
        <w:spacing w:before="0" w:beforeAutospacing="0" w:after="240" w:afterAutospacing="0"/>
        <w:ind w:left="720" w:hanging="720"/>
        <w:jc w:val="both"/>
      </w:pPr>
      <w:r w:rsidRPr="00EA38DE">
        <w:t xml:space="preserve">Bello, M., &amp; Gbadamosi, T. (2023). Regional maritime performance in West Africa: A comparative study of Ghana and Nigeria. </w:t>
      </w:r>
      <w:r w:rsidRPr="00EA38DE">
        <w:rPr>
          <w:rStyle w:val="Emphasis"/>
          <w:rFonts w:eastAsiaTheme="majorEastAsia"/>
        </w:rPr>
        <w:t>African Economic Review</w:t>
      </w:r>
      <w:r w:rsidRPr="00EA38DE">
        <w:t>, 37(2), 112–130.</w:t>
      </w:r>
    </w:p>
    <w:p w14:paraId="71EB0B7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Black, S. (2003). Floating exchange rates: Theory and practice.</w:t>
      </w:r>
      <w:r w:rsidRPr="00EA38DE">
        <w:rPr>
          <w:rFonts w:ascii="Times New Roman" w:hAnsi="Times New Roman" w:cs="Times New Roman"/>
          <w:i/>
          <w:sz w:val="24"/>
          <w:szCs w:val="24"/>
        </w:rPr>
        <w:t xml:space="preserve"> </w:t>
      </w:r>
      <w:r w:rsidRPr="00EA38DE">
        <w:rPr>
          <w:rFonts w:ascii="Times New Roman" w:eastAsiaTheme="majorEastAsia" w:hAnsi="Times New Roman" w:cs="Times New Roman"/>
          <w:i/>
          <w:sz w:val="24"/>
          <w:szCs w:val="24"/>
        </w:rPr>
        <w:t>Journal of International Money and Finance, 22</w:t>
      </w:r>
      <w:r w:rsidRPr="00EA38DE">
        <w:rPr>
          <w:rFonts w:ascii="Times New Roman" w:hAnsi="Times New Roman" w:cs="Times New Roman"/>
          <w:sz w:val="24"/>
          <w:szCs w:val="24"/>
        </w:rPr>
        <w:t>(6), 755-776.</w:t>
      </w:r>
    </w:p>
    <w:p w14:paraId="6123C119"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Boateng, P. (2019). Exchange rate effects on the financial performance of manufacturing firms in Ghana. </w:t>
      </w:r>
      <w:r w:rsidRPr="00EA38DE">
        <w:rPr>
          <w:rFonts w:ascii="Times New Roman" w:eastAsiaTheme="majorEastAsia" w:hAnsi="Times New Roman" w:cs="Times New Roman"/>
          <w:i/>
          <w:sz w:val="24"/>
          <w:szCs w:val="24"/>
        </w:rPr>
        <w:t>African Manufacturing Journal, 11</w:t>
      </w:r>
      <w:r w:rsidRPr="00EA38DE">
        <w:rPr>
          <w:rFonts w:ascii="Times New Roman" w:hAnsi="Times New Roman" w:cs="Times New Roman"/>
          <w:sz w:val="24"/>
          <w:szCs w:val="24"/>
        </w:rPr>
        <w:t>(5), 60-75.</w:t>
      </w:r>
    </w:p>
    <w:p w14:paraId="33B3D970" w14:textId="77777777" w:rsidR="007539AC" w:rsidRPr="00EA38DE" w:rsidRDefault="007539AC" w:rsidP="007539AC">
      <w:pPr>
        <w:spacing w:after="240" w:line="240" w:lineRule="auto"/>
        <w:ind w:left="720" w:hanging="720"/>
        <w:jc w:val="both"/>
        <w:rPr>
          <w:rFonts w:ascii="Times New Roman" w:eastAsia="Times New Roman" w:hAnsi="Times New Roman" w:cs="Times New Roman"/>
          <w:i/>
          <w:iCs/>
          <w:sz w:val="24"/>
          <w:szCs w:val="24"/>
        </w:rPr>
      </w:pPr>
      <w:r w:rsidRPr="00EA38DE">
        <w:rPr>
          <w:rFonts w:ascii="Times New Roman" w:eastAsia="Times New Roman" w:hAnsi="Times New Roman" w:cs="Times New Roman"/>
          <w:sz w:val="24"/>
          <w:szCs w:val="24"/>
        </w:rPr>
        <w:t xml:space="preserve">Bown, C. P. (2020). </w:t>
      </w:r>
      <w:r w:rsidRPr="00EA38DE">
        <w:rPr>
          <w:rFonts w:ascii="Times New Roman" w:eastAsia="Times New Roman" w:hAnsi="Times New Roman" w:cs="Times New Roman"/>
          <w:i/>
          <w:iCs/>
          <w:sz w:val="24"/>
          <w:szCs w:val="24"/>
        </w:rPr>
        <w:t xml:space="preserve">The 2018–2019 </w:t>
      </w:r>
      <w:r w:rsidRPr="00EA38DE">
        <w:rPr>
          <w:rFonts w:ascii="Times New Roman" w:eastAsia="Times New Roman" w:hAnsi="Times New Roman" w:cs="Times New Roman"/>
          <w:sz w:val="24"/>
          <w:szCs w:val="24"/>
        </w:rPr>
        <w:t xml:space="preserve">trade war and its impact. </w:t>
      </w:r>
      <w:r w:rsidRPr="00EA38DE">
        <w:rPr>
          <w:rFonts w:ascii="Times New Roman" w:eastAsia="Times New Roman" w:hAnsi="Times New Roman" w:cs="Times New Roman"/>
          <w:i/>
          <w:iCs/>
          <w:sz w:val="24"/>
          <w:szCs w:val="24"/>
        </w:rPr>
        <w:t>Peterson Institute for International Economics.</w:t>
      </w:r>
    </w:p>
    <w:p w14:paraId="15A9731C" w14:textId="77777777" w:rsidR="007539AC" w:rsidRPr="00EA38DE" w:rsidRDefault="007539AC" w:rsidP="007539AC">
      <w:pPr>
        <w:spacing w:after="240" w:line="240" w:lineRule="auto"/>
        <w:ind w:left="720" w:hanging="720"/>
        <w:jc w:val="both"/>
        <w:rPr>
          <w:rFonts w:ascii="Times New Roman" w:eastAsia="Times New Roman" w:hAnsi="Times New Roman" w:cs="Times New Roman"/>
          <w:vanish/>
          <w:sz w:val="24"/>
          <w:szCs w:val="24"/>
        </w:rPr>
      </w:pPr>
      <w:r w:rsidRPr="00EA38DE">
        <w:rPr>
          <w:rFonts w:ascii="Times New Roman" w:hAnsi="Times New Roman" w:cs="Times New Roman"/>
          <w:sz w:val="24"/>
          <w:szCs w:val="24"/>
        </w:rPr>
        <w:t xml:space="preserve">Bown, C. P. (2020). </w:t>
      </w:r>
      <w:r w:rsidRPr="00EA38DE">
        <w:rPr>
          <w:rStyle w:val="Emphasis"/>
          <w:rFonts w:ascii="Times New Roman" w:hAnsi="Times New Roman" w:cs="Times New Roman"/>
          <w:i w:val="0"/>
          <w:iCs w:val="0"/>
          <w:sz w:val="24"/>
          <w:szCs w:val="24"/>
        </w:rPr>
        <w:t>The US–China trade war and phase one agreement</w:t>
      </w:r>
      <w:r w:rsidRPr="00EA38DE">
        <w:rPr>
          <w:rFonts w:ascii="Times New Roman" w:hAnsi="Times New Roman" w:cs="Times New Roman"/>
          <w:sz w:val="24"/>
          <w:szCs w:val="24"/>
        </w:rPr>
        <w:t>. Peterson Institute for International Economics. https://www.piie.com/publications/working-papers/us-china-trade-war-and-phase-one-agreement</w:t>
      </w:r>
    </w:p>
    <w:p w14:paraId="20B1AF59"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Cassel, G.</w:t>
      </w:r>
      <w:r w:rsidRPr="00EA38DE">
        <w:rPr>
          <w:rFonts w:ascii="Times New Roman" w:eastAsia="Times New Roman" w:hAnsi="Times New Roman" w:cs="Times New Roman"/>
          <w:sz w:val="24"/>
          <w:szCs w:val="24"/>
        </w:rPr>
        <w:t xml:space="preserve"> (1918). </w:t>
      </w:r>
      <w:r w:rsidRPr="00EA38DE">
        <w:rPr>
          <w:rFonts w:ascii="Times New Roman" w:eastAsia="Times New Roman" w:hAnsi="Times New Roman" w:cs="Times New Roman"/>
          <w:iCs/>
          <w:sz w:val="24"/>
          <w:szCs w:val="24"/>
        </w:rPr>
        <w:t>Abnormal deviations in international exchanges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 xml:space="preserve">The Economic Journal, </w:t>
      </w:r>
      <w:r w:rsidRPr="00EA38DE">
        <w:rPr>
          <w:rFonts w:ascii="Times New Roman" w:eastAsia="Times New Roman" w:hAnsi="Times New Roman" w:cs="Times New Roman"/>
          <w:bCs/>
          <w:i/>
          <w:sz w:val="24"/>
          <w:szCs w:val="24"/>
        </w:rPr>
        <w:t>28</w:t>
      </w:r>
      <w:r w:rsidRPr="00EA38DE">
        <w:rPr>
          <w:rFonts w:ascii="Times New Roman" w:eastAsia="Times New Roman" w:hAnsi="Times New Roman" w:cs="Times New Roman"/>
          <w:sz w:val="24"/>
          <w:szCs w:val="24"/>
        </w:rPr>
        <w:t xml:space="preserve">(112), 413–415. </w:t>
      </w:r>
      <w:hyperlink r:id="rId50" w:history="1">
        <w:r w:rsidRPr="00EA38DE">
          <w:rPr>
            <w:rFonts w:ascii="Times New Roman" w:eastAsia="Times New Roman" w:hAnsi="Times New Roman" w:cs="Times New Roman"/>
            <w:iCs/>
            <w:sz w:val="24"/>
            <w:szCs w:val="24"/>
          </w:rPr>
          <w:t>https://doi.org/10.2307/2223329</w:t>
        </w:r>
      </w:hyperlink>
      <w:r w:rsidRPr="00EA38DE">
        <w:rPr>
          <w:rFonts w:ascii="Times New Roman" w:eastAsia="Times New Roman" w:hAnsi="Times New Roman" w:cs="Times New Roman"/>
          <w:iCs/>
          <w:sz w:val="24"/>
          <w:szCs w:val="24"/>
        </w:rPr>
        <w:t>.</w:t>
      </w:r>
    </w:p>
    <w:p w14:paraId="5BA0A95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Central Bank of Nigeria (CBN).</w:t>
      </w:r>
      <w:r w:rsidRPr="00EA38DE">
        <w:rPr>
          <w:rFonts w:ascii="Times New Roman" w:eastAsia="Times New Roman" w:hAnsi="Times New Roman" w:cs="Times New Roman"/>
          <w:sz w:val="24"/>
          <w:szCs w:val="24"/>
        </w:rPr>
        <w:t xml:space="preserve"> (1992). </w:t>
      </w:r>
      <w:r w:rsidRPr="00EA38DE">
        <w:rPr>
          <w:rFonts w:ascii="Times New Roman" w:eastAsia="Times New Roman" w:hAnsi="Times New Roman" w:cs="Times New Roman"/>
          <w:iCs/>
          <w:sz w:val="24"/>
          <w:szCs w:val="24"/>
        </w:rPr>
        <w:t>The structural adjustment programme in Nigeria: Causes, implementation, and consequences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bCs/>
          <w:i/>
          <w:sz w:val="24"/>
          <w:szCs w:val="24"/>
        </w:rPr>
        <w:t>Bullion</w:t>
      </w:r>
      <w:r w:rsidRPr="00EA38DE">
        <w:rPr>
          <w:rFonts w:ascii="Times New Roman" w:eastAsia="Times New Roman" w:hAnsi="Times New Roman" w:cs="Times New Roman"/>
          <w:bCs/>
          <w:sz w:val="24"/>
          <w:szCs w:val="24"/>
        </w:rPr>
        <w:t xml:space="preserve">, </w:t>
      </w:r>
      <w:r w:rsidRPr="00EA38DE">
        <w:rPr>
          <w:rFonts w:ascii="Times New Roman" w:eastAsia="Times New Roman" w:hAnsi="Times New Roman" w:cs="Times New Roman"/>
          <w:bCs/>
          <w:i/>
          <w:sz w:val="24"/>
          <w:szCs w:val="24"/>
        </w:rPr>
        <w:t>16</w:t>
      </w:r>
      <w:r w:rsidRPr="00EA38DE">
        <w:rPr>
          <w:rFonts w:ascii="Times New Roman" w:eastAsia="Times New Roman" w:hAnsi="Times New Roman" w:cs="Times New Roman"/>
          <w:sz w:val="24"/>
          <w:szCs w:val="24"/>
        </w:rPr>
        <w:t>(2), 34–45.</w:t>
      </w:r>
      <w:r w:rsidRPr="00EA38DE">
        <w:rPr>
          <w:rFonts w:ascii="Times New Roman" w:eastAsia="Times New Roman" w:hAnsi="Times New Roman" w:cs="Times New Roman"/>
          <w:sz w:val="24"/>
          <w:szCs w:val="24"/>
        </w:rPr>
        <w:br/>
        <w:t>https://dc.cbn.gov.ng/bullion/vol16/iss2/4</w:t>
      </w:r>
    </w:p>
    <w:p w14:paraId="3D8C8D46" w14:textId="77777777" w:rsidR="007539AC" w:rsidRPr="00EA38DE" w:rsidRDefault="007539AC" w:rsidP="007539AC">
      <w:pPr>
        <w:spacing w:after="240" w:line="240" w:lineRule="auto"/>
        <w:ind w:left="720" w:hanging="720"/>
        <w:jc w:val="both"/>
        <w:rPr>
          <w:rFonts w:ascii="Times New Roman" w:eastAsia="Times New Roman" w:hAnsi="Times New Roman" w:cs="Times New Roman"/>
          <w:bCs/>
          <w:sz w:val="24"/>
          <w:szCs w:val="24"/>
        </w:rPr>
      </w:pPr>
      <w:r w:rsidRPr="00EA38DE">
        <w:rPr>
          <w:rFonts w:ascii="Times New Roman" w:eastAsia="Times New Roman" w:hAnsi="Times New Roman" w:cs="Times New Roman"/>
          <w:bCs/>
          <w:sz w:val="24"/>
          <w:szCs w:val="24"/>
        </w:rPr>
        <w:t>Central Bank of Nigeria (CBN).</w:t>
      </w:r>
      <w:r w:rsidRPr="00EA38DE">
        <w:rPr>
          <w:rFonts w:ascii="Times New Roman" w:eastAsia="Times New Roman" w:hAnsi="Times New Roman" w:cs="Times New Roman"/>
          <w:sz w:val="24"/>
          <w:szCs w:val="24"/>
        </w:rPr>
        <w:t xml:space="preserve"> (2022). </w:t>
      </w:r>
      <w:r w:rsidRPr="00EA38DE">
        <w:rPr>
          <w:rFonts w:ascii="Times New Roman" w:eastAsia="Times New Roman" w:hAnsi="Times New Roman" w:cs="Times New Roman"/>
          <w:i/>
          <w:iCs/>
          <w:sz w:val="24"/>
          <w:szCs w:val="24"/>
        </w:rPr>
        <w:t>Annual report 2021</w:t>
      </w:r>
      <w:r w:rsidRPr="00EA38DE">
        <w:rPr>
          <w:rFonts w:ascii="Times New Roman" w:eastAsia="Times New Roman" w:hAnsi="Times New Roman" w:cs="Times New Roman"/>
          <w:sz w:val="24"/>
          <w:szCs w:val="24"/>
        </w:rPr>
        <w:t xml:space="preserve">. </w:t>
      </w:r>
      <w:hyperlink r:id="rId51" w:history="1">
        <w:r w:rsidRPr="00EA38DE">
          <w:rPr>
            <w:rStyle w:val="Hyperlink"/>
            <w:rFonts w:ascii="Times New Roman" w:eastAsia="Times New Roman" w:hAnsi="Times New Roman" w:cs="Times New Roman"/>
            <w:color w:val="auto"/>
            <w:sz w:val="24"/>
            <w:szCs w:val="24"/>
            <w:u w:val="none"/>
          </w:rPr>
          <w:t>https://www.cbn.gov.ng/documents/</w:t>
        </w:r>
      </w:hyperlink>
      <w:r w:rsidRPr="00EA38DE">
        <w:rPr>
          <w:rFonts w:ascii="Times New Roman" w:eastAsia="Times New Roman" w:hAnsi="Times New Roman" w:cs="Times New Roman"/>
          <w:sz w:val="24"/>
          <w:szCs w:val="24"/>
        </w:rPr>
        <w:t xml:space="preserve"> annualreports.asp</w:t>
      </w:r>
    </w:p>
    <w:p w14:paraId="54149224" w14:textId="77777777" w:rsidR="007539AC" w:rsidRPr="00EA38DE" w:rsidRDefault="007539AC" w:rsidP="007539AC">
      <w:pPr>
        <w:pStyle w:val="NormalWeb"/>
        <w:spacing w:before="0" w:beforeAutospacing="0" w:after="240" w:afterAutospacing="0"/>
        <w:ind w:left="720" w:hanging="720"/>
        <w:jc w:val="both"/>
      </w:pPr>
      <w:r w:rsidRPr="00EA38DE">
        <w:t xml:space="preserve">Central Bank of Nigeria (CBN). (2024). </w:t>
      </w:r>
      <w:r w:rsidRPr="00EA38DE">
        <w:rPr>
          <w:rStyle w:val="Emphasis"/>
          <w:rFonts w:eastAsiaTheme="majorEastAsia"/>
        </w:rPr>
        <w:t>Annual report and financial statements</w:t>
      </w:r>
      <w:r w:rsidRPr="00EA38DE">
        <w:t>. Abuja: CBN.</w:t>
      </w:r>
    </w:p>
    <w:p w14:paraId="34375582"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Central Bank of Nigeria. (2023). </w:t>
      </w:r>
      <w:r w:rsidRPr="00EA38DE">
        <w:rPr>
          <w:rFonts w:ascii="Times New Roman" w:eastAsiaTheme="majorEastAsia" w:hAnsi="Times New Roman" w:cs="Times New Roman"/>
          <w:i/>
          <w:sz w:val="24"/>
          <w:szCs w:val="24"/>
        </w:rPr>
        <w:t>Annual</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report</w:t>
      </w:r>
      <w:r w:rsidRPr="00EA38DE">
        <w:rPr>
          <w:rFonts w:ascii="Times New Roman" w:eastAsiaTheme="majorEastAsia" w:hAnsi="Times New Roman" w:cs="Times New Roman"/>
          <w:sz w:val="24"/>
          <w:szCs w:val="24"/>
        </w:rPr>
        <w:t xml:space="preserve"> 2022</w:t>
      </w:r>
      <w:r w:rsidRPr="00EA38DE">
        <w:rPr>
          <w:rFonts w:ascii="Times New Roman" w:hAnsi="Times New Roman" w:cs="Times New Roman"/>
          <w:sz w:val="24"/>
          <w:szCs w:val="24"/>
        </w:rPr>
        <w:t xml:space="preserve">. </w:t>
      </w:r>
      <w:hyperlink r:id="rId52" w:history="1">
        <w:r w:rsidRPr="00EA38DE">
          <w:rPr>
            <w:rStyle w:val="Hyperlink"/>
            <w:rFonts w:ascii="Times New Roman" w:hAnsi="Times New Roman" w:cs="Times New Roman"/>
            <w:i/>
            <w:iCs/>
            <w:color w:val="auto"/>
            <w:sz w:val="24"/>
            <w:szCs w:val="24"/>
            <w:u w:val="none"/>
          </w:rPr>
          <w:t>https://www.cbn.gov.ng/documents/Annual Reports.asp</w:t>
        </w:r>
      </w:hyperlink>
    </w:p>
    <w:p w14:paraId="49D81B51"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Chigbu, E.E., Ubah, C.P., &amp; Chigbu, U.S. (2018). Impact of capital inflows on economic growth of developing countries. </w:t>
      </w:r>
      <w:r w:rsidRPr="00EA38DE">
        <w:rPr>
          <w:rFonts w:ascii="Times New Roman" w:hAnsi="Times New Roman" w:cs="Times New Roman"/>
          <w:i/>
          <w:iCs/>
          <w:sz w:val="24"/>
          <w:szCs w:val="24"/>
        </w:rPr>
        <w:t>International Journal of Management Sciences and Business Administration</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1</w:t>
      </w:r>
      <w:r w:rsidRPr="00EA38DE">
        <w:rPr>
          <w:rFonts w:ascii="Times New Roman" w:hAnsi="Times New Roman" w:cs="Times New Roman"/>
          <w:sz w:val="24"/>
          <w:szCs w:val="24"/>
        </w:rPr>
        <w:t>(7), 7-12.</w:t>
      </w:r>
    </w:p>
    <w:p w14:paraId="029CCA0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Chukwu, C. U., &amp; Ibrahim, A. A. (2019). </w:t>
      </w:r>
      <w:r w:rsidRPr="00EA38DE">
        <w:rPr>
          <w:rFonts w:ascii="Times New Roman" w:eastAsia="Times New Roman" w:hAnsi="Times New Roman" w:cs="Times New Roman"/>
          <w:iCs/>
          <w:sz w:val="24"/>
          <w:szCs w:val="24"/>
        </w:rPr>
        <w:t>Macroeconomic instability and shipping logistics performance in Nigeria: The role of exchange rate fluctuations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International Journal of Transport Economics, 46</w:t>
      </w:r>
      <w:r w:rsidRPr="00EA38DE">
        <w:rPr>
          <w:rFonts w:ascii="Times New Roman" w:eastAsia="Times New Roman" w:hAnsi="Times New Roman" w:cs="Times New Roman"/>
          <w:sz w:val="24"/>
          <w:szCs w:val="24"/>
        </w:rPr>
        <w:t>(2), 211–230.</w:t>
      </w:r>
    </w:p>
    <w:p w14:paraId="53FEE241"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Chukwu, I., &amp; Adebayo, M. (2021). </w:t>
      </w:r>
      <w:r w:rsidRPr="00EA38DE">
        <w:rPr>
          <w:rFonts w:ascii="Times New Roman" w:eastAsia="Times New Roman" w:hAnsi="Times New Roman" w:cs="Times New Roman"/>
          <w:iCs/>
          <w:sz w:val="24"/>
          <w:szCs w:val="24"/>
        </w:rPr>
        <w:t>Macroeconomic constraints on Nigeria’s aquaculture export logistics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African Journal of Marine Policy,</w:t>
      </w:r>
      <w:r w:rsidRPr="00EA38DE">
        <w:rPr>
          <w:rStyle w:val="Heading3Char"/>
          <w:rFonts w:eastAsiaTheme="majorEastAsia"/>
          <w:i/>
          <w:sz w:val="24"/>
          <w:szCs w:val="24"/>
        </w:rPr>
        <w:t xml:space="preserve"> </w:t>
      </w:r>
      <w:r w:rsidRPr="00EA38DE">
        <w:rPr>
          <w:rStyle w:val="Emphasis"/>
          <w:rFonts w:ascii="Times New Roman" w:hAnsi="Times New Roman" w:cs="Times New Roman"/>
          <w:sz w:val="24"/>
          <w:szCs w:val="24"/>
        </w:rPr>
        <w:t>10</w:t>
      </w:r>
      <w:r w:rsidRPr="00EA38DE">
        <w:rPr>
          <w:rFonts w:ascii="Times New Roman" w:hAnsi="Times New Roman" w:cs="Times New Roman"/>
          <w:sz w:val="24"/>
          <w:szCs w:val="24"/>
        </w:rPr>
        <w:t>(1), 55–70.</w:t>
      </w:r>
    </w:p>
    <w:p w14:paraId="743AB98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Chukwu, I., &amp; Ibrahim, S. (2019). </w:t>
      </w:r>
      <w:r w:rsidRPr="00EA38DE">
        <w:rPr>
          <w:rFonts w:ascii="Times New Roman" w:eastAsia="Times New Roman" w:hAnsi="Times New Roman" w:cs="Times New Roman"/>
          <w:iCs/>
          <w:sz w:val="24"/>
          <w:szCs w:val="24"/>
        </w:rPr>
        <w:t>Exchange rate volatility, Port congestion, and shipping costs in Nigeria’s aquaculture export chain</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African Journal of Maritime Studies,</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7</w:t>
      </w:r>
      <w:r w:rsidRPr="00EA38DE">
        <w:rPr>
          <w:rFonts w:ascii="Times New Roman" w:hAnsi="Times New Roman" w:cs="Times New Roman"/>
          <w:sz w:val="24"/>
          <w:szCs w:val="24"/>
        </w:rPr>
        <w:t>(1), 45–62.</w:t>
      </w:r>
    </w:p>
    <w:p w14:paraId="0BED09D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Chukwu, M., &amp; Ibrahim, A. (2019). </w:t>
      </w:r>
      <w:r w:rsidRPr="00EA38DE">
        <w:rPr>
          <w:rFonts w:ascii="Times New Roman" w:eastAsia="Times New Roman" w:hAnsi="Times New Roman" w:cs="Times New Roman"/>
          <w:iCs/>
          <w:sz w:val="24"/>
          <w:szCs w:val="24"/>
        </w:rPr>
        <w:t>Macroeconomic instability and the maritime sector in Nigeria: Implications for shipping costs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Nigerian Journal of Transport and Logistics, 11</w:t>
      </w:r>
      <w:r w:rsidRPr="00EA38DE">
        <w:rPr>
          <w:rFonts w:ascii="Times New Roman" w:eastAsia="Times New Roman" w:hAnsi="Times New Roman" w:cs="Times New Roman"/>
          <w:sz w:val="24"/>
          <w:szCs w:val="24"/>
        </w:rPr>
        <w:t>(2), 101–119.</w:t>
      </w:r>
    </w:p>
    <w:p w14:paraId="1F9FA98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Chukwu, M., &amp; Ibrahim, L. (2019). </w:t>
      </w:r>
      <w:r w:rsidRPr="00EA38DE">
        <w:rPr>
          <w:rFonts w:ascii="Times New Roman" w:eastAsia="Times New Roman" w:hAnsi="Times New Roman" w:cs="Times New Roman"/>
          <w:iCs/>
          <w:sz w:val="24"/>
          <w:szCs w:val="24"/>
        </w:rPr>
        <w:t>Exchange rate volatility and fish logistics in the Niger Delta</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region</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Marine Transport and Trade,</w:t>
      </w:r>
      <w:r w:rsidRPr="00EA38DE">
        <w:rPr>
          <w:rStyle w:val="Heading3Char"/>
          <w:rFonts w:eastAsiaTheme="majorEastAsia"/>
          <w:i/>
          <w:sz w:val="24"/>
          <w:szCs w:val="24"/>
        </w:rPr>
        <w:t xml:space="preserve"> </w:t>
      </w:r>
      <w:r w:rsidRPr="00EA38DE">
        <w:rPr>
          <w:rStyle w:val="Emphasis"/>
          <w:rFonts w:ascii="Times New Roman" w:hAnsi="Times New Roman" w:cs="Times New Roman"/>
          <w:sz w:val="24"/>
          <w:szCs w:val="24"/>
        </w:rPr>
        <w:t>7</w:t>
      </w:r>
      <w:r w:rsidRPr="00EA38DE">
        <w:rPr>
          <w:rFonts w:ascii="Times New Roman" w:hAnsi="Times New Roman" w:cs="Times New Roman"/>
          <w:sz w:val="24"/>
          <w:szCs w:val="24"/>
        </w:rPr>
        <w:t>(2), 90–105.</w:t>
      </w:r>
    </w:p>
    <w:p w14:paraId="4B37051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Clark, X., Dollar, D., &amp; Micco, A. (2004). Port efficiency, maritime transport costs, and bilateral trade. </w:t>
      </w:r>
      <w:r w:rsidRPr="00EA38DE">
        <w:rPr>
          <w:rFonts w:ascii="Times New Roman" w:eastAsia="Times New Roman" w:hAnsi="Times New Roman" w:cs="Times New Roman"/>
          <w:i/>
          <w:iCs/>
          <w:sz w:val="24"/>
          <w:szCs w:val="24"/>
        </w:rPr>
        <w:t>Journal of Development Economics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75</w:t>
      </w:r>
      <w:r w:rsidRPr="00EA38DE">
        <w:rPr>
          <w:rFonts w:ascii="Times New Roman" w:eastAsia="Times New Roman" w:hAnsi="Times New Roman" w:cs="Times New Roman"/>
          <w:sz w:val="24"/>
          <w:szCs w:val="24"/>
        </w:rPr>
        <w:t>(2), 417–450.</w:t>
      </w:r>
    </w:p>
    <w:p w14:paraId="18CA4E6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Cullinane, K., &amp; Wang, T. F. (2006). </w:t>
      </w:r>
      <w:r w:rsidRPr="00EA38DE">
        <w:rPr>
          <w:rFonts w:ascii="Times New Roman" w:eastAsia="Times New Roman" w:hAnsi="Times New Roman" w:cs="Times New Roman"/>
          <w:iCs/>
          <w:sz w:val="24"/>
          <w:szCs w:val="24"/>
        </w:rPr>
        <w:t>The efficiency of European container ports: a cross-sectional data envelopment analysis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International Journal of Logistics: Research and Applications, 9</w:t>
      </w:r>
      <w:r w:rsidRPr="00EA38DE">
        <w:rPr>
          <w:rFonts w:ascii="Times New Roman" w:eastAsia="Times New Roman" w:hAnsi="Times New Roman" w:cs="Times New Roman"/>
          <w:sz w:val="24"/>
          <w:szCs w:val="24"/>
        </w:rPr>
        <w:t>(1), 19–31.</w:t>
      </w:r>
    </w:p>
    <w:p w14:paraId="242E3DC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Danladi, J. D., Akomolafe, K. J., Babalola, O., &amp; Akpan, E. A. (2015). Exchange rate volatility and international trade in Nigeria. </w:t>
      </w:r>
      <w:r w:rsidRPr="00EA38DE">
        <w:rPr>
          <w:rFonts w:ascii="Times New Roman" w:eastAsiaTheme="majorEastAsia" w:hAnsi="Times New Roman" w:cs="Times New Roman"/>
          <w:i/>
          <w:sz w:val="24"/>
          <w:szCs w:val="24"/>
        </w:rPr>
        <w:t>Research Journal of Finance and Administration, 6</w:t>
      </w:r>
      <w:r w:rsidRPr="00EA38DE">
        <w:rPr>
          <w:rFonts w:ascii="Times New Roman" w:hAnsi="Times New Roman" w:cs="Times New Roman"/>
          <w:sz w:val="24"/>
          <w:szCs w:val="24"/>
        </w:rPr>
        <w:t xml:space="preserve">(18) 215-231. Retrieved from </w:t>
      </w:r>
      <w:hyperlink r:id="rId53" w:tgtFrame="_new" w:history="1">
        <w:r w:rsidRPr="00EA38DE">
          <w:rPr>
            <w:rFonts w:ascii="Times New Roman" w:hAnsi="Times New Roman" w:cs="Times New Roman"/>
            <w:iCs/>
            <w:sz w:val="24"/>
            <w:szCs w:val="24"/>
          </w:rPr>
          <w:t>researchgate.net</w:t>
        </w:r>
      </w:hyperlink>
      <w:r w:rsidRPr="00EA38DE">
        <w:rPr>
          <w:rFonts w:ascii="Times New Roman" w:hAnsi="Times New Roman" w:cs="Times New Roman"/>
          <w:iCs/>
          <w:sz w:val="24"/>
          <w:szCs w:val="24"/>
        </w:rPr>
        <w:t>.</w:t>
      </w:r>
    </w:p>
    <w:p w14:paraId="1D04C0E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Das, S., &amp; Das, S. (2012). Exchange rate volatility and export performance: Evidence from India. </w:t>
      </w:r>
      <w:r w:rsidRPr="00EA38DE">
        <w:rPr>
          <w:rFonts w:ascii="Times New Roman" w:eastAsiaTheme="majorEastAsia" w:hAnsi="Times New Roman" w:cs="Times New Roman"/>
          <w:i/>
          <w:sz w:val="24"/>
          <w:szCs w:val="24"/>
        </w:rPr>
        <w:t>Asian Economic Policy Review, 7</w:t>
      </w:r>
      <w:r w:rsidRPr="00EA38DE">
        <w:rPr>
          <w:rFonts w:ascii="Times New Roman" w:hAnsi="Times New Roman" w:cs="Times New Roman"/>
          <w:sz w:val="24"/>
          <w:szCs w:val="24"/>
        </w:rPr>
        <w:t>(1), 1-20.</w:t>
      </w:r>
    </w:p>
    <w:p w14:paraId="5A692DF1"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Davis, E. P., Osei-Assibey, E., &amp; Osei, R. D. (2015). Exchange rate volatility and trade balance in Ghana. </w:t>
      </w:r>
      <w:r w:rsidRPr="00EA38DE">
        <w:rPr>
          <w:rFonts w:ascii="Times New Roman" w:eastAsiaTheme="majorEastAsia" w:hAnsi="Times New Roman" w:cs="Times New Roman"/>
          <w:i/>
          <w:sz w:val="24"/>
          <w:szCs w:val="24"/>
        </w:rPr>
        <w:t>African Journal of Economic Review, 3</w:t>
      </w:r>
      <w:r w:rsidRPr="00EA38DE">
        <w:rPr>
          <w:rFonts w:ascii="Times New Roman" w:hAnsi="Times New Roman" w:cs="Times New Roman"/>
          <w:sz w:val="24"/>
          <w:szCs w:val="24"/>
        </w:rPr>
        <w:t>(1), 1-20.</w:t>
      </w:r>
    </w:p>
    <w:p w14:paraId="10145018"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Dornbush, R. (1976). Expectations and exchange rate dynamics. </w:t>
      </w:r>
      <w:r w:rsidRPr="00EA38DE">
        <w:rPr>
          <w:rFonts w:ascii="Times New Roman" w:eastAsiaTheme="majorEastAsia" w:hAnsi="Times New Roman" w:cs="Times New Roman"/>
          <w:i/>
          <w:sz w:val="24"/>
          <w:szCs w:val="24"/>
        </w:rPr>
        <w:t>Journal of Political Economy, 84</w:t>
      </w:r>
      <w:r w:rsidRPr="00EA38DE">
        <w:rPr>
          <w:rFonts w:ascii="Times New Roman" w:hAnsi="Times New Roman" w:cs="Times New Roman"/>
          <w:sz w:val="24"/>
          <w:szCs w:val="24"/>
        </w:rPr>
        <w:t>(6), 1161-1176.</w:t>
      </w:r>
    </w:p>
    <w:p w14:paraId="76515E84" w14:textId="77777777" w:rsidR="007539AC" w:rsidRPr="00EA38DE" w:rsidRDefault="007539AC" w:rsidP="007539AC">
      <w:pPr>
        <w:spacing w:after="240" w:line="240" w:lineRule="auto"/>
        <w:ind w:left="720" w:hanging="720"/>
        <w:jc w:val="both"/>
        <w:rPr>
          <w:rFonts w:ascii="Times New Roman" w:eastAsia="Times New Roman" w:hAnsi="Times New Roman" w:cs="Times New Roman"/>
          <w:i/>
          <w:iCs/>
          <w:sz w:val="24"/>
          <w:szCs w:val="24"/>
        </w:rPr>
      </w:pPr>
      <w:r w:rsidRPr="00EA38DE">
        <w:rPr>
          <w:rFonts w:ascii="Times New Roman" w:eastAsia="Times New Roman" w:hAnsi="Times New Roman" w:cs="Times New Roman"/>
          <w:sz w:val="24"/>
          <w:szCs w:val="24"/>
        </w:rPr>
        <w:t xml:space="preserve">Ekanem, B., &amp; Okechukwu, I. (2022). </w:t>
      </w:r>
      <w:r w:rsidRPr="00EA38DE">
        <w:rPr>
          <w:rFonts w:ascii="Times New Roman" w:eastAsia="Times New Roman" w:hAnsi="Times New Roman" w:cs="Times New Roman"/>
          <w:iCs/>
          <w:sz w:val="24"/>
          <w:szCs w:val="24"/>
        </w:rPr>
        <w:t>Blue economy strategy for sustainable development in Nigeria:</w:t>
      </w:r>
      <w:r w:rsidRPr="00EA38DE">
        <w:rPr>
          <w:rFonts w:ascii="Times New Roman" w:eastAsia="Times New Roman" w:hAnsi="Times New Roman" w:cs="Times New Roman"/>
          <w:i/>
          <w:iCs/>
          <w:sz w:val="24"/>
          <w:szCs w:val="24"/>
        </w:rPr>
        <w:t xml:space="preserve"> Journal of Social Science, 11</w:t>
      </w:r>
      <w:r w:rsidRPr="00EA38DE">
        <w:rPr>
          <w:rFonts w:ascii="Times New Roman" w:eastAsia="Times New Roman" w:hAnsi="Times New Roman" w:cs="Times New Roman"/>
          <w:iCs/>
          <w:sz w:val="24"/>
          <w:szCs w:val="24"/>
        </w:rPr>
        <w:t>(1) 23-31.</w:t>
      </w:r>
    </w:p>
    <w:p w14:paraId="2AA3D7D4"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Ekanem, J., &amp; Bako, T. (2021). Fish cargo and port revenue generation in Nigeria. </w:t>
      </w:r>
      <w:r w:rsidRPr="00EA38DE">
        <w:rPr>
          <w:rFonts w:ascii="Times New Roman" w:eastAsia="Times New Roman" w:hAnsi="Times New Roman" w:cs="Times New Roman"/>
          <w:i/>
          <w:iCs/>
          <w:sz w:val="24"/>
          <w:szCs w:val="24"/>
        </w:rPr>
        <w:t>Maritime Logistics and Trade Journal.</w:t>
      </w:r>
      <w:r w:rsidRPr="00EA38DE">
        <w:rPr>
          <w:rStyle w:val="Heading3Char"/>
          <w:rFonts w:eastAsiaTheme="majorEastAsia"/>
          <w:i/>
          <w:iCs/>
          <w:sz w:val="24"/>
          <w:szCs w:val="24"/>
        </w:rPr>
        <w:t xml:space="preserve"> </w:t>
      </w:r>
      <w:r w:rsidRPr="00EA38DE">
        <w:rPr>
          <w:rStyle w:val="Emphasis"/>
          <w:rFonts w:ascii="Times New Roman" w:hAnsi="Times New Roman" w:cs="Times New Roman"/>
          <w:sz w:val="24"/>
          <w:szCs w:val="24"/>
        </w:rPr>
        <w:t>8</w:t>
      </w:r>
      <w:r w:rsidRPr="00EA38DE">
        <w:rPr>
          <w:rFonts w:ascii="Times New Roman" w:hAnsi="Times New Roman" w:cs="Times New Roman"/>
          <w:sz w:val="24"/>
          <w:szCs w:val="24"/>
        </w:rPr>
        <w:t>(2), 112–130.</w:t>
      </w:r>
    </w:p>
    <w:p w14:paraId="6A9BACD1"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Elhussein, A., &amp; Osman, A. (2019). Exchange rate fluctuations and financial performance of Sudanese banks. </w:t>
      </w:r>
      <w:r w:rsidRPr="00EA38DE">
        <w:rPr>
          <w:rFonts w:ascii="Times New Roman" w:eastAsiaTheme="majorEastAsia" w:hAnsi="Times New Roman" w:cs="Times New Roman"/>
          <w:i/>
          <w:sz w:val="24"/>
          <w:szCs w:val="24"/>
        </w:rPr>
        <w:t>Sudanese Banking Review, 8</w:t>
      </w:r>
      <w:r w:rsidRPr="00EA38DE">
        <w:rPr>
          <w:rFonts w:ascii="Times New Roman" w:hAnsi="Times New Roman" w:cs="Times New Roman"/>
          <w:sz w:val="24"/>
          <w:szCs w:val="24"/>
        </w:rPr>
        <w:t>(4), 112-128</w:t>
      </w:r>
    </w:p>
    <w:p w14:paraId="7141AEB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Emefiele, G., &amp; Okonjo, A. (2019). </w:t>
      </w:r>
      <w:r w:rsidRPr="00EA38DE">
        <w:rPr>
          <w:rFonts w:ascii="Times New Roman" w:eastAsia="Times New Roman" w:hAnsi="Times New Roman" w:cs="Times New Roman"/>
          <w:iCs/>
          <w:sz w:val="24"/>
          <w:szCs w:val="24"/>
        </w:rPr>
        <w:t>Macroeconomic instability and maritime sector efficiency in Nigeria: A policy perspective</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CBN Economic &amp; Financial Review, 57</w:t>
      </w:r>
      <w:r w:rsidRPr="00EA38DE">
        <w:rPr>
          <w:rFonts w:ascii="Times New Roman" w:eastAsia="Times New Roman" w:hAnsi="Times New Roman" w:cs="Times New Roman"/>
          <w:sz w:val="24"/>
          <w:szCs w:val="24"/>
        </w:rPr>
        <w:t>(3), 99–114.</w:t>
      </w:r>
    </w:p>
    <w:p w14:paraId="7FD92FD8"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Eneh, O. C., &amp; Eze, J. N. (2020). Institutional challenges in implementing blue economy policies in Nigeria. </w:t>
      </w:r>
      <w:r w:rsidRPr="00EA38DE">
        <w:rPr>
          <w:rFonts w:ascii="Times New Roman" w:eastAsia="Times New Roman" w:hAnsi="Times New Roman" w:cs="Times New Roman"/>
          <w:i/>
          <w:iCs/>
          <w:sz w:val="24"/>
          <w:szCs w:val="24"/>
        </w:rPr>
        <w:t>Marine Policy</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115</w:t>
      </w:r>
      <w:r w:rsidRPr="00EA38DE">
        <w:rPr>
          <w:rFonts w:ascii="Times New Roman" w:eastAsia="Times New Roman" w:hAnsi="Times New Roman" w:cs="Times New Roman"/>
          <w:sz w:val="24"/>
          <w:szCs w:val="24"/>
        </w:rPr>
        <w:t xml:space="preserve">, 103860. </w:t>
      </w:r>
      <w:hyperlink r:id="rId54" w:history="1">
        <w:r w:rsidRPr="00EA38DE">
          <w:rPr>
            <w:rFonts w:ascii="Times New Roman" w:eastAsia="Times New Roman" w:hAnsi="Times New Roman" w:cs="Times New Roman"/>
            <w:iCs/>
            <w:sz w:val="24"/>
            <w:szCs w:val="24"/>
          </w:rPr>
          <w:t>https://doi.org/10.1016/j.marpol.2020.103860</w:t>
        </w:r>
      </w:hyperlink>
      <w:r w:rsidRPr="00EA38DE">
        <w:rPr>
          <w:rFonts w:ascii="Times New Roman" w:eastAsia="Times New Roman" w:hAnsi="Times New Roman" w:cs="Times New Roman"/>
          <w:iCs/>
          <w:sz w:val="24"/>
          <w:szCs w:val="24"/>
        </w:rPr>
        <w:t>.</w:t>
      </w:r>
    </w:p>
    <w:p w14:paraId="4A0D71AC"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Eneh, O. C., &amp; Eze, P. N. (2020). </w:t>
      </w:r>
      <w:r w:rsidRPr="00EA38DE">
        <w:rPr>
          <w:rFonts w:ascii="Times New Roman" w:eastAsiaTheme="majorEastAsia" w:hAnsi="Times New Roman" w:cs="Times New Roman"/>
          <w:sz w:val="24"/>
          <w:szCs w:val="24"/>
        </w:rPr>
        <w:t>Blue economy in Nigeria: Prospects, challenges and strategies</w:t>
      </w:r>
      <w:r w:rsidRPr="00EA38DE">
        <w:rPr>
          <w:rFonts w:ascii="Times New Roman" w:hAnsi="Times New Roman" w:cs="Times New Roman"/>
          <w:i/>
          <w:sz w:val="24"/>
          <w:szCs w:val="24"/>
        </w:rPr>
        <w:t>. Journal of Sustainable Development in Africa, 22</w:t>
      </w:r>
      <w:r w:rsidRPr="00EA38DE">
        <w:rPr>
          <w:rFonts w:ascii="Times New Roman" w:hAnsi="Times New Roman" w:cs="Times New Roman"/>
          <w:sz w:val="24"/>
          <w:szCs w:val="24"/>
        </w:rPr>
        <w:t>(4), 48–63.</w:t>
      </w:r>
    </w:p>
    <w:p w14:paraId="00CEA53C"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Eze, F., &amp; Uchenna, A. (2021). </w:t>
      </w:r>
      <w:r w:rsidRPr="00EA38DE">
        <w:rPr>
          <w:rFonts w:ascii="Times New Roman" w:eastAsia="Times New Roman" w:hAnsi="Times New Roman" w:cs="Times New Roman"/>
          <w:iCs/>
          <w:sz w:val="24"/>
          <w:szCs w:val="24"/>
        </w:rPr>
        <w:t>Aquaculture exports and port revenue</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A Nigerian perspective</w:t>
      </w:r>
      <w:r w:rsidRPr="00EA38DE">
        <w:rPr>
          <w:rFonts w:ascii="Times New Roman" w:eastAsia="Times New Roman" w:hAnsi="Times New Roman" w:cs="Times New Roman"/>
          <w:sz w:val="24"/>
          <w:szCs w:val="24"/>
        </w:rPr>
        <w:t>.</w:t>
      </w:r>
      <w:r w:rsidRPr="00EA38DE">
        <w:rPr>
          <w:rFonts w:ascii="Times New Roman" w:eastAsia="Times New Roman" w:hAnsi="Times New Roman" w:cs="Times New Roman"/>
          <w:i/>
          <w:sz w:val="24"/>
          <w:szCs w:val="24"/>
        </w:rPr>
        <w:t xml:space="preserve"> Journal of Maritime Economics and Development</w:t>
      </w:r>
      <w:r w:rsidRPr="00EA38DE">
        <w:rPr>
          <w:rFonts w:ascii="Times New Roman" w:eastAsia="Times New Roman" w:hAnsi="Times New Roman" w:cs="Times New Roman"/>
          <w:sz w:val="24"/>
          <w:szCs w:val="24"/>
        </w:rPr>
        <w:t>,</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13</w:t>
      </w:r>
      <w:r w:rsidRPr="00EA38DE">
        <w:rPr>
          <w:rFonts w:ascii="Times New Roman" w:hAnsi="Times New Roman" w:cs="Times New Roman"/>
          <w:sz w:val="24"/>
          <w:szCs w:val="24"/>
        </w:rPr>
        <w:t>(2), 85–102</w:t>
      </w:r>
    </w:p>
    <w:p w14:paraId="12A5A8C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Eze, F., &amp; Ugochukwu, O. (2021). Aquaculture exports and port revenue generation in Nigeria. </w:t>
      </w:r>
      <w:r w:rsidRPr="00EA38DE">
        <w:rPr>
          <w:rFonts w:ascii="Times New Roman" w:eastAsia="Times New Roman" w:hAnsi="Times New Roman" w:cs="Times New Roman"/>
          <w:i/>
          <w:iCs/>
          <w:sz w:val="24"/>
          <w:szCs w:val="24"/>
        </w:rPr>
        <w:t>Nigerian Journal of Maritime Economics.</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9</w:t>
      </w:r>
      <w:r w:rsidRPr="00EA38DE">
        <w:rPr>
          <w:rFonts w:ascii="Times New Roman" w:hAnsi="Times New Roman" w:cs="Times New Roman"/>
          <w:sz w:val="24"/>
          <w:szCs w:val="24"/>
        </w:rPr>
        <w:t>(1), 50–68.</w:t>
      </w:r>
    </w:p>
    <w:p w14:paraId="78493DD9"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Eze, O., &amp; Onyekachi, I. (2023). </w:t>
      </w:r>
      <w:r w:rsidRPr="00EA38DE">
        <w:rPr>
          <w:rFonts w:ascii="Times New Roman" w:eastAsia="Times New Roman" w:hAnsi="Times New Roman" w:cs="Times New Roman"/>
          <w:iCs/>
          <w:sz w:val="24"/>
          <w:szCs w:val="24"/>
        </w:rPr>
        <w:t>Desalination equipment imports and container throughput at Lagos and tin can Island ports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Nigerian Journal of Shipping and Ports, 11</w:t>
      </w:r>
      <w:r w:rsidRPr="00EA38DE">
        <w:rPr>
          <w:rFonts w:ascii="Times New Roman" w:eastAsia="Times New Roman" w:hAnsi="Times New Roman" w:cs="Times New Roman"/>
          <w:sz w:val="24"/>
          <w:szCs w:val="24"/>
        </w:rPr>
        <w:t>(15), 200-212</w:t>
      </w:r>
    </w:p>
    <w:p w14:paraId="2CD6ABD3"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Eze, S., Nwachukwu, C., &amp; Okoro, J. (2022). Maritime security and sustainable development: The Nigerian blue economy context. </w:t>
      </w:r>
      <w:r w:rsidRPr="00EA38DE">
        <w:rPr>
          <w:rFonts w:ascii="Times New Roman" w:eastAsia="Times New Roman" w:hAnsi="Times New Roman" w:cs="Times New Roman"/>
          <w:i/>
          <w:iCs/>
          <w:sz w:val="24"/>
          <w:szCs w:val="24"/>
        </w:rPr>
        <w:t>African Journal of Maritime Security</w:t>
      </w:r>
      <w:r w:rsidRPr="00EA38DE">
        <w:rPr>
          <w:rFonts w:ascii="Times New Roman" w:eastAsia="Times New Roman" w:hAnsi="Times New Roman" w:cs="Times New Roman"/>
          <w:sz w:val="24"/>
          <w:szCs w:val="24"/>
        </w:rPr>
        <w:t xml:space="preserve">, </w:t>
      </w:r>
      <w:r w:rsidRPr="00EA38DE">
        <w:rPr>
          <w:rStyle w:val="Emphasis"/>
          <w:rFonts w:ascii="Times New Roman" w:hAnsi="Times New Roman" w:cs="Times New Roman"/>
          <w:sz w:val="24"/>
          <w:szCs w:val="24"/>
        </w:rPr>
        <w:t>7</w:t>
      </w:r>
      <w:r w:rsidRPr="00EA38DE">
        <w:rPr>
          <w:rFonts w:ascii="Times New Roman" w:hAnsi="Times New Roman" w:cs="Times New Roman"/>
          <w:sz w:val="24"/>
          <w:szCs w:val="24"/>
        </w:rPr>
        <w:t>(1), 40–58.</w:t>
      </w:r>
    </w:p>
    <w:p w14:paraId="428A94C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Eze, U., &amp; Onyekachi, O. (2023). </w:t>
      </w:r>
      <w:r w:rsidRPr="00EA38DE">
        <w:rPr>
          <w:rFonts w:ascii="Times New Roman" w:eastAsia="Times New Roman" w:hAnsi="Times New Roman" w:cs="Times New Roman"/>
          <w:iCs/>
          <w:sz w:val="24"/>
          <w:szCs w:val="24"/>
        </w:rPr>
        <w:t>Desalination</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equipment imports and port throughput in Nigeria: An econometric analysis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Economics,</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14</w:t>
      </w:r>
      <w:r w:rsidRPr="00EA38DE">
        <w:rPr>
          <w:rFonts w:ascii="Times New Roman" w:hAnsi="Times New Roman" w:cs="Times New Roman"/>
          <w:sz w:val="24"/>
          <w:szCs w:val="24"/>
        </w:rPr>
        <w:t>(1), 55–72.</w:t>
      </w:r>
    </w:p>
    <w:p w14:paraId="597B131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 Eze, V. C., &amp; Oladipo, S. O. (2023). </w:t>
      </w:r>
      <w:r w:rsidRPr="00EA38DE">
        <w:rPr>
          <w:rFonts w:ascii="Times New Roman" w:eastAsia="Times New Roman" w:hAnsi="Times New Roman" w:cs="Times New Roman"/>
          <w:iCs/>
          <w:sz w:val="24"/>
          <w:szCs w:val="24"/>
        </w:rPr>
        <w:t>Exchange rate instability and its effects on maritime logistics and port operations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 xml:space="preserve">Journal of Shipping and Ocean Engineering, </w:t>
      </w:r>
      <w:r w:rsidRPr="00EA38DE">
        <w:rPr>
          <w:rFonts w:ascii="Times New Roman" w:eastAsia="Times New Roman" w:hAnsi="Times New Roman" w:cs="Times New Roman"/>
          <w:bCs/>
          <w:i/>
          <w:sz w:val="24"/>
          <w:szCs w:val="24"/>
        </w:rPr>
        <w:t>13</w:t>
      </w:r>
      <w:r w:rsidRPr="00EA38DE">
        <w:rPr>
          <w:rFonts w:ascii="Times New Roman" w:eastAsia="Times New Roman" w:hAnsi="Times New Roman" w:cs="Times New Roman"/>
          <w:sz w:val="24"/>
          <w:szCs w:val="24"/>
        </w:rPr>
        <w:t>(1), 33–49.</w:t>
      </w:r>
    </w:p>
    <w:p w14:paraId="6198A0BD"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Eze, V., &amp; Uchenna, R. (2021). </w:t>
      </w:r>
      <w:r w:rsidRPr="00EA38DE">
        <w:rPr>
          <w:rFonts w:ascii="Times New Roman" w:eastAsiaTheme="majorEastAsia" w:hAnsi="Times New Roman" w:cs="Times New Roman"/>
          <w:sz w:val="24"/>
          <w:szCs w:val="24"/>
        </w:rPr>
        <w:t>Foreign exchange instability and the financial performance of Nigerian shipping companies</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Journal of Business and Logistics, 9</w:t>
      </w:r>
      <w:r w:rsidRPr="00EA38DE">
        <w:rPr>
          <w:rFonts w:ascii="Times New Roman" w:hAnsi="Times New Roman" w:cs="Times New Roman"/>
          <w:sz w:val="24"/>
          <w:szCs w:val="24"/>
        </w:rPr>
        <w:t>(1), 87–104.</w:t>
      </w:r>
    </w:p>
    <w:p w14:paraId="375B59C3"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Falaye, D., Ogunleye, O., &amp; Adebola, F. (2019). Exchange rate fluctuations and the performance of Nigeria’s manufacturing sector. </w:t>
      </w:r>
      <w:r w:rsidRPr="00EA38DE">
        <w:rPr>
          <w:rFonts w:ascii="Times New Roman" w:eastAsiaTheme="majorEastAsia" w:hAnsi="Times New Roman" w:cs="Times New Roman"/>
          <w:i/>
          <w:sz w:val="24"/>
          <w:szCs w:val="24"/>
        </w:rPr>
        <w:t>Journal of Economic Policy and Manufacturing, 12</w:t>
      </w:r>
      <w:r w:rsidRPr="00EA38DE">
        <w:rPr>
          <w:rFonts w:ascii="Times New Roman" w:hAnsi="Times New Roman" w:cs="Times New Roman"/>
          <w:sz w:val="24"/>
          <w:szCs w:val="24"/>
        </w:rPr>
        <w:t>(2), 105-120.</w:t>
      </w:r>
    </w:p>
    <w:p w14:paraId="468F6548"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FAO (2020). </w:t>
      </w:r>
      <w:r w:rsidRPr="00EA38DE">
        <w:rPr>
          <w:rFonts w:ascii="Times New Roman" w:eastAsiaTheme="majorEastAsia" w:hAnsi="Times New Roman" w:cs="Times New Roman"/>
          <w:sz w:val="24"/>
          <w:szCs w:val="24"/>
        </w:rPr>
        <w:t>The state of world fisheries and aquaculture: Sustainability in action</w:t>
      </w:r>
      <w:r w:rsidRPr="00EA38DE">
        <w:rPr>
          <w:rFonts w:ascii="Times New Roman" w:hAnsi="Times New Roman" w:cs="Times New Roman"/>
          <w:sz w:val="24"/>
          <w:szCs w:val="24"/>
        </w:rPr>
        <w:t>. Rome: Food and Agriculture Organization of the United Nations.</w:t>
      </w:r>
    </w:p>
    <w:p w14:paraId="062D540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Federal Government of Nigeria. (2021). </w:t>
      </w:r>
      <w:r w:rsidRPr="00EA38DE">
        <w:rPr>
          <w:rFonts w:ascii="Times New Roman" w:eastAsia="Times New Roman" w:hAnsi="Times New Roman" w:cs="Times New Roman"/>
          <w:i/>
          <w:iCs/>
          <w:sz w:val="24"/>
          <w:szCs w:val="24"/>
        </w:rPr>
        <w:t>National development plan 2021–2025</w:t>
      </w:r>
      <w:r w:rsidRPr="00EA38DE">
        <w:rPr>
          <w:rFonts w:ascii="Times New Roman" w:eastAsia="Times New Roman" w:hAnsi="Times New Roman" w:cs="Times New Roman"/>
          <w:sz w:val="24"/>
          <w:szCs w:val="24"/>
        </w:rPr>
        <w:t>. Abuja: Government printer.</w:t>
      </w:r>
    </w:p>
    <w:p w14:paraId="13FD2DF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Federal Ministry of Marine and Blue Economy. (2024). </w:t>
      </w:r>
      <w:r w:rsidRPr="00EA38DE">
        <w:rPr>
          <w:rFonts w:ascii="Times New Roman" w:eastAsia="Times New Roman" w:hAnsi="Times New Roman" w:cs="Times New Roman"/>
          <w:i/>
          <w:iCs/>
          <w:sz w:val="24"/>
          <w:szCs w:val="24"/>
        </w:rPr>
        <w:t>Annual report</w:t>
      </w:r>
      <w:r w:rsidRPr="00EA38DE">
        <w:rPr>
          <w:rFonts w:ascii="Times New Roman" w:eastAsia="Times New Roman" w:hAnsi="Times New Roman" w:cs="Times New Roman"/>
          <w:sz w:val="24"/>
          <w:szCs w:val="24"/>
        </w:rPr>
        <w:t>. Lagos: FM marine and blue economy.</w:t>
      </w:r>
    </w:p>
    <w:p w14:paraId="72DA2B82" w14:textId="77777777" w:rsidR="007539AC" w:rsidRPr="00EA38DE" w:rsidRDefault="007539AC" w:rsidP="007539AC">
      <w:pPr>
        <w:pStyle w:val="NormalWeb"/>
        <w:spacing w:before="0" w:beforeAutospacing="0" w:after="240" w:afterAutospacing="0"/>
        <w:ind w:left="720" w:hanging="720"/>
        <w:jc w:val="both"/>
      </w:pPr>
      <w:r w:rsidRPr="00EA38DE">
        <w:rPr>
          <w:rStyle w:val="Strong"/>
          <w:b w:val="0"/>
        </w:rPr>
        <w:t>Fligstein, N. (2001).</w:t>
      </w:r>
      <w:r w:rsidRPr="00EA38DE">
        <w:t xml:space="preserve"> </w:t>
      </w:r>
      <w:r w:rsidRPr="00EA38DE">
        <w:rPr>
          <w:rStyle w:val="Emphasis"/>
        </w:rPr>
        <w:t>The architecture of markets: An economic sociology of twenty-first-century capitalist societies</w:t>
      </w:r>
      <w:r w:rsidRPr="00EA38DE">
        <w:t>. Princeton University press.</w:t>
      </w:r>
      <w:r w:rsidRPr="00EA38DE">
        <w:br/>
        <w:t>(For performance theory in economic behavior)</w:t>
      </w:r>
    </w:p>
    <w:p w14:paraId="36C409F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Food and Agriculture Organization (FAO). (2022). </w:t>
      </w:r>
      <w:r w:rsidRPr="00EA38DE">
        <w:rPr>
          <w:rFonts w:ascii="Times New Roman" w:eastAsia="Times New Roman" w:hAnsi="Times New Roman" w:cs="Times New Roman"/>
          <w:i/>
          <w:iCs/>
          <w:sz w:val="24"/>
          <w:szCs w:val="24"/>
        </w:rPr>
        <w:t>The state of world fisheries and aquaculture 2022</w:t>
      </w:r>
      <w:r w:rsidRPr="00EA38DE">
        <w:rPr>
          <w:rFonts w:ascii="Times New Roman" w:eastAsia="Times New Roman" w:hAnsi="Times New Roman" w:cs="Times New Roman"/>
          <w:sz w:val="24"/>
          <w:szCs w:val="24"/>
        </w:rPr>
        <w:t>. Rome: FAO.</w:t>
      </w:r>
    </w:p>
    <w:p w14:paraId="19BE5C29"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Food and Agriculture Organization (FAO). (2022). </w:t>
      </w:r>
      <w:r w:rsidRPr="00EA38DE">
        <w:rPr>
          <w:rFonts w:ascii="Times New Roman" w:hAnsi="Times New Roman" w:cs="Times New Roman"/>
          <w:i/>
          <w:iCs/>
          <w:sz w:val="24"/>
          <w:szCs w:val="24"/>
        </w:rPr>
        <w:t>The state of world fisheries and aquaculture 2022</w:t>
      </w:r>
      <w:r w:rsidRPr="00EA38DE">
        <w:rPr>
          <w:rFonts w:ascii="Times New Roman" w:hAnsi="Times New Roman" w:cs="Times New Roman"/>
          <w:sz w:val="24"/>
          <w:szCs w:val="24"/>
        </w:rPr>
        <w:t xml:space="preserve">. Rome: FAO. </w:t>
      </w:r>
      <w:hyperlink r:id="rId55" w:tgtFrame="_new" w:history="1">
        <w:r w:rsidRPr="00EA38DE">
          <w:rPr>
            <w:rFonts w:ascii="Times New Roman" w:hAnsi="Times New Roman" w:cs="Times New Roman"/>
            <w:sz w:val="24"/>
            <w:szCs w:val="24"/>
          </w:rPr>
          <w:t>https://www.fao.org/publications/sofia/2022/en/</w:t>
        </w:r>
      </w:hyperlink>
    </w:p>
    <w:p w14:paraId="36E2632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Gambo, A., &amp; Shehu, M. (2021). The blue economy and sustainable maritime development in Nigeria. </w:t>
      </w:r>
      <w:r w:rsidRPr="00EA38DE">
        <w:rPr>
          <w:rFonts w:ascii="Times New Roman" w:eastAsia="Times New Roman" w:hAnsi="Times New Roman" w:cs="Times New Roman"/>
          <w:i/>
          <w:iCs/>
          <w:sz w:val="24"/>
          <w:szCs w:val="24"/>
        </w:rPr>
        <w:t>Nigerian Journal of Environmental Management</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7</w:t>
      </w:r>
      <w:r w:rsidRPr="00EA38DE">
        <w:rPr>
          <w:rFonts w:ascii="Times New Roman" w:eastAsia="Times New Roman" w:hAnsi="Times New Roman" w:cs="Times New Roman"/>
          <w:sz w:val="24"/>
          <w:szCs w:val="24"/>
        </w:rPr>
        <w:t>(3), 134–146.</w:t>
      </w:r>
    </w:p>
    <w:p w14:paraId="26032D08"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Gambo, A., &amp; Shehu, M. (2021). The blue economy and sustainable maritime development in Nigeria. </w:t>
      </w:r>
      <w:r w:rsidRPr="00EA38DE">
        <w:rPr>
          <w:rFonts w:ascii="Times New Roman" w:eastAsia="Times New Roman" w:hAnsi="Times New Roman" w:cs="Times New Roman"/>
          <w:i/>
          <w:iCs/>
          <w:sz w:val="24"/>
          <w:szCs w:val="24"/>
        </w:rPr>
        <w:t>Nigerian Journal of Environmental Management</w:t>
      </w:r>
      <w:r w:rsidRPr="00EA38DE">
        <w:rPr>
          <w:rFonts w:ascii="Times New Roman" w:eastAsia="Times New Roman" w:hAnsi="Times New Roman" w:cs="Times New Roman"/>
          <w:sz w:val="24"/>
          <w:szCs w:val="24"/>
        </w:rPr>
        <w:t xml:space="preserve">, </w:t>
      </w:r>
      <w:r w:rsidRPr="00EA38DE">
        <w:rPr>
          <w:rStyle w:val="Emphasis"/>
          <w:rFonts w:ascii="Times New Roman" w:hAnsi="Times New Roman" w:cs="Times New Roman"/>
          <w:sz w:val="24"/>
          <w:szCs w:val="24"/>
        </w:rPr>
        <w:t>12</w:t>
      </w:r>
      <w:r w:rsidRPr="00EA38DE">
        <w:rPr>
          <w:rFonts w:ascii="Times New Roman" w:hAnsi="Times New Roman" w:cs="Times New Roman"/>
          <w:sz w:val="24"/>
          <w:szCs w:val="24"/>
        </w:rPr>
        <w:t>(3), 90–105.</w:t>
      </w:r>
    </w:p>
    <w:p w14:paraId="62E35F86" w14:textId="77777777" w:rsidR="007539AC" w:rsidRPr="00EA38DE" w:rsidRDefault="007539AC" w:rsidP="007539AC">
      <w:pPr>
        <w:pStyle w:val="NormalWeb"/>
        <w:spacing w:before="0" w:beforeAutospacing="0" w:after="240" w:afterAutospacing="0"/>
        <w:ind w:left="720" w:hanging="720"/>
        <w:jc w:val="both"/>
      </w:pPr>
      <w:r w:rsidRPr="00EA38DE">
        <w:t xml:space="preserve">Heritage Foundation. (2023). </w:t>
      </w:r>
      <w:r w:rsidRPr="00EA38DE">
        <w:rPr>
          <w:rStyle w:val="Emphasis"/>
          <w:rFonts w:eastAsiaTheme="majorEastAsia"/>
        </w:rPr>
        <w:t>2023 index of economic freedom</w:t>
      </w:r>
      <w:r w:rsidRPr="00EA38DE">
        <w:t>. Washington, DC: Heritage foundation.</w:t>
      </w:r>
    </w:p>
    <w:p w14:paraId="47D48CC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Hoffmann, J., &amp; Kumar, S. (2010). Globalisation – the maritime nexus. </w:t>
      </w:r>
      <w:r w:rsidRPr="00EA38DE">
        <w:rPr>
          <w:rFonts w:ascii="Times New Roman" w:eastAsia="Times New Roman" w:hAnsi="Times New Roman" w:cs="Times New Roman"/>
          <w:i/>
          <w:iCs/>
          <w:sz w:val="24"/>
          <w:szCs w:val="24"/>
        </w:rPr>
        <w:t>International transport forum discussion papers</w:t>
      </w:r>
      <w:r w:rsidRPr="00EA38DE">
        <w:rPr>
          <w:rFonts w:ascii="Times New Roman" w:eastAsia="Times New Roman" w:hAnsi="Times New Roman" w:cs="Times New Roman"/>
          <w:sz w:val="24"/>
          <w:szCs w:val="24"/>
        </w:rPr>
        <w:t>.</w:t>
      </w:r>
    </w:p>
    <w:p w14:paraId="402A1DEA" w14:textId="77777777" w:rsidR="007539AC" w:rsidRPr="00EA38DE" w:rsidRDefault="007539AC" w:rsidP="007539AC">
      <w:pPr>
        <w:pStyle w:val="NormalWeb"/>
        <w:spacing w:before="0" w:beforeAutospacing="0" w:after="240" w:afterAutospacing="0"/>
        <w:ind w:left="720" w:hanging="720"/>
        <w:jc w:val="both"/>
        <w:rPr>
          <w:i/>
          <w:iCs/>
        </w:rPr>
      </w:pPr>
      <w:r w:rsidRPr="00EA38DE">
        <w:t xml:space="preserve">Holland &amp; Knight. (2025). </w:t>
      </w:r>
      <w:r w:rsidRPr="00EA38DE">
        <w:rPr>
          <w:rStyle w:val="Emphasis"/>
          <w:rFonts w:eastAsiaTheme="majorEastAsia"/>
          <w:i w:val="0"/>
          <w:iCs w:val="0"/>
        </w:rPr>
        <w:t>An overview of president trump’s trade policy to date</w:t>
      </w:r>
      <w:r w:rsidRPr="00EA38DE">
        <w:t xml:space="preserve">. </w:t>
      </w:r>
      <w:r w:rsidRPr="00EA38DE">
        <w:rPr>
          <w:i/>
          <w:iCs/>
        </w:rPr>
        <w:t xml:space="preserve">Retrieved   from </w:t>
      </w:r>
      <w:hyperlink r:id="rId56" w:tgtFrame="_new" w:history="1">
        <w:r w:rsidRPr="00EA38DE">
          <w:rPr>
            <w:rStyle w:val="Hyperlink"/>
            <w:i/>
            <w:iCs/>
            <w:color w:val="auto"/>
            <w:u w:val="none"/>
          </w:rPr>
          <w:t>https://www.hklaw.com</w:t>
        </w:r>
      </w:hyperlink>
    </w:p>
    <w:p w14:paraId="2ACA6F81"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Hossin, M., &amp; Mondol, M. (2020). Effects of exchange rate fluctuations on financial performance of financial institutions in Bangladesh.</w:t>
      </w:r>
      <w:r w:rsidRPr="00EA38DE">
        <w:rPr>
          <w:rFonts w:ascii="Times New Roman" w:hAnsi="Times New Roman" w:cs="Times New Roman"/>
          <w:i/>
          <w:sz w:val="24"/>
          <w:szCs w:val="24"/>
        </w:rPr>
        <w:t xml:space="preserve"> </w:t>
      </w:r>
      <w:r w:rsidRPr="00EA38DE">
        <w:rPr>
          <w:rFonts w:ascii="Times New Roman" w:eastAsiaTheme="majorEastAsia" w:hAnsi="Times New Roman" w:cs="Times New Roman"/>
          <w:i/>
          <w:sz w:val="24"/>
          <w:szCs w:val="24"/>
        </w:rPr>
        <w:t>Asian Financial Review, 18</w:t>
      </w:r>
      <w:r w:rsidRPr="00EA38DE">
        <w:rPr>
          <w:rFonts w:ascii="Times New Roman" w:hAnsi="Times New Roman" w:cs="Times New Roman"/>
          <w:sz w:val="24"/>
          <w:szCs w:val="24"/>
        </w:rPr>
        <w:t>(1), 22-40.</w:t>
      </w:r>
    </w:p>
    <w:p w14:paraId="3324650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Ibe, C. (2023). Social inclusion and livelihoods in Nigeria’s coastal communities: blue economy perspectives. </w:t>
      </w:r>
      <w:r w:rsidRPr="00EA38DE">
        <w:rPr>
          <w:rFonts w:ascii="Times New Roman" w:eastAsia="Times New Roman" w:hAnsi="Times New Roman" w:cs="Times New Roman"/>
          <w:i/>
          <w:iCs/>
          <w:sz w:val="24"/>
          <w:szCs w:val="24"/>
        </w:rPr>
        <w:t>Coastal Management Review</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10</w:t>
      </w:r>
      <w:r w:rsidRPr="00EA38DE">
        <w:rPr>
          <w:rFonts w:ascii="Times New Roman" w:eastAsia="Times New Roman" w:hAnsi="Times New Roman" w:cs="Times New Roman"/>
          <w:sz w:val="24"/>
          <w:szCs w:val="24"/>
        </w:rPr>
        <w:t>(1), 33–47.</w:t>
      </w:r>
    </w:p>
    <w:p w14:paraId="1643B999"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Ibe, K., &amp; Nwaogu, P. (2023). </w:t>
      </w:r>
      <w:r w:rsidRPr="00EA38DE">
        <w:rPr>
          <w:rFonts w:ascii="Times New Roman" w:eastAsia="Times New Roman" w:hAnsi="Times New Roman" w:cs="Times New Roman"/>
          <w:iCs/>
          <w:sz w:val="24"/>
          <w:szCs w:val="24"/>
        </w:rPr>
        <w:t>Fisheries</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infrastructure and maritime logistics demand in coastal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Ocean and Port Economics,</w:t>
      </w:r>
      <w:r w:rsidRPr="00EA38DE">
        <w:rPr>
          <w:rStyle w:val="Heading3Char"/>
          <w:rFonts w:eastAsiaTheme="majorEastAsia"/>
          <w:i/>
          <w:sz w:val="24"/>
          <w:szCs w:val="24"/>
        </w:rPr>
        <w:t xml:space="preserve"> </w:t>
      </w:r>
      <w:r w:rsidRPr="00EA38DE">
        <w:rPr>
          <w:rStyle w:val="Emphasis"/>
          <w:rFonts w:ascii="Times New Roman" w:hAnsi="Times New Roman" w:cs="Times New Roman"/>
          <w:sz w:val="24"/>
          <w:szCs w:val="24"/>
        </w:rPr>
        <w:t>7</w:t>
      </w:r>
      <w:r w:rsidRPr="00EA38DE">
        <w:rPr>
          <w:rFonts w:ascii="Times New Roman" w:hAnsi="Times New Roman" w:cs="Times New Roman"/>
          <w:sz w:val="24"/>
          <w:szCs w:val="24"/>
        </w:rPr>
        <w:t>(1), 40–58.</w:t>
      </w:r>
    </w:p>
    <w:p w14:paraId="3F33DB14"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 Ibe, O. C., &amp; Nwokocha, C. (2020). Nigeria’s blue economy potential and sustainable development. </w:t>
      </w:r>
      <w:r w:rsidRPr="00EA38DE">
        <w:rPr>
          <w:rFonts w:ascii="Times New Roman" w:eastAsiaTheme="majorEastAsia" w:hAnsi="Times New Roman" w:cs="Times New Roman"/>
          <w:i/>
          <w:sz w:val="24"/>
          <w:szCs w:val="24"/>
        </w:rPr>
        <w:t>Nigerian Journal of Maritime Affairs</w:t>
      </w:r>
      <w:r w:rsidRPr="00EA38DE">
        <w:rPr>
          <w:rFonts w:ascii="Times New Roman" w:hAnsi="Times New Roman" w:cs="Times New Roman"/>
          <w:i/>
          <w:sz w:val="24"/>
          <w:szCs w:val="24"/>
        </w:rPr>
        <w:t>, 7</w:t>
      </w:r>
      <w:r w:rsidRPr="00EA38DE">
        <w:rPr>
          <w:rFonts w:ascii="Times New Roman" w:hAnsi="Times New Roman" w:cs="Times New Roman"/>
          <w:sz w:val="24"/>
          <w:szCs w:val="24"/>
        </w:rPr>
        <w:t xml:space="preserve">(1), 33–48 </w:t>
      </w:r>
    </w:p>
    <w:p w14:paraId="43686675" w14:textId="77777777" w:rsidR="007539AC" w:rsidRPr="00EA38DE" w:rsidRDefault="007539AC" w:rsidP="007539AC">
      <w:pPr>
        <w:adjustRightInd w:val="0"/>
        <w:spacing w:after="240" w:line="240" w:lineRule="auto"/>
        <w:ind w:left="720" w:hanging="720"/>
        <w:jc w:val="both"/>
        <w:rPr>
          <w:rFonts w:ascii="Times New Roman" w:eastAsiaTheme="majorEastAsia" w:hAnsi="Times New Roman" w:cs="Times New Roman"/>
          <w:sz w:val="24"/>
          <w:szCs w:val="24"/>
        </w:rPr>
      </w:pPr>
      <w:r w:rsidRPr="00EA38DE">
        <w:rPr>
          <w:rFonts w:ascii="Times New Roman" w:hAnsi="Times New Roman" w:cs="Times New Roman"/>
          <w:sz w:val="24"/>
          <w:szCs w:val="24"/>
        </w:rPr>
        <w:t xml:space="preserve">Ibrahim, M., &amp; Olowookere, E. (2023). Exchange rate fluctuations and export performance in Nigeria: Implications for the shipping industry. </w:t>
      </w:r>
      <w:r w:rsidRPr="00EA38DE">
        <w:rPr>
          <w:rFonts w:ascii="Times New Roman" w:eastAsiaTheme="majorEastAsia" w:hAnsi="Times New Roman" w:cs="Times New Roman"/>
          <w:i/>
          <w:sz w:val="24"/>
          <w:szCs w:val="24"/>
        </w:rPr>
        <w:t>International Journal of Shipping and Transport Logistics, 7</w:t>
      </w:r>
      <w:r w:rsidRPr="00EA38DE">
        <w:rPr>
          <w:rFonts w:ascii="Times New Roman" w:eastAsiaTheme="majorEastAsia" w:hAnsi="Times New Roman" w:cs="Times New Roman"/>
          <w:sz w:val="24"/>
          <w:szCs w:val="24"/>
        </w:rPr>
        <w:t>,</w:t>
      </w:r>
      <w:r w:rsidRPr="00EA38DE">
        <w:rPr>
          <w:rFonts w:ascii="Times New Roman" w:hAnsi="Times New Roman" w:cs="Times New Roman"/>
          <w:sz w:val="24"/>
          <w:szCs w:val="24"/>
        </w:rPr>
        <w:t xml:space="preserve"> 45–60.</w:t>
      </w:r>
    </w:p>
    <w:p w14:paraId="172F6854"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Igbokwe, E., &amp; Okorie, U. (2017). </w:t>
      </w:r>
      <w:r w:rsidRPr="00EA38DE">
        <w:rPr>
          <w:rFonts w:ascii="Times New Roman" w:eastAsia="Times New Roman" w:hAnsi="Times New Roman" w:cs="Times New Roman"/>
          <w:iCs/>
          <w:sz w:val="24"/>
          <w:szCs w:val="24"/>
        </w:rPr>
        <w:t>Exchange rate variability and maritime trade performance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Nigerian Journal of Shipping and Transport, 9</w:t>
      </w:r>
      <w:r w:rsidRPr="00EA38DE">
        <w:rPr>
          <w:rFonts w:ascii="Times New Roman" w:eastAsia="Times New Roman" w:hAnsi="Times New Roman" w:cs="Times New Roman"/>
          <w:sz w:val="24"/>
          <w:szCs w:val="24"/>
        </w:rPr>
        <w:t>(1), 35–48.</w:t>
      </w:r>
    </w:p>
    <w:p w14:paraId="10C21F7B"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Ijjo, A., &amp; Olaoluwa, R. (2019). Exchange rate fluctuations and the Nigerian shipping industry: An empirical analysis. </w:t>
      </w:r>
      <w:r w:rsidRPr="00EA38DE">
        <w:rPr>
          <w:rFonts w:ascii="Times New Roman" w:eastAsiaTheme="majorEastAsia" w:hAnsi="Times New Roman" w:cs="Times New Roman"/>
          <w:i/>
          <w:iCs/>
          <w:sz w:val="24"/>
          <w:szCs w:val="24"/>
        </w:rPr>
        <w:t>Nigerian Journal of Maritime Studies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10</w:t>
      </w:r>
      <w:r w:rsidRPr="00EA38DE">
        <w:rPr>
          <w:rFonts w:ascii="Times New Roman" w:hAnsi="Times New Roman" w:cs="Times New Roman"/>
          <w:sz w:val="24"/>
          <w:szCs w:val="24"/>
        </w:rPr>
        <w:t>(3), 88-101.</w:t>
      </w:r>
    </w:p>
    <w:p w14:paraId="023E77AC"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Ikechi, A., &amp; Nwadiubu, N. (2020). The impact of exchange rate volatility on international trade in Nigeria. </w:t>
      </w:r>
      <w:r w:rsidRPr="00EA38DE">
        <w:rPr>
          <w:rFonts w:ascii="Times New Roman" w:eastAsiaTheme="majorEastAsia" w:hAnsi="Times New Roman" w:cs="Times New Roman"/>
          <w:i/>
          <w:iCs/>
          <w:sz w:val="24"/>
          <w:szCs w:val="24"/>
        </w:rPr>
        <w:t>Journal of International Trade and Finance</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11</w:t>
      </w:r>
      <w:r w:rsidRPr="00EA38DE">
        <w:rPr>
          <w:rFonts w:ascii="Times New Roman" w:hAnsi="Times New Roman" w:cs="Times New Roman"/>
          <w:sz w:val="24"/>
          <w:szCs w:val="24"/>
        </w:rPr>
        <w:t>(2), 56-70.</w:t>
      </w:r>
    </w:p>
    <w:p w14:paraId="3181A7A0"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Ikechukwu, O., Olowolagba, O., &amp; Olisa, E. (2016). Exchange rate volatility and firm performance in Nigeria. </w:t>
      </w:r>
      <w:r w:rsidRPr="00EA38DE">
        <w:rPr>
          <w:rFonts w:ascii="Times New Roman" w:eastAsia="Times New Roman" w:hAnsi="Times New Roman" w:cs="Times New Roman"/>
          <w:i/>
          <w:iCs/>
          <w:sz w:val="24"/>
          <w:szCs w:val="24"/>
        </w:rPr>
        <w:t>International Journal of Economics, Commerce and Management, 4</w:t>
      </w:r>
      <w:r w:rsidRPr="00EA38DE">
        <w:rPr>
          <w:rFonts w:ascii="Times New Roman" w:eastAsia="Times New Roman" w:hAnsi="Times New Roman" w:cs="Times New Roman"/>
          <w:sz w:val="24"/>
          <w:szCs w:val="24"/>
        </w:rPr>
        <w:t>(12), 1–10.</w:t>
      </w:r>
    </w:p>
    <w:p w14:paraId="56086A0F"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Ikenna, O., &amp; Paul, A. (2021). Nigeria's maritime sector: Challenges and prospects. </w:t>
      </w:r>
      <w:r w:rsidRPr="00EA38DE">
        <w:rPr>
          <w:rFonts w:ascii="Times New Roman" w:eastAsiaTheme="majorEastAsia" w:hAnsi="Times New Roman" w:cs="Times New Roman"/>
          <w:i/>
          <w:iCs/>
          <w:sz w:val="24"/>
          <w:szCs w:val="24"/>
        </w:rPr>
        <w:t>Journal of African Maritime Studies,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15</w:t>
      </w:r>
      <w:r w:rsidRPr="00EA38DE">
        <w:rPr>
          <w:rFonts w:ascii="Times New Roman" w:hAnsi="Times New Roman" w:cs="Times New Roman"/>
          <w:sz w:val="24"/>
          <w:szCs w:val="24"/>
        </w:rPr>
        <w:t>(2), 45-60.</w:t>
      </w:r>
    </w:p>
    <w:p w14:paraId="1BD9B67D"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Ilechukwu, J. C., Odozi, J. C., &amp; Akintoye, V. A. (2020). </w:t>
      </w:r>
      <w:r w:rsidRPr="00EA38DE">
        <w:rPr>
          <w:rFonts w:ascii="Times New Roman" w:eastAsiaTheme="majorEastAsia" w:hAnsi="Times New Roman" w:cs="Times New Roman"/>
          <w:sz w:val="24"/>
          <w:szCs w:val="24"/>
        </w:rPr>
        <w:t>Exchange rate volatility and economic growth in Nigeria: Evidence from autoregressive distributed lag model</w:t>
      </w:r>
      <w:r w:rsidRPr="00EA38DE">
        <w:rPr>
          <w:rFonts w:ascii="Times New Roman" w:hAnsi="Times New Roman" w:cs="Times New Roman"/>
          <w:sz w:val="24"/>
          <w:szCs w:val="24"/>
        </w:rPr>
        <w:t>.</w:t>
      </w:r>
      <w:r w:rsidRPr="00EA38DE">
        <w:rPr>
          <w:rFonts w:ascii="Times New Roman" w:hAnsi="Times New Roman" w:cs="Times New Roman"/>
          <w:i/>
          <w:sz w:val="24"/>
          <w:szCs w:val="24"/>
        </w:rPr>
        <w:t xml:space="preserve"> Journal of Economics and Sustainable Development, 11</w:t>
      </w:r>
      <w:r w:rsidRPr="00EA38DE">
        <w:rPr>
          <w:rFonts w:ascii="Times New Roman" w:hAnsi="Times New Roman" w:cs="Times New Roman"/>
          <w:sz w:val="24"/>
          <w:szCs w:val="24"/>
        </w:rPr>
        <w:t>(2), 27–36.</w:t>
      </w:r>
    </w:p>
    <w:p w14:paraId="0A3AA89D"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International Chamber of Shipping. (2020). </w:t>
      </w:r>
      <w:r w:rsidRPr="00EA38DE">
        <w:rPr>
          <w:rFonts w:ascii="Times New Roman" w:eastAsiaTheme="majorEastAsia" w:hAnsi="Times New Roman" w:cs="Times New Roman"/>
          <w:i/>
          <w:sz w:val="24"/>
          <w:szCs w:val="24"/>
        </w:rPr>
        <w:t>Annual review 2020</w:t>
      </w:r>
      <w:r w:rsidRPr="00EA38DE">
        <w:rPr>
          <w:rFonts w:ascii="Times New Roman" w:hAnsi="Times New Roman" w:cs="Times New Roman"/>
          <w:sz w:val="24"/>
          <w:szCs w:val="24"/>
        </w:rPr>
        <w:t xml:space="preserve">. International chamber of shipping. Retrieved from </w:t>
      </w:r>
      <w:hyperlink r:id="rId57" w:tgtFrame="_new" w:history="1">
        <w:r w:rsidRPr="00EA38DE">
          <w:rPr>
            <w:rFonts w:ascii="Times New Roman" w:hAnsi="Times New Roman" w:cs="Times New Roman"/>
            <w:iCs/>
            <w:sz w:val="24"/>
            <w:szCs w:val="24"/>
          </w:rPr>
          <w:t>ics-shipping.org</w:t>
        </w:r>
      </w:hyperlink>
      <w:r w:rsidRPr="00EA38DE">
        <w:rPr>
          <w:rFonts w:ascii="Times New Roman" w:hAnsi="Times New Roman" w:cs="Times New Roman"/>
          <w:iCs/>
          <w:sz w:val="24"/>
          <w:szCs w:val="24"/>
        </w:rPr>
        <w:t>.</w:t>
      </w:r>
    </w:p>
    <w:p w14:paraId="0763424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International Maritime Organization (IMO). (2020). </w:t>
      </w:r>
      <w:r w:rsidRPr="00EA38DE">
        <w:rPr>
          <w:rFonts w:ascii="Times New Roman" w:eastAsia="Times New Roman" w:hAnsi="Times New Roman" w:cs="Times New Roman"/>
          <w:i/>
          <w:iCs/>
          <w:sz w:val="24"/>
          <w:szCs w:val="24"/>
        </w:rPr>
        <w:t>Annual review of maritime transport</w:t>
      </w:r>
      <w:r w:rsidRPr="00EA38DE">
        <w:rPr>
          <w:rFonts w:ascii="Times New Roman" w:eastAsia="Times New Roman" w:hAnsi="Times New Roman" w:cs="Times New Roman"/>
          <w:sz w:val="24"/>
          <w:szCs w:val="24"/>
        </w:rPr>
        <w:t>. London: IMO.</w:t>
      </w:r>
    </w:p>
    <w:p w14:paraId="05F2CDA7"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International Monetary Fund (IMF). (2023). </w:t>
      </w:r>
      <w:r w:rsidRPr="00EA38DE">
        <w:rPr>
          <w:rFonts w:ascii="Times New Roman" w:eastAsia="Times New Roman" w:hAnsi="Times New Roman" w:cs="Times New Roman"/>
          <w:i/>
          <w:iCs/>
          <w:sz w:val="24"/>
          <w:szCs w:val="24"/>
        </w:rPr>
        <w:t>Nigeria: 2023 Article IV consultation – staff report</w:t>
      </w:r>
      <w:r w:rsidRPr="00EA38DE">
        <w:rPr>
          <w:rFonts w:ascii="Times New Roman" w:eastAsia="Times New Roman" w:hAnsi="Times New Roman" w:cs="Times New Roman"/>
          <w:sz w:val="24"/>
          <w:szCs w:val="24"/>
        </w:rPr>
        <w:t>. https://www.imf.org/en/Publications/CR/Issues/2023/03/10/Nigeria-2023-Article-IV-Consultation-Staff-Report-52703</w:t>
      </w:r>
    </w:p>
    <w:p w14:paraId="4EC83F0F"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International Trade Centre. (2021). </w:t>
      </w:r>
      <w:r w:rsidRPr="00EA38DE">
        <w:rPr>
          <w:rFonts w:ascii="Times New Roman" w:eastAsiaTheme="majorEastAsia" w:hAnsi="Times New Roman" w:cs="Times New Roman"/>
          <w:sz w:val="24"/>
          <w:szCs w:val="24"/>
        </w:rPr>
        <w:t>UNCTAD review of maritime transport 2021</w:t>
      </w:r>
      <w:r w:rsidRPr="00EA38DE">
        <w:rPr>
          <w:rFonts w:ascii="Times New Roman" w:hAnsi="Times New Roman" w:cs="Times New Roman"/>
          <w:i/>
          <w:sz w:val="24"/>
          <w:szCs w:val="24"/>
        </w:rPr>
        <w:t>.</w:t>
      </w:r>
      <w:r w:rsidRPr="00EA38DE">
        <w:rPr>
          <w:rFonts w:ascii="Times New Roman" w:hAnsi="Times New Roman" w:cs="Times New Roman"/>
          <w:sz w:val="24"/>
          <w:szCs w:val="24"/>
        </w:rPr>
        <w:t xml:space="preserve"> United Nations conference on trade and development </w:t>
      </w:r>
      <w:r w:rsidRPr="00EA38DE">
        <w:rPr>
          <w:rFonts w:ascii="Times New Roman" w:eastAsia="Times New Roman" w:hAnsi="Times New Roman" w:cs="Times New Roman"/>
          <w:sz w:val="24"/>
          <w:szCs w:val="24"/>
        </w:rPr>
        <w:t xml:space="preserve">investment implications. </w:t>
      </w:r>
      <w:r w:rsidRPr="00EA38DE">
        <w:rPr>
          <w:rFonts w:ascii="Times New Roman" w:eastAsia="Times New Roman" w:hAnsi="Times New Roman" w:cs="Times New Roman"/>
          <w:i/>
          <w:iCs/>
          <w:sz w:val="24"/>
          <w:szCs w:val="24"/>
        </w:rPr>
        <w:t>African Development Policy Review</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6</w:t>
      </w:r>
      <w:r w:rsidRPr="00EA38DE">
        <w:rPr>
          <w:rFonts w:ascii="Times New Roman" w:eastAsia="Times New Roman" w:hAnsi="Times New Roman" w:cs="Times New Roman"/>
          <w:sz w:val="24"/>
          <w:szCs w:val="24"/>
        </w:rPr>
        <w:t>(1), 45–60.</w:t>
      </w:r>
    </w:p>
    <w:p w14:paraId="7327EF8C"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Interregional Coordination Centre (ICC). (2022). </w:t>
      </w:r>
      <w:r w:rsidRPr="00EA38DE">
        <w:rPr>
          <w:rFonts w:ascii="Times New Roman" w:eastAsiaTheme="majorEastAsia" w:hAnsi="Times New Roman" w:cs="Times New Roman"/>
          <w:sz w:val="24"/>
          <w:szCs w:val="24"/>
        </w:rPr>
        <w:t>Annual report on maritime security and cooperation in the Gulf of Guinea</w:t>
      </w:r>
      <w:r w:rsidRPr="00EA38DE">
        <w:rPr>
          <w:rFonts w:ascii="Times New Roman" w:hAnsi="Times New Roman" w:cs="Times New Roman"/>
          <w:sz w:val="24"/>
          <w:szCs w:val="24"/>
        </w:rPr>
        <w:t xml:space="preserve">. </w:t>
      </w:r>
      <w:r w:rsidRPr="00EA38DE">
        <w:rPr>
          <w:rFonts w:ascii="Times New Roman" w:hAnsi="Times New Roman" w:cs="Times New Roman"/>
          <w:i/>
          <w:iCs/>
          <w:sz w:val="24"/>
          <w:szCs w:val="24"/>
        </w:rPr>
        <w:t>ICC publications</w:t>
      </w:r>
      <w:r w:rsidRPr="00EA38DE">
        <w:rPr>
          <w:rFonts w:ascii="Times New Roman" w:hAnsi="Times New Roman" w:cs="Times New Roman"/>
          <w:sz w:val="24"/>
          <w:szCs w:val="24"/>
        </w:rPr>
        <w:t>.</w:t>
      </w:r>
    </w:p>
    <w:p w14:paraId="5E1DCA8A" w14:textId="77777777" w:rsidR="007539AC" w:rsidRPr="00EA38DE" w:rsidRDefault="007539AC" w:rsidP="007539AC">
      <w:pPr>
        <w:pStyle w:val="NormalWeb"/>
        <w:spacing w:before="0" w:beforeAutospacing="0" w:after="240" w:afterAutospacing="0"/>
        <w:ind w:left="720" w:hanging="720"/>
        <w:jc w:val="both"/>
        <w:rPr>
          <w:i/>
          <w:iCs/>
        </w:rPr>
      </w:pPr>
      <w:r w:rsidRPr="00EA38DE">
        <w:rPr>
          <w:rStyle w:val="Strong"/>
          <w:b w:val="0"/>
        </w:rPr>
        <w:t>Jacobs, M. (2012).</w:t>
      </w:r>
      <w:r w:rsidRPr="00EA38DE">
        <w:t xml:space="preserve"> </w:t>
      </w:r>
      <w:r w:rsidRPr="00EA38DE">
        <w:rPr>
          <w:rStyle w:val="Emphasis"/>
          <w:i w:val="0"/>
          <w:iCs w:val="0"/>
        </w:rPr>
        <w:t>Green growth: Economic theory and political discourse</w:t>
      </w:r>
      <w:r w:rsidRPr="00EA38DE">
        <w:rPr>
          <w:i/>
          <w:iCs/>
        </w:rPr>
        <w:t xml:space="preserve"> </w:t>
      </w:r>
      <w:r w:rsidRPr="00EA38DE">
        <w:t>(</w:t>
      </w:r>
      <w:r w:rsidRPr="00EA38DE">
        <w:rPr>
          <w:i/>
          <w:iCs/>
        </w:rPr>
        <w:t>Grantham Research Institute on Climate Change and the Environment Working Paper No. 108). Centre for Climate Change Economics and Policy &amp; Grantham Research Institute. Retrieved from https://www.cccep.ac.uk/wp-content/uploads/2015/10/WP108-green-growth-economic-theory-political-discourse.pdf</w:t>
      </w:r>
    </w:p>
    <w:p w14:paraId="37EFF390"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Jongbo, O. (2018). Real exchange rate misalignment and industrial output in Nigeria. </w:t>
      </w:r>
      <w:r w:rsidRPr="00EA38DE">
        <w:rPr>
          <w:rFonts w:ascii="Times New Roman" w:eastAsia="Times New Roman" w:hAnsi="Times New Roman" w:cs="Times New Roman"/>
          <w:i/>
          <w:iCs/>
          <w:sz w:val="24"/>
          <w:szCs w:val="24"/>
        </w:rPr>
        <w:t>Journal of Economics and Sustainable Development, 9</w:t>
      </w:r>
      <w:r w:rsidRPr="00EA38DE">
        <w:rPr>
          <w:rFonts w:ascii="Times New Roman" w:eastAsia="Times New Roman" w:hAnsi="Times New Roman" w:cs="Times New Roman"/>
          <w:sz w:val="24"/>
          <w:szCs w:val="24"/>
        </w:rPr>
        <w:t>(12), 45–53.</w:t>
      </w:r>
    </w:p>
    <w:p w14:paraId="0B5FB694"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Kanu, S. I., &amp; Nwadiubu, A. (2020). Exchange rate volatility and international trade in Nigeria. </w:t>
      </w:r>
      <w:r w:rsidRPr="00EA38DE">
        <w:rPr>
          <w:rFonts w:ascii="Times New Roman" w:eastAsiaTheme="majorEastAsia" w:hAnsi="Times New Roman" w:cs="Times New Roman"/>
          <w:i/>
          <w:iCs/>
          <w:sz w:val="24"/>
          <w:szCs w:val="24"/>
        </w:rPr>
        <w:t>International Journal of Management Science and Business Administration</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6</w:t>
      </w:r>
      <w:r w:rsidRPr="00EA38DE">
        <w:rPr>
          <w:rFonts w:ascii="Times New Roman" w:hAnsi="Times New Roman" w:cs="Times New Roman"/>
          <w:sz w:val="24"/>
          <w:szCs w:val="24"/>
        </w:rPr>
        <w:t>(5), 56-72.</w:t>
      </w:r>
    </w:p>
    <w:p w14:paraId="71EC0861"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Keshtgar, M., Pahlavani, M., &amp; Mirjalili, S. (2020). The impact of exchange rate volatility on banks’ performance in Iran. </w:t>
      </w:r>
      <w:r w:rsidRPr="00EA38DE">
        <w:rPr>
          <w:rFonts w:ascii="Times New Roman" w:eastAsiaTheme="majorEastAsia" w:hAnsi="Times New Roman" w:cs="Times New Roman"/>
          <w:i/>
          <w:iCs/>
          <w:sz w:val="24"/>
          <w:szCs w:val="24"/>
        </w:rPr>
        <w:t>Journal of Economic Studies,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15</w:t>
      </w:r>
      <w:r w:rsidRPr="00EA38DE">
        <w:rPr>
          <w:rFonts w:ascii="Times New Roman" w:hAnsi="Times New Roman" w:cs="Times New Roman"/>
          <w:sz w:val="24"/>
          <w:szCs w:val="24"/>
        </w:rPr>
        <w:t>(4), 118-135.</w:t>
      </w:r>
    </w:p>
    <w:p w14:paraId="070A6F6C"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Kpechukwu, U., Olowolagba, S., &amp; Olisa, A. (2020). Reforming Nigeria's shipping industry: Policy initiatives and challenges. </w:t>
      </w:r>
      <w:r w:rsidRPr="00EA38DE">
        <w:rPr>
          <w:rFonts w:ascii="Times New Roman" w:eastAsiaTheme="majorEastAsia" w:hAnsi="Times New Roman" w:cs="Times New Roman"/>
          <w:i/>
          <w:iCs/>
          <w:sz w:val="24"/>
          <w:szCs w:val="24"/>
        </w:rPr>
        <w:t>Maritime Policy &amp; Management</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47</w:t>
      </w:r>
      <w:r w:rsidRPr="00EA38DE">
        <w:rPr>
          <w:rFonts w:ascii="Times New Roman" w:hAnsi="Times New Roman" w:cs="Times New Roman"/>
          <w:sz w:val="24"/>
          <w:szCs w:val="24"/>
        </w:rPr>
        <w:t>(4), 412-428.</w:t>
      </w:r>
    </w:p>
    <w:p w14:paraId="3661313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Style w:val="Strong"/>
          <w:rFonts w:ascii="Times New Roman" w:hAnsi="Times New Roman" w:cs="Times New Roman"/>
          <w:b w:val="0"/>
          <w:sz w:val="24"/>
          <w:szCs w:val="24"/>
        </w:rPr>
        <w:t>Lattemann, S., &amp; Höpner, T.</w:t>
      </w:r>
      <w:r w:rsidRPr="00EA38DE">
        <w:rPr>
          <w:rFonts w:ascii="Times New Roman" w:hAnsi="Times New Roman" w:cs="Times New Roman"/>
          <w:sz w:val="24"/>
          <w:szCs w:val="24"/>
        </w:rPr>
        <w:t xml:space="preserve"> (2008). Environmental impact and impact assessment of seawater desalination. </w:t>
      </w:r>
      <w:r w:rsidRPr="00EA38DE">
        <w:rPr>
          <w:rStyle w:val="Emphasis"/>
          <w:rFonts w:ascii="Times New Roman" w:hAnsi="Times New Roman" w:cs="Times New Roman"/>
          <w:sz w:val="24"/>
          <w:szCs w:val="24"/>
        </w:rPr>
        <w:t>Desalination, 220</w:t>
      </w:r>
      <w:r w:rsidRPr="00EA38DE">
        <w:rPr>
          <w:rFonts w:ascii="Times New Roman" w:hAnsi="Times New Roman" w:cs="Times New Roman"/>
          <w:sz w:val="24"/>
          <w:szCs w:val="24"/>
        </w:rPr>
        <w:t>(1–3), 1–15. https://doi.org/10.1016/j.desal.2007.03.009</w:t>
      </w:r>
    </w:p>
    <w:p w14:paraId="49A9E08C"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Style w:val="Strong"/>
          <w:rFonts w:ascii="Times New Roman" w:hAnsi="Times New Roman" w:cs="Times New Roman"/>
          <w:b w:val="0"/>
          <w:sz w:val="24"/>
          <w:szCs w:val="24"/>
        </w:rPr>
        <w:t>Lebas, M., &amp; Euske, K. (2002).</w:t>
      </w:r>
      <w:r w:rsidRPr="00EA38DE">
        <w:rPr>
          <w:rFonts w:ascii="Times New Roman" w:hAnsi="Times New Roman" w:cs="Times New Roman"/>
          <w:b/>
          <w:bCs/>
          <w:sz w:val="24"/>
          <w:szCs w:val="24"/>
        </w:rPr>
        <w:t xml:space="preserve"> </w:t>
      </w:r>
      <w:r w:rsidRPr="00EA38DE">
        <w:rPr>
          <w:rFonts w:ascii="Times New Roman" w:hAnsi="Times New Roman" w:cs="Times New Roman"/>
          <w:sz w:val="24"/>
          <w:szCs w:val="24"/>
        </w:rPr>
        <w:t xml:space="preserve">A conceptual and operational delineation of performance. In A. Neely (Ed.), </w:t>
      </w:r>
      <w:r w:rsidRPr="00EA38DE">
        <w:rPr>
          <w:rStyle w:val="Emphasis"/>
          <w:rFonts w:ascii="Times New Roman" w:hAnsi="Times New Roman" w:cs="Times New Roman"/>
          <w:sz w:val="24"/>
          <w:szCs w:val="24"/>
        </w:rPr>
        <w:t>Business performance measurement: Theory and practice</w:t>
      </w:r>
      <w:r w:rsidRPr="00EA38DE">
        <w:rPr>
          <w:rFonts w:ascii="Times New Roman" w:hAnsi="Times New Roman" w:cs="Times New Roman"/>
          <w:sz w:val="24"/>
          <w:szCs w:val="24"/>
        </w:rPr>
        <w:t>. Cambridge University press, 65–79.</w:t>
      </w:r>
    </w:p>
    <w:p w14:paraId="15184556"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Maduechesi, I. P., Mohammed, S. S., &amp; Odenu, I. E. (2024). An analysis of the impact of seaport efficiency on Nigeria’s economic growth. </w:t>
      </w:r>
      <w:r w:rsidRPr="00EA38DE">
        <w:rPr>
          <w:rFonts w:ascii="Times New Roman" w:eastAsiaTheme="majorEastAsia" w:hAnsi="Times New Roman" w:cs="Times New Roman"/>
          <w:i/>
          <w:sz w:val="24"/>
          <w:szCs w:val="24"/>
        </w:rPr>
        <w:t>International Journal of Management and Applied Research, 7</w:t>
      </w:r>
      <w:r w:rsidRPr="00EA38DE">
        <w:rPr>
          <w:rFonts w:ascii="Times New Roman" w:hAnsi="Times New Roman" w:cs="Times New Roman"/>
          <w:sz w:val="24"/>
          <w:szCs w:val="24"/>
        </w:rPr>
        <w:t>(9), 4193-4205.</w:t>
      </w:r>
    </w:p>
    <w:p w14:paraId="5F28ABFD"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Manyok, A. (2016). Exchange rate fluctuations and financial performance of banks in South Sudan. </w:t>
      </w:r>
      <w:r w:rsidRPr="00EA38DE">
        <w:rPr>
          <w:rFonts w:ascii="Times New Roman" w:eastAsia="Times New Roman" w:hAnsi="Times New Roman" w:cs="Times New Roman"/>
          <w:i/>
          <w:iCs/>
          <w:sz w:val="24"/>
          <w:szCs w:val="24"/>
        </w:rPr>
        <w:t>International Journal of Economics and Financial Issues, 6</w:t>
      </w:r>
      <w:r w:rsidRPr="00EA38DE">
        <w:rPr>
          <w:rFonts w:ascii="Times New Roman" w:eastAsia="Times New Roman" w:hAnsi="Times New Roman" w:cs="Times New Roman"/>
          <w:sz w:val="24"/>
          <w:szCs w:val="24"/>
        </w:rPr>
        <w:t>(2), 1–8.</w:t>
      </w:r>
    </w:p>
    <w:p w14:paraId="365AE825"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Mlambo, V. (2020). Exchange rate and manufacturing performance in the Southern African Customs Union (SACU) states. </w:t>
      </w:r>
      <w:r w:rsidRPr="00EA38DE">
        <w:rPr>
          <w:rFonts w:ascii="Times New Roman" w:eastAsiaTheme="majorEastAsia" w:hAnsi="Times New Roman" w:cs="Times New Roman"/>
          <w:i/>
          <w:sz w:val="24"/>
          <w:szCs w:val="24"/>
        </w:rPr>
        <w:t>Journal of African Economic Studies, 7</w:t>
      </w:r>
      <w:r w:rsidRPr="00EA38DE">
        <w:rPr>
          <w:rFonts w:ascii="Times New Roman" w:hAnsi="Times New Roman" w:cs="Times New Roman"/>
          <w:sz w:val="24"/>
          <w:szCs w:val="24"/>
        </w:rPr>
        <w:t>(4), 100-115.</w:t>
      </w:r>
    </w:p>
    <w:p w14:paraId="5888A81C"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Mordi, C. N. (2006). The challenges of exchange rate volatility in Nigeria. </w:t>
      </w:r>
      <w:r w:rsidRPr="00EA38DE">
        <w:rPr>
          <w:rFonts w:ascii="Times New Roman" w:eastAsiaTheme="majorEastAsia" w:hAnsi="Times New Roman" w:cs="Times New Roman"/>
          <w:i/>
          <w:sz w:val="24"/>
          <w:szCs w:val="24"/>
        </w:rPr>
        <w:t>CBN Bullion, 30</w:t>
      </w:r>
      <w:r w:rsidRPr="00EA38DE">
        <w:rPr>
          <w:rFonts w:ascii="Times New Roman" w:hAnsi="Times New Roman" w:cs="Times New Roman"/>
          <w:sz w:val="24"/>
          <w:szCs w:val="24"/>
        </w:rPr>
        <w:t>(4), 1-10.</w:t>
      </w:r>
    </w:p>
    <w:p w14:paraId="0DA61DC1"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National Hydrographic Agency. (2024). Blue Economy: The Nigerian challenge. Retrieved from https://nha.gov.ng/2024/12/14/blue-economythe-nigerian-challenge/</w:t>
      </w:r>
    </w:p>
    <w:p w14:paraId="38D037F3" w14:textId="77777777" w:rsidR="007539AC" w:rsidRPr="00EA38DE" w:rsidRDefault="007539AC" w:rsidP="007539AC">
      <w:pPr>
        <w:pStyle w:val="NormalWeb"/>
        <w:spacing w:before="0" w:beforeAutospacing="0" w:after="240" w:afterAutospacing="0"/>
        <w:ind w:left="720" w:hanging="720"/>
        <w:jc w:val="both"/>
      </w:pPr>
      <w:r w:rsidRPr="00EA38DE">
        <w:rPr>
          <w:rStyle w:val="Strong"/>
          <w:rFonts w:eastAsiaTheme="majorEastAsia"/>
          <w:b w:val="0"/>
        </w:rPr>
        <w:t>Neely, A., Gregory, M., &amp; Platts, K. (2005).</w:t>
      </w:r>
      <w:r w:rsidRPr="00EA38DE">
        <w:t xml:space="preserve"> </w:t>
      </w:r>
      <w:r w:rsidRPr="00EA38DE">
        <w:rPr>
          <w:rStyle w:val="Emphasis"/>
        </w:rPr>
        <w:t>Performance measurement system design: A literature review and research agenda.</w:t>
      </w:r>
      <w:r w:rsidRPr="00EA38DE">
        <w:t xml:space="preserve"> </w:t>
      </w:r>
      <w:r w:rsidRPr="00EA38DE">
        <w:rPr>
          <w:i/>
        </w:rPr>
        <w:t>International Journal of Operations &amp; Production Management, 25</w:t>
      </w:r>
      <w:r w:rsidRPr="00EA38DE">
        <w:t xml:space="preserve">(12), 1228–1263. </w:t>
      </w:r>
      <w:hyperlink r:id="rId58" w:history="1">
        <w:r w:rsidRPr="00EA38DE">
          <w:rPr>
            <w:rStyle w:val="Hyperlink"/>
            <w:color w:val="auto"/>
            <w:u w:val="none"/>
          </w:rPr>
          <w:t>https://doi.org/10.1108/01443570510633639</w:t>
        </w:r>
      </w:hyperlink>
    </w:p>
    <w:p w14:paraId="26FF4004"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Nigerian Maritime Administration and Safety Agency (NIMASA). (2023). </w:t>
      </w:r>
      <w:r w:rsidRPr="00EA38DE">
        <w:rPr>
          <w:rFonts w:ascii="Times New Roman" w:eastAsiaTheme="majorEastAsia" w:hAnsi="Times New Roman" w:cs="Times New Roman"/>
          <w:sz w:val="24"/>
          <w:szCs w:val="24"/>
        </w:rPr>
        <w:t>Blue economy policy and strategy</w:t>
      </w:r>
      <w:r w:rsidRPr="00EA38DE">
        <w:rPr>
          <w:rFonts w:ascii="Times New Roman" w:hAnsi="Times New Roman" w:cs="Times New Roman"/>
          <w:sz w:val="24"/>
          <w:szCs w:val="24"/>
        </w:rPr>
        <w:t>. Lagos: NIMASA.</w:t>
      </w:r>
    </w:p>
    <w:p w14:paraId="2947B20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Nigerian Maritime Administration and Safety Agency (NIMASA). (2023). </w:t>
      </w:r>
      <w:r w:rsidRPr="00EA38DE">
        <w:rPr>
          <w:rFonts w:ascii="Times New Roman" w:eastAsia="Times New Roman" w:hAnsi="Times New Roman" w:cs="Times New Roman"/>
          <w:i/>
          <w:iCs/>
          <w:sz w:val="24"/>
          <w:szCs w:val="24"/>
        </w:rPr>
        <w:t>Draft blue economy policy and strategy</w:t>
      </w:r>
      <w:r w:rsidRPr="00EA38DE">
        <w:rPr>
          <w:rFonts w:ascii="Times New Roman" w:eastAsia="Times New Roman" w:hAnsi="Times New Roman" w:cs="Times New Roman"/>
          <w:sz w:val="24"/>
          <w:szCs w:val="24"/>
        </w:rPr>
        <w:t>. Lagos: NIMASA.</w:t>
      </w:r>
    </w:p>
    <w:p w14:paraId="3E85381E" w14:textId="77777777" w:rsidR="007539AC" w:rsidRPr="00EA38DE" w:rsidRDefault="007539AC" w:rsidP="007539AC">
      <w:pPr>
        <w:pStyle w:val="NormalWeb"/>
        <w:spacing w:before="0" w:beforeAutospacing="0" w:after="240" w:afterAutospacing="0"/>
        <w:ind w:left="720" w:hanging="720"/>
        <w:jc w:val="both"/>
      </w:pPr>
      <w:r w:rsidRPr="00EA38DE">
        <w:t>Nigerian Maritime Administration and Safety Agency. (2024). National policy on marine and blue economy to chart direction for development – Oyetola. Retrieved from https://nimasa.gov.ng/national-policy-on-marine-and-blue-economy-to-chart-direction-for-development-oyetola/</w:t>
      </w:r>
    </w:p>
    <w:p w14:paraId="17C6A99F"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NIMASA (2022). Nigeria's blue economy strategy: Opportunities for maritime growth and development. Lagos: Nigerian Maritime Administration and Safety Agency.</w:t>
      </w:r>
    </w:p>
    <w:p w14:paraId="3B66009E" w14:textId="77777777" w:rsidR="007539AC" w:rsidRPr="00EA38DE" w:rsidRDefault="007539AC" w:rsidP="007539AC">
      <w:pPr>
        <w:spacing w:after="240" w:line="240" w:lineRule="auto"/>
        <w:ind w:left="720" w:hanging="720"/>
        <w:jc w:val="both"/>
        <w:rPr>
          <w:rFonts w:ascii="Times New Roman" w:eastAsia="Times New Roman" w:hAnsi="Times New Roman" w:cs="Times New Roman"/>
          <w:i/>
          <w:iCs/>
          <w:sz w:val="24"/>
          <w:szCs w:val="24"/>
        </w:rPr>
      </w:pPr>
      <w:r w:rsidRPr="00EA38DE">
        <w:rPr>
          <w:rFonts w:ascii="Times New Roman" w:eastAsia="Times New Roman" w:hAnsi="Times New Roman" w:cs="Times New Roman"/>
          <w:sz w:val="24"/>
          <w:szCs w:val="24"/>
        </w:rPr>
        <w:t xml:space="preserve">NIMASA (Nigerian Maritime Administration and Safety Agency). (2023). </w:t>
      </w:r>
      <w:r w:rsidRPr="00EA38DE">
        <w:rPr>
          <w:rFonts w:ascii="Times New Roman" w:eastAsia="Times New Roman" w:hAnsi="Times New Roman" w:cs="Times New Roman"/>
          <w:i/>
          <w:iCs/>
          <w:sz w:val="24"/>
          <w:szCs w:val="24"/>
        </w:rPr>
        <w:t xml:space="preserve">Maritime industry </w:t>
      </w:r>
    </w:p>
    <w:p w14:paraId="53328EA8" w14:textId="77777777" w:rsidR="007539AC" w:rsidRPr="00EA38DE" w:rsidRDefault="007539AC" w:rsidP="007539AC">
      <w:pPr>
        <w:spacing w:after="240" w:line="240" w:lineRule="auto"/>
        <w:ind w:left="720" w:hanging="720"/>
        <w:jc w:val="both"/>
        <w:rPr>
          <w:rFonts w:ascii="Times New Roman" w:hAnsi="Times New Roman" w:cs="Times New Roman"/>
          <w:i/>
          <w:iCs/>
          <w:sz w:val="24"/>
          <w:szCs w:val="24"/>
        </w:rPr>
      </w:pPr>
      <w:r w:rsidRPr="00EA38DE">
        <w:rPr>
          <w:rFonts w:ascii="Times New Roman" w:hAnsi="Times New Roman" w:cs="Times New Roman"/>
          <w:sz w:val="24"/>
          <w:szCs w:val="24"/>
        </w:rPr>
        <w:t xml:space="preserve">NIMASA. (2021). </w:t>
      </w:r>
      <w:r w:rsidRPr="00EA38DE">
        <w:rPr>
          <w:rFonts w:ascii="Times New Roman" w:eastAsiaTheme="majorEastAsia" w:hAnsi="Times New Roman" w:cs="Times New Roman"/>
          <w:sz w:val="24"/>
          <w:szCs w:val="24"/>
        </w:rPr>
        <w:t>Nigeria’s maritime industry forecast 2021–2025</w:t>
      </w:r>
      <w:r w:rsidRPr="00EA38DE">
        <w:rPr>
          <w:rFonts w:ascii="Times New Roman" w:hAnsi="Times New Roman" w:cs="Times New Roman"/>
          <w:sz w:val="24"/>
          <w:szCs w:val="24"/>
        </w:rPr>
        <w:t xml:space="preserve">. </w:t>
      </w:r>
      <w:r w:rsidRPr="00EA38DE">
        <w:rPr>
          <w:rFonts w:ascii="Times New Roman" w:hAnsi="Times New Roman" w:cs="Times New Roman"/>
          <w:i/>
          <w:iCs/>
          <w:sz w:val="24"/>
          <w:szCs w:val="24"/>
        </w:rPr>
        <w:t xml:space="preserve">Nigerian maritime administration and safety agency. </w:t>
      </w:r>
    </w:p>
    <w:p w14:paraId="55979407"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NIMASA. (2022). The deep blue project: Securing Nigeria’s maritime space. </w:t>
      </w:r>
      <w:r w:rsidRPr="00EA38DE">
        <w:rPr>
          <w:rFonts w:ascii="Times New Roman" w:eastAsia="Times New Roman" w:hAnsi="Times New Roman" w:cs="Times New Roman"/>
          <w:i/>
          <w:iCs/>
          <w:sz w:val="24"/>
          <w:szCs w:val="24"/>
        </w:rPr>
        <w:t>Nigerian maritime</w:t>
      </w:r>
      <w:r w:rsidRPr="00EA38DE">
        <w:rPr>
          <w:rFonts w:ascii="Times New Roman" w:eastAsia="Times New Roman" w:hAnsi="Times New Roman" w:cs="Times New Roman"/>
          <w:sz w:val="24"/>
          <w:szCs w:val="24"/>
        </w:rPr>
        <w:t xml:space="preserve">. </w:t>
      </w:r>
    </w:p>
    <w:p w14:paraId="3316B7F2"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Njoku, Y., Yomi, S., &amp; Sunday, O. (2020). The strategic importance of shipping in global trade: A historical perspective. </w:t>
      </w:r>
      <w:r w:rsidRPr="00EA38DE">
        <w:rPr>
          <w:rFonts w:ascii="Times New Roman" w:eastAsiaTheme="majorEastAsia" w:hAnsi="Times New Roman" w:cs="Times New Roman"/>
          <w:i/>
          <w:sz w:val="24"/>
          <w:szCs w:val="24"/>
        </w:rPr>
        <w:t>Maritime Policy &amp; Management, 47</w:t>
      </w:r>
      <w:r w:rsidRPr="00EA38DE">
        <w:rPr>
          <w:rFonts w:ascii="Times New Roman" w:hAnsi="Times New Roman" w:cs="Times New Roman"/>
          <w:sz w:val="24"/>
          <w:szCs w:val="24"/>
        </w:rPr>
        <w:t>(4), 450-465.</w:t>
      </w:r>
    </w:p>
    <w:p w14:paraId="099B8BDE"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Notteboom, T., &amp; Rodrigue, J.-P. (2005). Port regionalization: Towards a new phase in port development. </w:t>
      </w:r>
      <w:r w:rsidRPr="00EA38DE">
        <w:rPr>
          <w:rFonts w:ascii="Times New Roman" w:eastAsia="Times New Roman" w:hAnsi="Times New Roman" w:cs="Times New Roman"/>
          <w:i/>
          <w:iCs/>
          <w:sz w:val="24"/>
          <w:szCs w:val="24"/>
        </w:rPr>
        <w:t>Maritime Policy &amp; Management</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32</w:t>
      </w:r>
      <w:r w:rsidRPr="00EA38DE">
        <w:rPr>
          <w:rFonts w:ascii="Times New Roman" w:eastAsia="Times New Roman" w:hAnsi="Times New Roman" w:cs="Times New Roman"/>
          <w:sz w:val="24"/>
          <w:szCs w:val="24"/>
        </w:rPr>
        <w:t>(3), 297–313.</w:t>
      </w:r>
    </w:p>
    <w:p w14:paraId="2F518C08"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Notteboom, T., &amp; Rodrigue, J.-P. (2008). Containerisation, Box logistics and global supply chains: The integration of ports and liner shipping networks. </w:t>
      </w:r>
      <w:r w:rsidRPr="00EA38DE">
        <w:rPr>
          <w:rFonts w:ascii="Times New Roman" w:eastAsia="Times New Roman" w:hAnsi="Times New Roman" w:cs="Times New Roman"/>
          <w:i/>
          <w:iCs/>
          <w:sz w:val="24"/>
          <w:szCs w:val="24"/>
        </w:rPr>
        <w:t>Journal of Maritime Economics &amp; Logistics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10</w:t>
      </w:r>
      <w:r w:rsidRPr="00EA38DE">
        <w:rPr>
          <w:rFonts w:ascii="Times New Roman" w:eastAsia="Times New Roman" w:hAnsi="Times New Roman" w:cs="Times New Roman"/>
          <w:sz w:val="24"/>
          <w:szCs w:val="24"/>
        </w:rPr>
        <w:t>(12), 152–174.</w:t>
      </w:r>
    </w:p>
    <w:p w14:paraId="6675D437"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NPA (2022). Annual port statistics and revenue report. </w:t>
      </w:r>
      <w:r w:rsidRPr="00EA38DE">
        <w:rPr>
          <w:rFonts w:ascii="Times New Roman" w:eastAsia="Times New Roman" w:hAnsi="Times New Roman" w:cs="Times New Roman"/>
          <w:i/>
          <w:iCs/>
          <w:sz w:val="24"/>
          <w:szCs w:val="24"/>
        </w:rPr>
        <w:t>Nigerian Ports Authority</w:t>
      </w:r>
      <w:r w:rsidRPr="00EA38DE">
        <w:rPr>
          <w:rFonts w:ascii="Times New Roman" w:eastAsia="Times New Roman" w:hAnsi="Times New Roman" w:cs="Times New Roman"/>
          <w:sz w:val="24"/>
          <w:szCs w:val="24"/>
        </w:rPr>
        <w:t>.</w:t>
      </w:r>
    </w:p>
    <w:p w14:paraId="515B1C7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lastRenderedPageBreak/>
        <w:t xml:space="preserve"> Nwachukwu, A., &amp; Odii, A.</w:t>
      </w:r>
      <w:r w:rsidRPr="00EA38DE">
        <w:rPr>
          <w:rFonts w:ascii="Times New Roman" w:eastAsia="Times New Roman" w:hAnsi="Times New Roman" w:cs="Times New Roman"/>
          <w:sz w:val="24"/>
          <w:szCs w:val="24"/>
        </w:rPr>
        <w:t xml:space="preserve"> (2023). </w:t>
      </w:r>
      <w:r w:rsidRPr="00EA38DE">
        <w:rPr>
          <w:rFonts w:ascii="Times New Roman" w:eastAsia="Times New Roman" w:hAnsi="Times New Roman" w:cs="Times New Roman"/>
          <w:iCs/>
          <w:sz w:val="24"/>
          <w:szCs w:val="24"/>
        </w:rPr>
        <w:t>Exchange rate volatility and balance of payments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bCs/>
          <w:i/>
          <w:sz w:val="24"/>
          <w:szCs w:val="24"/>
        </w:rPr>
        <w:t xml:space="preserve">African Journal of Management and Business Research, 14 </w:t>
      </w:r>
      <w:r w:rsidRPr="00EA38DE">
        <w:rPr>
          <w:rFonts w:ascii="Times New Roman" w:eastAsia="Times New Roman" w:hAnsi="Times New Roman" w:cs="Times New Roman"/>
          <w:sz w:val="24"/>
          <w:szCs w:val="24"/>
        </w:rPr>
        <w:t>(2), 55–67.</w:t>
      </w:r>
      <w:r w:rsidRPr="00EA38DE">
        <w:rPr>
          <w:rFonts w:ascii="Times New Roman" w:eastAsia="Times New Roman" w:hAnsi="Times New Roman" w:cs="Times New Roman"/>
          <w:sz w:val="24"/>
          <w:szCs w:val="24"/>
        </w:rPr>
        <w:br/>
        <w:t>https://publications.afropolitanjournals.com/index.php/ajmbr/article/view/381</w:t>
      </w:r>
    </w:p>
    <w:p w14:paraId="2F60F7CC"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Nwafor, C. (2018). Understanding exchange rate systems: Fixed vs. floating rates. </w:t>
      </w:r>
      <w:r w:rsidRPr="00EA38DE">
        <w:rPr>
          <w:rFonts w:ascii="Times New Roman" w:eastAsiaTheme="majorEastAsia" w:hAnsi="Times New Roman" w:cs="Times New Roman"/>
          <w:i/>
          <w:iCs/>
          <w:sz w:val="24"/>
          <w:szCs w:val="24"/>
        </w:rPr>
        <w:t xml:space="preserve">Nigerian Journal of Economics, </w:t>
      </w:r>
      <w:r w:rsidRPr="00EA38DE">
        <w:rPr>
          <w:rFonts w:ascii="Times New Roman" w:eastAsiaTheme="majorEastAsia" w:hAnsi="Times New Roman" w:cs="Times New Roman"/>
          <w:i/>
          <w:sz w:val="24"/>
          <w:szCs w:val="24"/>
        </w:rPr>
        <w:t>56</w:t>
      </w:r>
      <w:r w:rsidRPr="00EA38DE">
        <w:rPr>
          <w:rFonts w:ascii="Times New Roman" w:hAnsi="Times New Roman" w:cs="Times New Roman"/>
          <w:sz w:val="24"/>
          <w:szCs w:val="24"/>
        </w:rPr>
        <w:t>(2), 123-130.</w:t>
      </w:r>
    </w:p>
    <w:p w14:paraId="360F27C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Nwankwo, O. (2021). </w:t>
      </w:r>
      <w:r w:rsidRPr="00EA38DE">
        <w:rPr>
          <w:rFonts w:ascii="Times New Roman" w:eastAsia="Times New Roman" w:hAnsi="Times New Roman" w:cs="Times New Roman"/>
          <w:iCs/>
          <w:sz w:val="24"/>
          <w:szCs w:val="24"/>
        </w:rPr>
        <w:t>Exchange rate dynamics and financial performance in Nigeria’s maritime industry. 8(12), 18-29</w:t>
      </w:r>
    </w:p>
    <w:p w14:paraId="7E75A886"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Style w:val="Emphasis"/>
          <w:rFonts w:ascii="Times New Roman" w:hAnsi="Times New Roman" w:cs="Times New Roman"/>
          <w:i w:val="0"/>
          <w:sz w:val="24"/>
          <w:szCs w:val="24"/>
        </w:rPr>
        <w:t>Nwokedi, T.C., Ndikom, O.B., Okoroji, L.I., &amp; Nwaorgu, J.</w:t>
      </w:r>
      <w:r w:rsidRPr="00EA38DE">
        <w:rPr>
          <w:rFonts w:ascii="Times New Roman" w:hAnsi="Times New Roman" w:cs="Times New Roman"/>
          <w:sz w:val="24"/>
          <w:szCs w:val="24"/>
        </w:rPr>
        <w:t xml:space="preserve"> (2021). Determinant port</w:t>
      </w:r>
      <w:r w:rsidRPr="00EA38DE">
        <w:rPr>
          <w:rFonts w:ascii="Times New Roman" w:hAnsi="Times New Roman" w:cs="Times New Roman"/>
          <w:sz w:val="24"/>
          <w:szCs w:val="24"/>
        </w:rPr>
        <w:noBreakHyphen/>
        <w:t xml:space="preserve">related factors affecting the flow of shipping trade and logistics in Nigerian seaports. </w:t>
      </w:r>
      <w:r w:rsidRPr="00EA38DE">
        <w:rPr>
          <w:rStyle w:val="Emphasis"/>
          <w:rFonts w:ascii="Times New Roman" w:hAnsi="Times New Roman" w:cs="Times New Roman"/>
          <w:sz w:val="24"/>
          <w:szCs w:val="24"/>
        </w:rPr>
        <w:t>LOGI – Scientific Journal on Transport and Logistics</w:t>
      </w:r>
      <w:r w:rsidRPr="00EA38DE">
        <w:rPr>
          <w:rFonts w:ascii="Times New Roman" w:hAnsi="Times New Roman" w:cs="Times New Roman"/>
          <w:sz w:val="24"/>
          <w:szCs w:val="24"/>
        </w:rPr>
        <w:t xml:space="preserve">, </w:t>
      </w:r>
      <w:r w:rsidRPr="00EA38DE">
        <w:rPr>
          <w:rStyle w:val="Strong"/>
          <w:rFonts w:ascii="Times New Roman" w:hAnsi="Times New Roman" w:cs="Times New Roman"/>
          <w:i/>
          <w:sz w:val="24"/>
          <w:szCs w:val="24"/>
        </w:rPr>
        <w:t>12</w:t>
      </w:r>
      <w:r w:rsidRPr="00EA38DE">
        <w:rPr>
          <w:rFonts w:ascii="Times New Roman" w:hAnsi="Times New Roman" w:cs="Times New Roman"/>
          <w:sz w:val="24"/>
          <w:szCs w:val="24"/>
        </w:rPr>
        <w:t>(1), 261–270.</w:t>
      </w:r>
    </w:p>
    <w:p w14:paraId="02CF1578" w14:textId="77777777" w:rsidR="007539AC" w:rsidRPr="00EA38DE" w:rsidRDefault="007539AC" w:rsidP="007539AC">
      <w:pPr>
        <w:spacing w:after="240" w:line="240" w:lineRule="auto"/>
        <w:ind w:left="720" w:hanging="720"/>
        <w:jc w:val="both"/>
        <w:outlineLvl w:val="2"/>
        <w:rPr>
          <w:rFonts w:ascii="Times New Roman" w:eastAsia="Times New Roman" w:hAnsi="Times New Roman" w:cs="Times New Roman"/>
          <w:b/>
          <w:bCs/>
          <w:sz w:val="24"/>
          <w:szCs w:val="24"/>
        </w:rPr>
      </w:pPr>
      <w:r w:rsidRPr="00EA38DE">
        <w:rPr>
          <w:rFonts w:ascii="Times New Roman" w:hAnsi="Times New Roman" w:cs="Times New Roman"/>
          <w:sz w:val="24"/>
          <w:szCs w:val="24"/>
        </w:rPr>
        <w:t xml:space="preserve">Nwokolo, I., &amp; Ekong, E. (2020). Labour productivity and port efficiency in Nigeria: Implications for maritime trade. </w:t>
      </w:r>
      <w:r w:rsidRPr="00EA38DE">
        <w:rPr>
          <w:rStyle w:val="Emphasis"/>
          <w:rFonts w:ascii="Times New Roman" w:hAnsi="Times New Roman" w:cs="Times New Roman"/>
          <w:sz w:val="24"/>
          <w:szCs w:val="24"/>
        </w:rPr>
        <w:t>Journal of African Transport Studies, 9</w:t>
      </w:r>
      <w:r w:rsidRPr="00EA38DE">
        <w:rPr>
          <w:rFonts w:ascii="Times New Roman" w:hAnsi="Times New Roman" w:cs="Times New Roman"/>
          <w:sz w:val="24"/>
          <w:szCs w:val="24"/>
        </w:rPr>
        <w:t>(1), 55–70.</w:t>
      </w:r>
    </w:p>
    <w:p w14:paraId="5D774893"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Nwokoma, N. (2003). </w:t>
      </w:r>
      <w:r w:rsidRPr="00EA38DE">
        <w:rPr>
          <w:rFonts w:ascii="Times New Roman" w:eastAsia="Times New Roman" w:hAnsi="Times New Roman" w:cs="Times New Roman"/>
          <w:iCs/>
          <w:sz w:val="24"/>
          <w:szCs w:val="24"/>
        </w:rPr>
        <w:t>Relative importance of maritime transport in Nigeria’s economic development</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African Economies, 12</w:t>
      </w:r>
      <w:r w:rsidRPr="00EA38DE">
        <w:rPr>
          <w:rFonts w:ascii="Times New Roman" w:eastAsia="Times New Roman" w:hAnsi="Times New Roman" w:cs="Times New Roman"/>
          <w:sz w:val="24"/>
          <w:szCs w:val="24"/>
        </w:rPr>
        <w:t>(4), 512–529.</w:t>
      </w:r>
    </w:p>
    <w:p w14:paraId="44282125"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Nwokoro, O. (2017). Exchange rate fluctuations and manufacturing output in Nigeria. </w:t>
      </w:r>
      <w:r w:rsidRPr="00EA38DE">
        <w:rPr>
          <w:rFonts w:ascii="Times New Roman" w:eastAsia="Times New Roman" w:hAnsi="Times New Roman" w:cs="Times New Roman"/>
          <w:i/>
          <w:iCs/>
          <w:sz w:val="24"/>
          <w:szCs w:val="24"/>
        </w:rPr>
        <w:t>International Journal of Economics, Commerce and Management, 5</w:t>
      </w:r>
      <w:r w:rsidRPr="00EA38DE">
        <w:rPr>
          <w:rFonts w:ascii="Times New Roman" w:eastAsia="Times New Roman" w:hAnsi="Times New Roman" w:cs="Times New Roman"/>
          <w:sz w:val="24"/>
          <w:szCs w:val="24"/>
        </w:rPr>
        <w:t>(7), 1–12.</w:t>
      </w:r>
    </w:p>
    <w:p w14:paraId="528C6EF1"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Nyunt, L. K. (2019). The impact of exchange rate volatility on international trade. Retrieved from </w:t>
      </w:r>
      <w:hyperlink r:id="rId59" w:tgtFrame="_new" w:history="1">
        <w:r w:rsidRPr="00EA38DE">
          <w:rPr>
            <w:rFonts w:ascii="Times New Roman" w:hAnsi="Times New Roman" w:cs="Times New Roman"/>
            <w:i/>
            <w:iCs/>
            <w:sz w:val="24"/>
            <w:szCs w:val="24"/>
          </w:rPr>
          <w:t>https://archives.kdischool.ac.kr/handle/11125/34182</w:t>
        </w:r>
      </w:hyperlink>
    </w:p>
    <w:p w14:paraId="7088FFF8"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Obadan, M. I. (2006). Foreign exchange markets and the exchange rate management in Nigeria. </w:t>
      </w:r>
      <w:r w:rsidRPr="00EA38DE">
        <w:rPr>
          <w:rFonts w:ascii="Times New Roman" w:eastAsia="Times New Roman" w:hAnsi="Times New Roman" w:cs="Times New Roman"/>
          <w:i/>
          <w:iCs/>
          <w:sz w:val="24"/>
          <w:szCs w:val="24"/>
        </w:rPr>
        <w:t>Journal of Economic Management</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13</w:t>
      </w:r>
      <w:r w:rsidRPr="00EA38DE">
        <w:rPr>
          <w:rFonts w:ascii="Times New Roman" w:eastAsia="Times New Roman" w:hAnsi="Times New Roman" w:cs="Times New Roman"/>
          <w:sz w:val="24"/>
          <w:szCs w:val="24"/>
        </w:rPr>
        <w:t>(2), 1–25.</w:t>
      </w:r>
    </w:p>
    <w:p w14:paraId="52D0C6ED"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Obadan, M. I., &amp; Omoruyi, G. I. (2021). </w:t>
      </w:r>
      <w:r w:rsidRPr="00EA38DE">
        <w:rPr>
          <w:rFonts w:ascii="Times New Roman" w:eastAsia="Times New Roman" w:hAnsi="Times New Roman" w:cs="Times New Roman"/>
          <w:iCs/>
          <w:sz w:val="24"/>
          <w:szCs w:val="24"/>
        </w:rPr>
        <w:t>Exchange rate policy and trade logistics in Nigeria: a review of infrastructure and cost implications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Nigerian Economic Society (NES) Proceedings</w:t>
      </w:r>
      <w:r w:rsidRPr="00EA38DE">
        <w:rPr>
          <w:rFonts w:ascii="Times New Roman" w:eastAsia="Times New Roman" w:hAnsi="Times New Roman" w:cs="Times New Roman"/>
          <w:sz w:val="24"/>
          <w:szCs w:val="24"/>
        </w:rPr>
        <w:t>, 2021 edition, 143–165.</w:t>
      </w:r>
    </w:p>
    <w:p w14:paraId="2E6C596D"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Obadan, M. I., &amp; Omoruyi, T. E. (2021). </w:t>
      </w:r>
      <w:r w:rsidRPr="00EA38DE">
        <w:rPr>
          <w:rFonts w:ascii="Times New Roman" w:eastAsia="Times New Roman" w:hAnsi="Times New Roman" w:cs="Times New Roman"/>
          <w:iCs/>
          <w:sz w:val="24"/>
          <w:szCs w:val="24"/>
        </w:rPr>
        <w:t>Exchange rate fluctuations and trade logistics performance in Nigeria: A macroeconomic perspective</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Nigerian Journal of Economic Policy, 28</w:t>
      </w:r>
      <w:r w:rsidRPr="00EA38DE">
        <w:rPr>
          <w:rFonts w:ascii="Times New Roman" w:eastAsia="Times New Roman" w:hAnsi="Times New Roman" w:cs="Times New Roman"/>
          <w:sz w:val="24"/>
          <w:szCs w:val="24"/>
        </w:rPr>
        <w:t>(1), 34–52.</w:t>
      </w:r>
    </w:p>
    <w:p w14:paraId="0DAF709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hAnsi="Times New Roman" w:cs="Times New Roman"/>
          <w:sz w:val="24"/>
          <w:szCs w:val="24"/>
        </w:rPr>
        <w:t xml:space="preserve">Obadan, M., &amp; Omoruyi, E. (2021). </w:t>
      </w:r>
      <w:r w:rsidRPr="00EA38DE">
        <w:rPr>
          <w:rFonts w:ascii="Times New Roman" w:eastAsiaTheme="majorEastAsia" w:hAnsi="Times New Roman" w:cs="Times New Roman"/>
          <w:sz w:val="24"/>
          <w:szCs w:val="24"/>
        </w:rPr>
        <w:t>Macroeconomic shocks and infrastructure financing in Nigeria’s transport sector</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Nigerian Economic Policy Review, 10</w:t>
      </w:r>
      <w:r w:rsidRPr="00EA38DE">
        <w:rPr>
          <w:rFonts w:ascii="Times New Roman" w:hAnsi="Times New Roman" w:cs="Times New Roman"/>
          <w:sz w:val="24"/>
          <w:szCs w:val="24"/>
        </w:rPr>
        <w:t>(1), 22–44.</w:t>
      </w:r>
    </w:p>
    <w:p w14:paraId="1E7ED0A2"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Obaseki, P. O. (2018). </w:t>
      </w:r>
      <w:r w:rsidRPr="00EA38DE">
        <w:rPr>
          <w:rFonts w:ascii="Times New Roman" w:eastAsiaTheme="majorEastAsia" w:hAnsi="Times New Roman" w:cs="Times New Roman"/>
          <w:sz w:val="24"/>
          <w:szCs w:val="24"/>
        </w:rPr>
        <w:t>Macroeconomic stability and economic growth in oil-exporting countries: The Nigerian experience</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Nigerian Journal of Economic and Social Studies, 60</w:t>
      </w:r>
      <w:r w:rsidRPr="00EA38DE">
        <w:rPr>
          <w:rFonts w:ascii="Times New Roman" w:hAnsi="Times New Roman" w:cs="Times New Roman"/>
          <w:sz w:val="24"/>
          <w:szCs w:val="24"/>
        </w:rPr>
        <w:t>(1), 45–65.</w:t>
      </w:r>
    </w:p>
    <w:p w14:paraId="02169BC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Obi, T., &amp; Olayinka, A. (2020). Maritime security challenges in the Gulf of Guinea: Implications for Nigeria’s blue economy. </w:t>
      </w:r>
      <w:r w:rsidRPr="00EA38DE">
        <w:rPr>
          <w:rFonts w:ascii="Times New Roman" w:eastAsia="Times New Roman" w:hAnsi="Times New Roman" w:cs="Times New Roman"/>
          <w:i/>
          <w:iCs/>
          <w:sz w:val="24"/>
          <w:szCs w:val="24"/>
        </w:rPr>
        <w:t>Journal of African Security Studies</w:t>
      </w:r>
      <w:r w:rsidRPr="00EA38DE">
        <w:rPr>
          <w:rFonts w:ascii="Times New Roman" w:eastAsia="Times New Roman" w:hAnsi="Times New Roman" w:cs="Times New Roman"/>
          <w:sz w:val="24"/>
          <w:szCs w:val="24"/>
        </w:rPr>
        <w:t>,</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8</w:t>
      </w:r>
      <w:r w:rsidRPr="00EA38DE">
        <w:rPr>
          <w:rFonts w:ascii="Times New Roman" w:hAnsi="Times New Roman" w:cs="Times New Roman"/>
          <w:sz w:val="24"/>
          <w:szCs w:val="24"/>
        </w:rPr>
        <w:t>(1), 55–73.</w:t>
      </w:r>
    </w:p>
    <w:p w14:paraId="38634C0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Obioma, C., &amp; Bassey, A. (2020). </w:t>
      </w:r>
      <w:r w:rsidRPr="00EA38DE">
        <w:rPr>
          <w:rFonts w:ascii="Times New Roman" w:eastAsia="Times New Roman" w:hAnsi="Times New Roman" w:cs="Times New Roman"/>
          <w:iCs/>
          <w:sz w:val="24"/>
          <w:szCs w:val="24"/>
        </w:rPr>
        <w:t>Marine fish production and container throughput in</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Nigerian</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ports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African Maritime Logistics Review</w:t>
      </w:r>
      <w:r w:rsidRPr="00EA38DE">
        <w:rPr>
          <w:rFonts w:ascii="Times New Roman" w:eastAsia="Times New Roman" w:hAnsi="Times New Roman" w:cs="Times New Roman"/>
          <w:sz w:val="24"/>
          <w:szCs w:val="24"/>
        </w:rPr>
        <w:t>,</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5</w:t>
      </w:r>
      <w:r w:rsidRPr="00EA38DE">
        <w:rPr>
          <w:rFonts w:ascii="Times New Roman" w:hAnsi="Times New Roman" w:cs="Times New Roman"/>
          <w:sz w:val="24"/>
          <w:szCs w:val="24"/>
        </w:rPr>
        <w:t>(3), 120–138.</w:t>
      </w:r>
    </w:p>
    <w:p w14:paraId="54698D5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Obioma, O., &amp; Bassey, I. (2020). </w:t>
      </w:r>
      <w:r w:rsidRPr="00EA38DE">
        <w:rPr>
          <w:rFonts w:ascii="Times New Roman" w:eastAsia="Times New Roman" w:hAnsi="Times New Roman" w:cs="Times New Roman"/>
          <w:iCs/>
          <w:sz w:val="24"/>
          <w:szCs w:val="24"/>
        </w:rPr>
        <w:t>Marine fish production and seafood container shipments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Studies, 12</w:t>
      </w:r>
      <w:r w:rsidRPr="00EA38DE">
        <w:rPr>
          <w:rFonts w:ascii="Times New Roman" w:eastAsia="Times New Roman" w:hAnsi="Times New Roman" w:cs="Times New Roman"/>
          <w:sz w:val="24"/>
          <w:szCs w:val="24"/>
        </w:rPr>
        <w:t>(8), 66-75.</w:t>
      </w:r>
    </w:p>
    <w:p w14:paraId="7060A57C"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Odili, E. (2015). Globalization and shipping industry performance: A review of trends and challenges. </w:t>
      </w:r>
      <w:r w:rsidRPr="00EA38DE">
        <w:rPr>
          <w:rFonts w:ascii="Times New Roman" w:eastAsiaTheme="majorEastAsia" w:hAnsi="Times New Roman" w:cs="Times New Roman"/>
          <w:i/>
          <w:sz w:val="24"/>
          <w:szCs w:val="24"/>
        </w:rPr>
        <w:t>Journal of Shipping and Trade, 1</w:t>
      </w:r>
      <w:r w:rsidRPr="00EA38DE">
        <w:rPr>
          <w:rFonts w:ascii="Times New Roman" w:hAnsi="Times New Roman" w:cs="Times New Roman"/>
          <w:sz w:val="24"/>
          <w:szCs w:val="24"/>
        </w:rPr>
        <w:t>(1), 1-15.</w:t>
      </w:r>
    </w:p>
    <w:p w14:paraId="46B9868C" w14:textId="77777777" w:rsidR="007539AC" w:rsidRPr="00EA38DE" w:rsidRDefault="007539AC" w:rsidP="007539AC">
      <w:pPr>
        <w:spacing w:after="240" w:line="240" w:lineRule="auto"/>
        <w:ind w:left="720" w:hanging="720"/>
        <w:jc w:val="both"/>
        <w:rPr>
          <w:rFonts w:ascii="Times New Roman" w:hAnsi="Times New Roman" w:cs="Times New Roman"/>
          <w:i/>
          <w:iCs/>
          <w:sz w:val="24"/>
          <w:szCs w:val="24"/>
        </w:rPr>
      </w:pPr>
      <w:r w:rsidRPr="00EA38DE">
        <w:rPr>
          <w:rFonts w:ascii="Times New Roman" w:hAnsi="Times New Roman" w:cs="Times New Roman"/>
          <w:sz w:val="24"/>
          <w:szCs w:val="24"/>
        </w:rPr>
        <w:t xml:space="preserve">OECD, (2016). The ocean economy in 2030. </w:t>
      </w:r>
      <w:r w:rsidRPr="00EA38DE">
        <w:rPr>
          <w:rFonts w:ascii="Times New Roman" w:hAnsi="Times New Roman" w:cs="Times New Roman"/>
          <w:i/>
          <w:iCs/>
          <w:sz w:val="24"/>
          <w:szCs w:val="24"/>
        </w:rPr>
        <w:t xml:space="preserve">OECD publishing. </w:t>
      </w:r>
      <w:hyperlink r:id="rId60" w:history="1">
        <w:r w:rsidRPr="00EA38DE">
          <w:rPr>
            <w:rStyle w:val="Hyperlink"/>
            <w:rFonts w:ascii="Times New Roman" w:hAnsi="Times New Roman" w:cs="Times New Roman"/>
            <w:i/>
            <w:iCs/>
            <w:color w:val="auto"/>
            <w:sz w:val="24"/>
            <w:szCs w:val="24"/>
            <w:u w:val="none"/>
          </w:rPr>
          <w:t>https://doi.org/10.1787/ 9789264251724</w:t>
        </w:r>
        <w:r w:rsidRPr="00EA38DE">
          <w:rPr>
            <w:rStyle w:val="Hyperlink"/>
            <w:rFonts w:ascii="Times New Roman" w:hAnsi="Times New Roman" w:cs="Times New Roman"/>
            <w:i/>
            <w:iCs/>
            <w:color w:val="auto"/>
            <w:sz w:val="24"/>
            <w:szCs w:val="24"/>
            <w:u w:val="none"/>
          </w:rPr>
          <w:noBreakHyphen/>
          <w:t>en</w:t>
        </w:r>
      </w:hyperlink>
    </w:p>
    <w:p w14:paraId="566B967A"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Ogunbiyi, O., Adewale, A., &amp; Bello, T. (2023). Exchange rate depreciation and container throughput at Nigerian ports. </w:t>
      </w:r>
      <w:r w:rsidRPr="00EA38DE">
        <w:rPr>
          <w:rFonts w:ascii="Times New Roman" w:eastAsiaTheme="majorEastAsia" w:hAnsi="Times New Roman" w:cs="Times New Roman"/>
          <w:i/>
          <w:sz w:val="24"/>
          <w:szCs w:val="24"/>
        </w:rPr>
        <w:t>Transport Policy, 35</w:t>
      </w:r>
      <w:r w:rsidRPr="00EA38DE">
        <w:rPr>
          <w:rFonts w:ascii="Times New Roman" w:hAnsi="Times New Roman" w:cs="Times New Roman"/>
          <w:sz w:val="24"/>
          <w:szCs w:val="24"/>
        </w:rPr>
        <w:t>(4), 567-578.</w:t>
      </w:r>
    </w:p>
    <w:p w14:paraId="7878BC8E" w14:textId="77777777" w:rsidR="007539AC" w:rsidRPr="00EA38DE" w:rsidRDefault="007539AC" w:rsidP="007539AC">
      <w:pPr>
        <w:pStyle w:val="NormalWeb"/>
        <w:spacing w:before="0" w:beforeAutospacing="0" w:after="240" w:afterAutospacing="0"/>
        <w:ind w:left="720" w:hanging="720"/>
        <w:jc w:val="both"/>
      </w:pPr>
      <w:r w:rsidRPr="00EA38DE">
        <w:t xml:space="preserve">Ojo, A., &amp; Olajide, S. (2019). Trade barriers and performance of maritime businesses in Nigeria. </w:t>
      </w:r>
      <w:r w:rsidRPr="00EA38DE">
        <w:rPr>
          <w:rStyle w:val="Emphasis"/>
          <w:rFonts w:eastAsiaTheme="majorEastAsia"/>
        </w:rPr>
        <w:t>Journal of Maritime Research and Development, 11</w:t>
      </w:r>
      <w:r w:rsidRPr="00EA38DE">
        <w:t>(2), 55–70.</w:t>
      </w:r>
    </w:p>
    <w:p w14:paraId="4AE6858D"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Ojo, O., &amp; Olajide, K. (2019). Exchange rate volatility and operational strategies of Nigerian shipping companies. </w:t>
      </w:r>
      <w:r w:rsidRPr="00EA38DE">
        <w:rPr>
          <w:rFonts w:ascii="Times New Roman" w:eastAsiaTheme="majorEastAsia" w:hAnsi="Times New Roman" w:cs="Times New Roman"/>
          <w:i/>
          <w:sz w:val="24"/>
          <w:szCs w:val="24"/>
        </w:rPr>
        <w:t>Shipping and Transport Journal, 15</w:t>
      </w:r>
      <w:r w:rsidRPr="00EA38DE">
        <w:rPr>
          <w:rFonts w:ascii="Times New Roman" w:hAnsi="Times New Roman" w:cs="Times New Roman"/>
          <w:sz w:val="24"/>
          <w:szCs w:val="24"/>
        </w:rPr>
        <w:t>(1), 33-49.</w:t>
      </w:r>
    </w:p>
    <w:p w14:paraId="089E56B5" w14:textId="77777777" w:rsidR="007539AC" w:rsidRPr="00EA38DE" w:rsidRDefault="007539AC" w:rsidP="007539AC">
      <w:pPr>
        <w:pStyle w:val="NormalWeb"/>
        <w:spacing w:before="0" w:beforeAutospacing="0" w:after="240" w:afterAutospacing="0"/>
        <w:ind w:left="720" w:hanging="720"/>
        <w:jc w:val="both"/>
      </w:pPr>
      <w:r w:rsidRPr="00EA38DE">
        <w:t xml:space="preserve">Ojo, S., &amp; Akinyemi, D. (2024). Policy incoherence and institutional behavior in Nigeria’s maritime sector. </w:t>
      </w:r>
      <w:r w:rsidRPr="00EA38DE">
        <w:rPr>
          <w:rStyle w:val="Emphasis"/>
          <w:rFonts w:eastAsiaTheme="majorEastAsia"/>
        </w:rPr>
        <w:t>Journal of Blue Economy Studies</w:t>
      </w:r>
      <w:r w:rsidRPr="00EA38DE">
        <w:t>, 5(1), 77–95.</w:t>
      </w:r>
    </w:p>
    <w:p w14:paraId="3D71011F" w14:textId="77777777" w:rsidR="007539AC" w:rsidRPr="00EA38DE" w:rsidRDefault="007539AC" w:rsidP="007539AC">
      <w:pPr>
        <w:pStyle w:val="NormalWeb"/>
        <w:spacing w:before="0" w:beforeAutospacing="0" w:after="240" w:afterAutospacing="0"/>
        <w:ind w:left="720" w:hanging="720"/>
        <w:jc w:val="both"/>
      </w:pPr>
      <w:r w:rsidRPr="00EA38DE">
        <w:t xml:space="preserve">Okafor, I., &amp; Ezenwa, U. (2023). Exchange rate dynamics and export competitiveness in Nigeria's blue economy. </w:t>
      </w:r>
      <w:r w:rsidRPr="00EA38DE">
        <w:rPr>
          <w:rStyle w:val="Emphasis"/>
          <w:rFonts w:eastAsiaTheme="majorEastAsia"/>
        </w:rPr>
        <w:t>Nigerian Journal of Maritime Policy</w:t>
      </w:r>
      <w:r w:rsidRPr="00EA38DE">
        <w:t>, 8(1), 44–62.</w:t>
      </w:r>
    </w:p>
    <w:p w14:paraId="3344D1E9"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Okafor, T., &amp; Dike, C. (2022). Maritime blue economy and sustainable development in Nigeria. </w:t>
      </w:r>
      <w:r w:rsidRPr="00EA38DE">
        <w:rPr>
          <w:rFonts w:ascii="Times New Roman" w:eastAsiaTheme="majorEastAsia" w:hAnsi="Times New Roman" w:cs="Times New Roman"/>
          <w:i/>
          <w:sz w:val="24"/>
          <w:szCs w:val="24"/>
        </w:rPr>
        <w:t>African Journal of Marine Policy</w:t>
      </w:r>
      <w:r w:rsidRPr="00EA38DE">
        <w:rPr>
          <w:rFonts w:ascii="Times New Roman" w:hAnsi="Times New Roman" w:cs="Times New Roman"/>
          <w:i/>
          <w:sz w:val="24"/>
          <w:szCs w:val="24"/>
        </w:rPr>
        <w:t>, 4</w:t>
      </w:r>
      <w:r w:rsidRPr="00EA38DE">
        <w:rPr>
          <w:rFonts w:ascii="Times New Roman" w:hAnsi="Times New Roman" w:cs="Times New Roman"/>
          <w:sz w:val="24"/>
          <w:szCs w:val="24"/>
        </w:rPr>
        <w:t>(1), 76–91.</w:t>
      </w:r>
    </w:p>
    <w:p w14:paraId="7235B4B4"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Okechukwu, N. C. (2021). </w:t>
      </w:r>
      <w:r w:rsidRPr="00EA38DE">
        <w:rPr>
          <w:rFonts w:ascii="Times New Roman" w:eastAsiaTheme="majorEastAsia" w:hAnsi="Times New Roman" w:cs="Times New Roman"/>
          <w:sz w:val="24"/>
          <w:szCs w:val="24"/>
        </w:rPr>
        <w:t>The blue economy in Africa: Opportunities and constraints for Nigeria’s maritime industry</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African Journal of Sustainable Development, 11</w:t>
      </w:r>
      <w:r w:rsidRPr="00EA38DE">
        <w:rPr>
          <w:rFonts w:ascii="Times New Roman" w:hAnsi="Times New Roman" w:cs="Times New Roman"/>
          <w:sz w:val="24"/>
          <w:szCs w:val="24"/>
        </w:rPr>
        <w:t>(3), 87–98.</w:t>
      </w:r>
    </w:p>
    <w:p w14:paraId="11624E29" w14:textId="77777777" w:rsidR="007539AC" w:rsidRPr="00EA38DE" w:rsidRDefault="007539AC" w:rsidP="007539AC">
      <w:pPr>
        <w:spacing w:after="240" w:line="240" w:lineRule="auto"/>
        <w:ind w:left="720" w:hanging="720"/>
        <w:jc w:val="both"/>
        <w:outlineLvl w:val="2"/>
        <w:rPr>
          <w:rFonts w:ascii="Times New Roman" w:eastAsia="Times New Roman" w:hAnsi="Times New Roman" w:cs="Times New Roman"/>
          <w:b/>
          <w:bCs/>
          <w:sz w:val="24"/>
          <w:szCs w:val="24"/>
        </w:rPr>
      </w:pPr>
      <w:r w:rsidRPr="00EA38DE">
        <w:rPr>
          <w:rFonts w:ascii="Times New Roman" w:hAnsi="Times New Roman" w:cs="Times New Roman"/>
          <w:sz w:val="24"/>
          <w:szCs w:val="24"/>
        </w:rPr>
        <w:t xml:space="preserve">Okeke, M., &amp; Onyema, C. (2022). Labour disputes and operational efficiency in Nigerian ports. </w:t>
      </w:r>
      <w:r w:rsidRPr="00EA38DE">
        <w:rPr>
          <w:rStyle w:val="Emphasis"/>
          <w:rFonts w:ascii="Times New Roman" w:hAnsi="Times New Roman" w:cs="Times New Roman"/>
          <w:sz w:val="24"/>
          <w:szCs w:val="24"/>
        </w:rPr>
        <w:t>Journal of Maritime Policy and Management, 49</w:t>
      </w:r>
      <w:r w:rsidRPr="00EA38DE">
        <w:rPr>
          <w:rFonts w:ascii="Times New Roman" w:hAnsi="Times New Roman" w:cs="Times New Roman"/>
          <w:sz w:val="24"/>
          <w:szCs w:val="24"/>
        </w:rPr>
        <w:t>(5), 612–628.</w:t>
      </w:r>
    </w:p>
    <w:p w14:paraId="035D3C9C" w14:textId="77777777" w:rsidR="007539AC" w:rsidRPr="00EA38DE" w:rsidRDefault="007539AC" w:rsidP="007539AC">
      <w:pPr>
        <w:pStyle w:val="NormalWeb"/>
        <w:spacing w:before="0" w:beforeAutospacing="0" w:after="240" w:afterAutospacing="0"/>
        <w:ind w:left="720" w:hanging="720"/>
        <w:jc w:val="both"/>
      </w:pPr>
      <w:r w:rsidRPr="00EA38DE">
        <w:t xml:space="preserve">Okene, A. J., Ibenta, S. N., &amp; Nwanna, I. O. (2023). Effects of exchange rate volatility on shipping trade performance in Nigeria (GARCH/ARDL bounds test approach). </w:t>
      </w:r>
      <w:r w:rsidRPr="00EA38DE">
        <w:rPr>
          <w:rStyle w:val="Emphasis"/>
          <w:rFonts w:eastAsiaTheme="majorEastAsia"/>
        </w:rPr>
        <w:t>African Banking and Finance Review Journal</w:t>
      </w:r>
      <w:r w:rsidRPr="00EA38DE">
        <w:t>, 4(4), 51–63. Retrieved from https://www.abfrjournal.com/index.php/abfr/article/view/64</w:t>
      </w:r>
    </w:p>
    <w:p w14:paraId="2AEAEB9D" w14:textId="77777777" w:rsidR="007539AC" w:rsidRPr="00EA38DE" w:rsidRDefault="007539AC" w:rsidP="007539AC">
      <w:pPr>
        <w:pStyle w:val="NormalWeb"/>
        <w:spacing w:before="0" w:beforeAutospacing="0" w:after="240" w:afterAutospacing="0"/>
        <w:ind w:left="720" w:hanging="720"/>
        <w:jc w:val="both"/>
      </w:pPr>
      <w:r w:rsidRPr="00EA38DE">
        <w:t xml:space="preserve">Okene, A., Yusuf, T., &amp; Fagbamila, O. (2021). Trade policy, maritime transport, and investment in Nigeria’s blue economy. </w:t>
      </w:r>
      <w:r w:rsidRPr="00EA38DE">
        <w:rPr>
          <w:rStyle w:val="Emphasis"/>
          <w:rFonts w:eastAsiaTheme="majorEastAsia"/>
        </w:rPr>
        <w:t>African Journal of Transport and Logistics, 8</w:t>
      </w:r>
      <w:r w:rsidRPr="00EA38DE">
        <w:t>(3), 112–128.</w:t>
      </w:r>
    </w:p>
    <w:p w14:paraId="115DAFB1" w14:textId="77777777" w:rsidR="007539AC" w:rsidRPr="00EA38DE" w:rsidRDefault="007539AC" w:rsidP="007539AC">
      <w:pPr>
        <w:pStyle w:val="NormalWeb"/>
        <w:spacing w:before="0" w:beforeAutospacing="0" w:after="240" w:afterAutospacing="0"/>
        <w:ind w:left="720" w:hanging="720"/>
        <w:jc w:val="both"/>
      </w:pPr>
      <w:r w:rsidRPr="00EA38DE">
        <w:t xml:space="preserve">Okene, O. V. C., Alabi, M., &amp; Adewale, T. (2023). </w:t>
      </w:r>
      <w:r w:rsidRPr="00EA38DE">
        <w:rPr>
          <w:rStyle w:val="Emphasis"/>
        </w:rPr>
        <w:t>Maritime governance and regional competitiveness in West Africa</w:t>
      </w:r>
      <w:r w:rsidRPr="00EA38DE">
        <w:t>. [Institution or Organization Name]. https://www.example.org/full-text</w:t>
      </w:r>
    </w:p>
    <w:p w14:paraId="5229E1F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Okeudo, G. N., &amp; Eze, R. C. (2012). </w:t>
      </w:r>
      <w:r w:rsidRPr="00EA38DE">
        <w:rPr>
          <w:rFonts w:ascii="Times New Roman" w:eastAsia="Times New Roman" w:hAnsi="Times New Roman" w:cs="Times New Roman"/>
          <w:iCs/>
          <w:sz w:val="24"/>
          <w:szCs w:val="24"/>
        </w:rPr>
        <w:t>An assessment of the impact of exchange rate fluctuation on port operations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International Journal of Management Science, 3</w:t>
      </w:r>
      <w:r w:rsidRPr="00EA38DE">
        <w:rPr>
          <w:rFonts w:ascii="Times New Roman" w:eastAsia="Times New Roman" w:hAnsi="Times New Roman" w:cs="Times New Roman"/>
          <w:sz w:val="24"/>
          <w:szCs w:val="24"/>
        </w:rPr>
        <w:t>(2), 112–122.</w:t>
      </w:r>
    </w:p>
    <w:p w14:paraId="2BCF3B5E"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Okika, C. E. M., Udeh, F. N. P., &amp; Okoye, G. O. (2018). Effect of exchange rate fluctuation on firm profitability: Evidence from selected quoted conglomerates in Nigeria. </w:t>
      </w:r>
      <w:r w:rsidRPr="00EA38DE">
        <w:rPr>
          <w:rFonts w:ascii="Times New Roman" w:eastAsia="Times New Roman" w:hAnsi="Times New Roman" w:cs="Times New Roman"/>
          <w:i/>
          <w:iCs/>
          <w:sz w:val="24"/>
          <w:szCs w:val="24"/>
        </w:rPr>
        <w:t>International Journal of Academic Research in Business and Social Sciences, 8</w:t>
      </w:r>
      <w:r w:rsidRPr="00EA38DE">
        <w:rPr>
          <w:rFonts w:ascii="Times New Roman" w:eastAsia="Times New Roman" w:hAnsi="Times New Roman" w:cs="Times New Roman"/>
          <w:sz w:val="24"/>
          <w:szCs w:val="24"/>
        </w:rPr>
        <w:t xml:space="preserve">(12), 1073–1090. </w:t>
      </w:r>
    </w:p>
    <w:p w14:paraId="48254F2D"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Okonkwo, C., &amp; Eze, O. R. (2018). </w:t>
      </w:r>
      <w:r w:rsidRPr="00EA38DE">
        <w:rPr>
          <w:rFonts w:ascii="Times New Roman" w:eastAsia="Times New Roman" w:hAnsi="Times New Roman" w:cs="Times New Roman"/>
          <w:iCs/>
          <w:sz w:val="24"/>
          <w:szCs w:val="24"/>
        </w:rPr>
        <w:t>Exchange rate volatility and the fishery sector in Nigeria: An empirical investigatio</w:t>
      </w:r>
      <w:r w:rsidRPr="00EA38DE">
        <w:rPr>
          <w:rFonts w:ascii="Times New Roman" w:eastAsia="Times New Roman" w:hAnsi="Times New Roman" w:cs="Times New Roman"/>
          <w:i/>
          <w:iCs/>
          <w:sz w:val="24"/>
          <w:szCs w:val="24"/>
        </w:rPr>
        <w:t>n</w:t>
      </w:r>
      <w:r w:rsidRPr="00EA38DE">
        <w:rPr>
          <w:rFonts w:ascii="Times New Roman" w:eastAsia="Times New Roman" w:hAnsi="Times New Roman" w:cs="Times New Roman"/>
          <w:sz w:val="24"/>
          <w:szCs w:val="24"/>
        </w:rPr>
        <w:t>.</w:t>
      </w:r>
      <w:r w:rsidRPr="00EA38DE">
        <w:rPr>
          <w:rFonts w:ascii="Times New Roman" w:eastAsia="Times New Roman" w:hAnsi="Times New Roman" w:cs="Times New Roman"/>
          <w:i/>
          <w:sz w:val="24"/>
          <w:szCs w:val="24"/>
        </w:rPr>
        <w:t xml:space="preserve"> Nigerian Journal of Economic Research, 13</w:t>
      </w:r>
      <w:r w:rsidRPr="00EA38DE">
        <w:rPr>
          <w:rFonts w:ascii="Times New Roman" w:eastAsia="Times New Roman" w:hAnsi="Times New Roman" w:cs="Times New Roman"/>
          <w:sz w:val="24"/>
          <w:szCs w:val="24"/>
        </w:rPr>
        <w:t>(1), 55–74.</w:t>
      </w:r>
    </w:p>
    <w:p w14:paraId="5A5B5CD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Okonkwo, C., &amp; Ifediora, O. (2020). </w:t>
      </w:r>
      <w:r w:rsidRPr="00EA38DE">
        <w:rPr>
          <w:rFonts w:ascii="Times New Roman" w:eastAsia="Times New Roman" w:hAnsi="Times New Roman" w:cs="Times New Roman"/>
          <w:iCs/>
          <w:sz w:val="24"/>
          <w:szCs w:val="24"/>
        </w:rPr>
        <w:t>Exchange rate and cost of shipping services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Maritime Economics Review, 5</w:t>
      </w:r>
      <w:r w:rsidRPr="00EA38DE">
        <w:rPr>
          <w:rFonts w:ascii="Times New Roman" w:eastAsia="Times New Roman" w:hAnsi="Times New Roman" w:cs="Times New Roman"/>
          <w:sz w:val="24"/>
          <w:szCs w:val="24"/>
        </w:rPr>
        <w:t>(3), 66–81.</w:t>
      </w:r>
    </w:p>
    <w:p w14:paraId="7E06A396"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Okonkwo, J. C., &amp; Ogbonna, I. G. (2020). </w:t>
      </w:r>
      <w:r w:rsidRPr="00EA38DE">
        <w:rPr>
          <w:rFonts w:ascii="Times New Roman" w:eastAsiaTheme="majorEastAsia" w:hAnsi="Times New Roman" w:cs="Times New Roman"/>
          <w:sz w:val="24"/>
          <w:szCs w:val="24"/>
        </w:rPr>
        <w:t>Macroeconomic volatility and port competitiveness in West Africa: The Nigerian case</w:t>
      </w:r>
      <w:r w:rsidRPr="00EA38DE">
        <w:rPr>
          <w:rFonts w:ascii="Times New Roman" w:hAnsi="Times New Roman" w:cs="Times New Roman"/>
          <w:i/>
          <w:sz w:val="24"/>
          <w:szCs w:val="24"/>
        </w:rPr>
        <w:t>.</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Journal of African Trade, 7</w:t>
      </w:r>
      <w:r w:rsidRPr="00EA38DE">
        <w:rPr>
          <w:rFonts w:ascii="Times New Roman" w:hAnsi="Times New Roman" w:cs="Times New Roman"/>
          <w:sz w:val="24"/>
          <w:szCs w:val="24"/>
        </w:rPr>
        <w:t>(1–2), 21–35. https://doi.org/10.1016/j.joat.2020.05.002</w:t>
      </w:r>
    </w:p>
    <w:p w14:paraId="5FBEA3C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Okoro, Philemon E., Igwe, Promise W., Alinor, Ezioma A., &amp; Okoro, C. (2022). </w:t>
      </w:r>
      <w:r w:rsidRPr="00EA38DE">
        <w:rPr>
          <w:rFonts w:ascii="Times New Roman" w:eastAsia="Times New Roman" w:hAnsi="Times New Roman" w:cs="Times New Roman"/>
          <w:iCs/>
          <w:sz w:val="24"/>
          <w:szCs w:val="24"/>
        </w:rPr>
        <w:t>Import</w:t>
      </w:r>
      <w:r w:rsidRPr="00EA38DE">
        <w:rPr>
          <w:rFonts w:ascii="Times New Roman" w:eastAsia="Times New Roman" w:hAnsi="Times New Roman" w:cs="Times New Roman"/>
          <w:i/>
          <w:iCs/>
          <w:sz w:val="24"/>
          <w:szCs w:val="24"/>
        </w:rPr>
        <w:t xml:space="preserve"> </w:t>
      </w:r>
      <w:r w:rsidRPr="00EA38DE">
        <w:rPr>
          <w:rFonts w:ascii="Times New Roman" w:eastAsia="Times New Roman" w:hAnsi="Times New Roman" w:cs="Times New Roman"/>
          <w:iCs/>
          <w:sz w:val="24"/>
          <w:szCs w:val="24"/>
        </w:rPr>
        <w:t>records analysis of desalination equipment in Nigeria (2017–2021)</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Logistics, 16</w:t>
      </w:r>
      <w:r w:rsidRPr="00EA38DE">
        <w:rPr>
          <w:rFonts w:ascii="Times New Roman" w:eastAsia="Times New Roman" w:hAnsi="Times New Roman" w:cs="Times New Roman"/>
          <w:sz w:val="24"/>
          <w:szCs w:val="24"/>
        </w:rPr>
        <w:t>(15), 233-248.</w:t>
      </w:r>
    </w:p>
    <w:p w14:paraId="2F9D2377"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Okoroafor, C., Nwosu, P., &amp; Okeke, E. (2019). Estimating the contribution of the blue economy to Nigeria's GDP using the expenditure approach. </w:t>
      </w:r>
      <w:r w:rsidRPr="00EA38DE">
        <w:rPr>
          <w:rFonts w:ascii="Times New Roman" w:eastAsiaTheme="majorEastAsia" w:hAnsi="Times New Roman" w:cs="Times New Roman"/>
          <w:i/>
          <w:iCs/>
          <w:sz w:val="24"/>
          <w:szCs w:val="24"/>
        </w:rPr>
        <w:t>African Journal of Economic Review</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7</w:t>
      </w:r>
      <w:r w:rsidRPr="00EA38DE">
        <w:rPr>
          <w:rFonts w:ascii="Times New Roman" w:hAnsi="Times New Roman" w:cs="Times New Roman"/>
          <w:sz w:val="24"/>
          <w:szCs w:val="24"/>
        </w:rPr>
        <w:t>(2), 101–115.</w:t>
      </w:r>
    </w:p>
    <w:p w14:paraId="3A666BD7"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Olajide, K., &amp; Oladipo, J. (2021). Economic diversification through blue economy initiatives in Nigeria. </w:t>
      </w:r>
      <w:r w:rsidRPr="00EA38DE">
        <w:rPr>
          <w:rFonts w:ascii="Times New Roman" w:eastAsia="Times New Roman" w:hAnsi="Times New Roman" w:cs="Times New Roman"/>
          <w:i/>
          <w:iCs/>
          <w:sz w:val="24"/>
          <w:szCs w:val="24"/>
        </w:rPr>
        <w:t>Journal of Economic Development</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15</w:t>
      </w:r>
      <w:r w:rsidRPr="00EA38DE">
        <w:rPr>
          <w:rFonts w:ascii="Times New Roman" w:eastAsia="Times New Roman" w:hAnsi="Times New Roman" w:cs="Times New Roman"/>
          <w:sz w:val="24"/>
          <w:szCs w:val="24"/>
        </w:rPr>
        <w:t>(2), 59–73.</w:t>
      </w:r>
    </w:p>
    <w:p w14:paraId="0643E84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Olajide, K., &amp; Oladipo, J. (2021). Economic diversification through blue economy initiatives in Nigeria. </w:t>
      </w:r>
      <w:r w:rsidRPr="00EA38DE">
        <w:rPr>
          <w:rFonts w:ascii="Times New Roman" w:eastAsia="Times New Roman" w:hAnsi="Times New Roman" w:cs="Times New Roman"/>
          <w:i/>
          <w:iCs/>
          <w:sz w:val="24"/>
          <w:szCs w:val="24"/>
        </w:rPr>
        <w:t>Journal of Economic Development</w:t>
      </w:r>
      <w:r w:rsidRPr="00EA38DE">
        <w:rPr>
          <w:rFonts w:ascii="Times New Roman" w:eastAsia="Times New Roman" w:hAnsi="Times New Roman" w:cs="Times New Roman"/>
          <w:sz w:val="24"/>
          <w:szCs w:val="24"/>
        </w:rPr>
        <w:t xml:space="preserve">, </w:t>
      </w:r>
      <w:r w:rsidRPr="00EA38DE">
        <w:rPr>
          <w:rStyle w:val="Emphasis"/>
          <w:rFonts w:ascii="Times New Roman" w:hAnsi="Times New Roman" w:cs="Times New Roman"/>
          <w:sz w:val="24"/>
          <w:szCs w:val="24"/>
        </w:rPr>
        <w:t>15</w:t>
      </w:r>
      <w:r w:rsidRPr="00EA38DE">
        <w:rPr>
          <w:rFonts w:ascii="Times New Roman" w:hAnsi="Times New Roman" w:cs="Times New Roman"/>
          <w:sz w:val="24"/>
          <w:szCs w:val="24"/>
        </w:rPr>
        <w:t>(2), 110–127</w:t>
      </w:r>
    </w:p>
    <w:p w14:paraId="7631D49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Olaniyan, J. O., &amp; Olutayo, A. O. (2019). </w:t>
      </w:r>
      <w:r w:rsidRPr="00EA38DE">
        <w:rPr>
          <w:rFonts w:ascii="Times New Roman" w:eastAsia="Times New Roman" w:hAnsi="Times New Roman" w:cs="Times New Roman"/>
          <w:iCs/>
          <w:sz w:val="24"/>
          <w:szCs w:val="24"/>
        </w:rPr>
        <w:t>Emerging potentials of desalination for coastal development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Coastal Research, 35</w:t>
      </w:r>
      <w:r w:rsidRPr="00EA38DE">
        <w:rPr>
          <w:rFonts w:ascii="Times New Roman" w:eastAsia="Times New Roman" w:hAnsi="Times New Roman" w:cs="Times New Roman"/>
          <w:sz w:val="24"/>
          <w:szCs w:val="24"/>
        </w:rPr>
        <w:t>(2), 434–443.</w:t>
      </w:r>
    </w:p>
    <w:p w14:paraId="70B56990"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Olaniyi, O. (2021). </w:t>
      </w:r>
      <w:r w:rsidRPr="00EA38DE">
        <w:rPr>
          <w:rFonts w:ascii="Times New Roman" w:eastAsia="Times New Roman" w:hAnsi="Times New Roman" w:cs="Times New Roman"/>
          <w:iCs/>
          <w:sz w:val="24"/>
          <w:szCs w:val="24"/>
        </w:rPr>
        <w:t>Foreign exchange exposure and performance of maritime firms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iCs/>
          <w:sz w:val="24"/>
          <w:szCs w:val="24"/>
        </w:rPr>
        <w:t>Maritime Policy and Management</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48</w:t>
      </w:r>
      <w:r w:rsidRPr="00EA38DE">
        <w:rPr>
          <w:rFonts w:ascii="Times New Roman" w:eastAsia="Times New Roman" w:hAnsi="Times New Roman" w:cs="Times New Roman"/>
          <w:sz w:val="24"/>
          <w:szCs w:val="24"/>
        </w:rPr>
        <w:t>(6), 729–745.</w:t>
      </w:r>
      <w:r w:rsidRPr="00EA38DE">
        <w:rPr>
          <w:rFonts w:ascii="Times New Roman" w:eastAsia="Times New Roman" w:hAnsi="Times New Roman" w:cs="Times New Roman"/>
          <w:i/>
          <w:iCs/>
          <w:sz w:val="24"/>
          <w:szCs w:val="24"/>
        </w:rPr>
        <w:t xml:space="preserve"> </w:t>
      </w:r>
    </w:p>
    <w:p w14:paraId="7A9FA8E1"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Olayemi, A. A., &amp; Fashola, B. O. (2021). </w:t>
      </w:r>
      <w:r w:rsidRPr="00EA38DE">
        <w:rPr>
          <w:rFonts w:ascii="Times New Roman" w:eastAsia="Times New Roman" w:hAnsi="Times New Roman" w:cs="Times New Roman"/>
          <w:iCs/>
          <w:sz w:val="24"/>
          <w:szCs w:val="24"/>
        </w:rPr>
        <w:t>Determinants of port competitiveness in West Africa: implications for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African Journal of Maritime Strategy, 3</w:t>
      </w:r>
      <w:r w:rsidRPr="00EA38DE">
        <w:rPr>
          <w:rFonts w:ascii="Times New Roman" w:eastAsia="Times New Roman" w:hAnsi="Times New Roman" w:cs="Times New Roman"/>
          <w:sz w:val="24"/>
          <w:szCs w:val="24"/>
        </w:rPr>
        <w:t>(1), 45–60.</w:t>
      </w:r>
    </w:p>
    <w:p w14:paraId="5A1EAB69" w14:textId="77777777" w:rsidR="007539AC" w:rsidRPr="00EA38DE" w:rsidRDefault="007539AC" w:rsidP="007539AC">
      <w:pPr>
        <w:spacing w:after="240" w:line="240" w:lineRule="auto"/>
        <w:ind w:left="720" w:hanging="720"/>
        <w:jc w:val="both"/>
        <w:outlineLvl w:val="2"/>
        <w:rPr>
          <w:rFonts w:ascii="Times New Roman" w:eastAsia="Times New Roman" w:hAnsi="Times New Roman" w:cs="Times New Roman"/>
          <w:b/>
          <w:bCs/>
          <w:sz w:val="24"/>
          <w:szCs w:val="24"/>
        </w:rPr>
      </w:pPr>
      <w:r w:rsidRPr="00EA38DE">
        <w:rPr>
          <w:rFonts w:ascii="Times New Roman" w:hAnsi="Times New Roman" w:cs="Times New Roman"/>
          <w:sz w:val="24"/>
          <w:szCs w:val="24"/>
        </w:rPr>
        <w:t xml:space="preserve">Olayiwola, S., &amp; Ajayi, O. (2021). Human resource strategies and financial performance of shipping firms in Nigeria. </w:t>
      </w:r>
      <w:r w:rsidRPr="00EA38DE">
        <w:rPr>
          <w:rStyle w:val="Emphasis"/>
          <w:rFonts w:ascii="Times New Roman" w:hAnsi="Times New Roman" w:cs="Times New Roman"/>
          <w:sz w:val="24"/>
          <w:szCs w:val="24"/>
        </w:rPr>
        <w:t>Nigerian Journal of Business and Management, 18</w:t>
      </w:r>
      <w:r w:rsidRPr="00EA38DE">
        <w:rPr>
          <w:rFonts w:ascii="Times New Roman" w:hAnsi="Times New Roman" w:cs="Times New Roman"/>
          <w:sz w:val="24"/>
          <w:szCs w:val="24"/>
        </w:rPr>
        <w:t>(3), 44–59.</w:t>
      </w:r>
    </w:p>
    <w:p w14:paraId="65A2B5B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Olayiwola, W. K., &amp; Oloko, T. F. (2020). Exchange rate volatility and port performance in Nigeria. </w:t>
      </w:r>
      <w:r w:rsidRPr="00EA38DE">
        <w:rPr>
          <w:rFonts w:ascii="Times New Roman" w:eastAsia="Times New Roman" w:hAnsi="Times New Roman" w:cs="Times New Roman"/>
          <w:i/>
          <w:iCs/>
          <w:sz w:val="24"/>
          <w:szCs w:val="24"/>
        </w:rPr>
        <w:t>Nigerian Journal of Economic and Social Studies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62</w:t>
      </w:r>
      <w:r w:rsidRPr="00EA38DE">
        <w:rPr>
          <w:rFonts w:ascii="Times New Roman" w:eastAsia="Times New Roman" w:hAnsi="Times New Roman" w:cs="Times New Roman"/>
          <w:sz w:val="24"/>
          <w:szCs w:val="24"/>
        </w:rPr>
        <w:t>(1), 112–131.</w:t>
      </w:r>
    </w:p>
    <w:p w14:paraId="2E22B7ED" w14:textId="77777777" w:rsidR="007539AC" w:rsidRPr="00EA38DE" w:rsidRDefault="007539AC" w:rsidP="007539AC">
      <w:pPr>
        <w:pStyle w:val="NormalWeb"/>
        <w:spacing w:before="0" w:beforeAutospacing="0" w:after="240" w:afterAutospacing="0"/>
        <w:ind w:left="720" w:hanging="720"/>
        <w:jc w:val="both"/>
      </w:pPr>
      <w:r w:rsidRPr="00EA38DE">
        <w:t>Olisa Agbakoba Legal. (2024). Unlocking Nigeria’s maritime and blue economy: Comprehensive advisory by OAL. Retrieved from https://oal.law/news/unlocking-nigerias-maritime-and-blue-economy-comprehensive-advisory-by-oal/</w:t>
      </w:r>
    </w:p>
    <w:p w14:paraId="04F6D5A5"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Oloyede, O. O., &amp; Essi, I. A. (2017). Exchange rate and trade performance in Nigeria: A vector autoregression approach. </w:t>
      </w:r>
      <w:r w:rsidRPr="00EA38DE">
        <w:rPr>
          <w:rFonts w:ascii="Times New Roman" w:eastAsia="Times New Roman" w:hAnsi="Times New Roman" w:cs="Times New Roman"/>
          <w:i/>
          <w:iCs/>
          <w:sz w:val="24"/>
          <w:szCs w:val="24"/>
        </w:rPr>
        <w:t>International Journal of Economics and Financial Issues, 7</w:t>
      </w:r>
      <w:r w:rsidRPr="00EA38DE">
        <w:rPr>
          <w:rFonts w:ascii="Times New Roman" w:eastAsia="Times New Roman" w:hAnsi="Times New Roman" w:cs="Times New Roman"/>
          <w:sz w:val="24"/>
          <w:szCs w:val="24"/>
        </w:rPr>
        <w:t>(4), 1–8.</w:t>
      </w:r>
    </w:p>
    <w:p w14:paraId="0C6EC68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Olukoju, A. (2020). </w:t>
      </w:r>
      <w:r w:rsidRPr="00EA38DE">
        <w:rPr>
          <w:rFonts w:ascii="Times New Roman" w:eastAsia="Times New Roman" w:hAnsi="Times New Roman" w:cs="Times New Roman"/>
          <w:iCs/>
          <w:sz w:val="24"/>
          <w:szCs w:val="24"/>
        </w:rPr>
        <w:t>The political economy of port reform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African Economic History, 48</w:t>
      </w:r>
      <w:r w:rsidRPr="00EA38DE">
        <w:rPr>
          <w:rFonts w:ascii="Times New Roman" w:eastAsia="Times New Roman" w:hAnsi="Times New Roman" w:cs="Times New Roman"/>
          <w:sz w:val="24"/>
          <w:szCs w:val="24"/>
        </w:rPr>
        <w:t>(1), 71–90.</w:t>
      </w:r>
    </w:p>
    <w:p w14:paraId="10C3DE20"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Olusola, O. J., &amp; Ajayi, L. B. (2021). The effect of exchange rate fluctuation on port operation performance in Nigeria. </w:t>
      </w:r>
      <w:r w:rsidRPr="00EA38DE">
        <w:rPr>
          <w:rFonts w:ascii="Times New Roman" w:eastAsiaTheme="majorEastAsia" w:hAnsi="Times New Roman" w:cs="Times New Roman"/>
          <w:i/>
          <w:sz w:val="24"/>
          <w:szCs w:val="24"/>
        </w:rPr>
        <w:t>Journal of Maritime Research and Development, 7</w:t>
      </w:r>
      <w:r w:rsidRPr="00EA38DE">
        <w:rPr>
          <w:rFonts w:ascii="Times New Roman" w:hAnsi="Times New Roman" w:cs="Times New Roman"/>
          <w:sz w:val="24"/>
          <w:szCs w:val="24"/>
        </w:rPr>
        <w:t>(3), 67–81.</w:t>
      </w:r>
    </w:p>
    <w:p w14:paraId="452D2F5E"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Onuoha, B., &amp; Okonkwo, P. (2018). </w:t>
      </w:r>
      <w:r w:rsidRPr="00EA38DE">
        <w:rPr>
          <w:rFonts w:ascii="Times New Roman" w:eastAsia="Times New Roman" w:hAnsi="Times New Roman" w:cs="Times New Roman"/>
          <w:iCs/>
          <w:sz w:val="24"/>
          <w:szCs w:val="24"/>
        </w:rPr>
        <w:t>Aquaculture output and maritime logistics efficiency in Nigeria</w:t>
      </w:r>
      <w:r w:rsidRPr="00EA38DE">
        <w:rPr>
          <w:rFonts w:ascii="Times New Roman" w:eastAsia="Times New Roman" w:hAnsi="Times New Roman" w:cs="Times New Roman"/>
          <w:sz w:val="24"/>
          <w:szCs w:val="24"/>
        </w:rPr>
        <w:t>.</w:t>
      </w:r>
      <w:r w:rsidRPr="00EA38DE">
        <w:rPr>
          <w:rFonts w:ascii="Times New Roman" w:eastAsia="Times New Roman" w:hAnsi="Times New Roman" w:cs="Times New Roman"/>
          <w:i/>
          <w:sz w:val="24"/>
          <w:szCs w:val="24"/>
        </w:rPr>
        <w:t xml:space="preserve"> Maritime Economics Review,</w:t>
      </w:r>
      <w:r w:rsidRPr="00EA38DE">
        <w:rPr>
          <w:rStyle w:val="Heading3Char"/>
          <w:rFonts w:eastAsiaTheme="majorEastAsia"/>
          <w:sz w:val="24"/>
          <w:szCs w:val="24"/>
        </w:rPr>
        <w:t xml:space="preserve"> </w:t>
      </w:r>
      <w:r w:rsidRPr="00EA38DE">
        <w:rPr>
          <w:rStyle w:val="Emphasis"/>
          <w:rFonts w:ascii="Times New Roman" w:hAnsi="Times New Roman" w:cs="Times New Roman"/>
          <w:sz w:val="24"/>
          <w:szCs w:val="24"/>
        </w:rPr>
        <w:t>12</w:t>
      </w:r>
      <w:r w:rsidRPr="00EA38DE">
        <w:rPr>
          <w:rFonts w:ascii="Times New Roman" w:hAnsi="Times New Roman" w:cs="Times New Roman"/>
          <w:sz w:val="24"/>
          <w:szCs w:val="24"/>
        </w:rPr>
        <w:t>(3), 75–89.</w:t>
      </w:r>
    </w:p>
    <w:p w14:paraId="717EF66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Onuoha, C., &amp; Okonkwo, J. (2018). </w:t>
      </w:r>
      <w:r w:rsidRPr="00EA38DE">
        <w:rPr>
          <w:rFonts w:ascii="Times New Roman" w:eastAsia="Times New Roman" w:hAnsi="Times New Roman" w:cs="Times New Roman"/>
          <w:iCs/>
          <w:sz w:val="24"/>
          <w:szCs w:val="24"/>
        </w:rPr>
        <w:t>Aquaculture output and maritime logistics efficiency in Nigeria</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African Journal of Transport and Logistics,</w:t>
      </w:r>
      <w:r w:rsidRPr="00EA38DE">
        <w:rPr>
          <w:rStyle w:val="Heading3Char"/>
          <w:rFonts w:eastAsiaTheme="majorEastAsia"/>
          <w:i/>
          <w:sz w:val="24"/>
          <w:szCs w:val="24"/>
        </w:rPr>
        <w:t xml:space="preserve"> </w:t>
      </w:r>
      <w:r w:rsidRPr="00EA38DE">
        <w:rPr>
          <w:rStyle w:val="Emphasis"/>
          <w:rFonts w:ascii="Times New Roman" w:hAnsi="Times New Roman" w:cs="Times New Roman"/>
          <w:sz w:val="24"/>
          <w:szCs w:val="24"/>
        </w:rPr>
        <w:t>5</w:t>
      </w:r>
      <w:r w:rsidRPr="00EA38DE">
        <w:rPr>
          <w:rFonts w:ascii="Times New Roman" w:hAnsi="Times New Roman" w:cs="Times New Roman"/>
          <w:sz w:val="24"/>
          <w:szCs w:val="24"/>
        </w:rPr>
        <w:t>(2), 75–90.</w:t>
      </w:r>
    </w:p>
    <w:p w14:paraId="2EBF8B4F"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Onuoha, F. C. (2021). Harnessing Nigeria’s blue economy: Opportunities, challenges and policy imperatives. </w:t>
      </w:r>
      <w:r w:rsidRPr="00EA38DE">
        <w:rPr>
          <w:rFonts w:ascii="Times New Roman" w:eastAsiaTheme="majorEastAsia" w:hAnsi="Times New Roman" w:cs="Times New Roman"/>
          <w:i/>
          <w:iCs/>
          <w:sz w:val="24"/>
          <w:szCs w:val="24"/>
        </w:rPr>
        <w:t>Nigerian Journal of Maritime Research</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9</w:t>
      </w:r>
      <w:r w:rsidRPr="00EA38DE">
        <w:rPr>
          <w:rFonts w:ascii="Times New Roman" w:hAnsi="Times New Roman" w:cs="Times New Roman"/>
          <w:sz w:val="24"/>
          <w:szCs w:val="24"/>
        </w:rPr>
        <w:t>(2), 15–28</w:t>
      </w:r>
    </w:p>
    <w:p w14:paraId="0550310A"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Onuoha, G. C., &amp; Okonkwo, E. E. (2018). </w:t>
      </w:r>
      <w:r w:rsidRPr="00EA38DE">
        <w:rPr>
          <w:rFonts w:ascii="Times New Roman" w:eastAsia="Times New Roman" w:hAnsi="Times New Roman" w:cs="Times New Roman"/>
          <w:iCs/>
          <w:sz w:val="24"/>
          <w:szCs w:val="24"/>
        </w:rPr>
        <w:t>Exchange rate dynamics and financial performance of Nigerian shipping companies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African Economic Studies, 6</w:t>
      </w:r>
      <w:r w:rsidRPr="00EA38DE">
        <w:rPr>
          <w:rFonts w:ascii="Times New Roman" w:eastAsia="Times New Roman" w:hAnsi="Times New Roman" w:cs="Times New Roman"/>
          <w:sz w:val="24"/>
          <w:szCs w:val="24"/>
        </w:rPr>
        <w:t>(3), 88–105.</w:t>
      </w:r>
    </w:p>
    <w:p w14:paraId="7076103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Onwuka, D. (2022). The impact of exchange rate volatility on the performance of the manufacturing sector in Nigeria. </w:t>
      </w:r>
      <w:r w:rsidRPr="00EA38DE">
        <w:rPr>
          <w:rFonts w:ascii="Times New Roman" w:eastAsiaTheme="majorEastAsia" w:hAnsi="Times New Roman" w:cs="Times New Roman"/>
          <w:i/>
          <w:iCs/>
          <w:sz w:val="24"/>
          <w:szCs w:val="24"/>
        </w:rPr>
        <w:t>International Journal of Economics and Manufacturing Studies,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8</w:t>
      </w:r>
      <w:r w:rsidRPr="00EA38DE">
        <w:rPr>
          <w:rFonts w:ascii="Times New Roman" w:hAnsi="Times New Roman" w:cs="Times New Roman"/>
          <w:sz w:val="24"/>
          <w:szCs w:val="24"/>
        </w:rPr>
        <w:t>(4), 110-126.</w:t>
      </w:r>
    </w:p>
    <w:p w14:paraId="7C590809"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Onwuka, R. (2022). </w:t>
      </w:r>
      <w:r w:rsidRPr="00EA38DE">
        <w:rPr>
          <w:rFonts w:ascii="Times New Roman" w:eastAsiaTheme="majorEastAsia" w:hAnsi="Times New Roman" w:cs="Times New Roman"/>
          <w:sz w:val="24"/>
          <w:szCs w:val="24"/>
        </w:rPr>
        <w:t>Exchange rate instability and sectoral trade flows in Nigeria</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Nigerian Journal of Economic Policy, 29</w:t>
      </w:r>
      <w:r w:rsidRPr="00EA38DE">
        <w:rPr>
          <w:rFonts w:ascii="Times New Roman" w:hAnsi="Times New Roman" w:cs="Times New Roman"/>
          <w:sz w:val="24"/>
          <w:szCs w:val="24"/>
        </w:rPr>
        <w:t>(1), 41–63.</w:t>
      </w:r>
    </w:p>
    <w:p w14:paraId="7E963D6C"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Orji, A., Izedonmi, F. P., &amp; Ezeabasili, A. C. (2018). Impact of exchange rate on the manufacturing sector in Nigeria. </w:t>
      </w:r>
      <w:r w:rsidRPr="00EA38DE">
        <w:rPr>
          <w:rFonts w:ascii="Times New Roman" w:eastAsia="Times New Roman" w:hAnsi="Times New Roman" w:cs="Times New Roman"/>
          <w:i/>
          <w:iCs/>
          <w:sz w:val="24"/>
          <w:szCs w:val="24"/>
        </w:rPr>
        <w:t>Lapai Journal of Economics, 6</w:t>
      </w:r>
      <w:r w:rsidRPr="00EA38DE">
        <w:rPr>
          <w:rFonts w:ascii="Times New Roman" w:eastAsia="Times New Roman" w:hAnsi="Times New Roman" w:cs="Times New Roman"/>
          <w:sz w:val="24"/>
          <w:szCs w:val="24"/>
        </w:rPr>
        <w:t xml:space="preserve">(2), 1–15. </w:t>
      </w:r>
    </w:p>
    <w:p w14:paraId="64BF57AF"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Osadume, O., &amp; University, I. (2020). The role of shipping transport in international trade facilitation. </w:t>
      </w:r>
      <w:r w:rsidRPr="00EA38DE">
        <w:rPr>
          <w:rFonts w:ascii="Times New Roman" w:eastAsiaTheme="majorEastAsia" w:hAnsi="Times New Roman" w:cs="Times New Roman"/>
          <w:i/>
          <w:iCs/>
          <w:sz w:val="24"/>
          <w:szCs w:val="24"/>
        </w:rPr>
        <w:t>International Journal of Transport Economics</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47</w:t>
      </w:r>
      <w:r w:rsidRPr="00EA38DE">
        <w:rPr>
          <w:rFonts w:ascii="Times New Roman" w:hAnsi="Times New Roman" w:cs="Times New Roman"/>
          <w:sz w:val="24"/>
          <w:szCs w:val="24"/>
        </w:rPr>
        <w:t>(3), 305-320.</w:t>
      </w:r>
    </w:p>
    <w:p w14:paraId="1B93D3BB"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Oseni, I. O., Adekunle, I. A., &amp; Alabi, M. O. (2019). Exchange rate volatility and industrial output growth in Nigeria. </w:t>
      </w:r>
      <w:r w:rsidRPr="00EA38DE">
        <w:rPr>
          <w:rFonts w:ascii="Times New Roman" w:eastAsiaTheme="majorEastAsia" w:hAnsi="Times New Roman" w:cs="Times New Roman"/>
          <w:i/>
          <w:iCs/>
          <w:sz w:val="24"/>
          <w:szCs w:val="24"/>
        </w:rPr>
        <w:t>Journal of Economics and Management</w:t>
      </w:r>
      <w:r w:rsidRPr="00EA38DE">
        <w:rPr>
          <w:rFonts w:ascii="Times New Roman" w:hAnsi="Times New Roman" w:cs="Times New Roman"/>
          <w:sz w:val="24"/>
          <w:szCs w:val="24"/>
        </w:rPr>
        <w:t xml:space="preserve">, </w:t>
      </w:r>
      <w:r w:rsidRPr="00EA38DE">
        <w:rPr>
          <w:rFonts w:ascii="Times New Roman" w:hAnsi="Times New Roman" w:cs="Times New Roman"/>
          <w:i/>
          <w:sz w:val="24"/>
          <w:szCs w:val="24"/>
        </w:rPr>
        <w:t>38</w:t>
      </w:r>
      <w:r w:rsidRPr="00EA38DE">
        <w:rPr>
          <w:rFonts w:ascii="Times New Roman" w:hAnsi="Times New Roman" w:cs="Times New Roman"/>
          <w:sz w:val="24"/>
          <w:szCs w:val="24"/>
        </w:rPr>
        <w:t>(4), 129-156. https://doi.org/10.22367/jem.2019.38.07</w:t>
      </w:r>
    </w:p>
    <w:p w14:paraId="112E69C7"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Osho, A., &amp; Fagbamila, O. (2022). The effect of exchange rate fluctuation on the financial performance of multinational companies in Nigeria. </w:t>
      </w:r>
      <w:r w:rsidRPr="00EA38DE">
        <w:rPr>
          <w:rFonts w:ascii="Times New Roman" w:eastAsiaTheme="majorEastAsia" w:hAnsi="Times New Roman" w:cs="Times New Roman"/>
          <w:i/>
          <w:sz w:val="24"/>
          <w:szCs w:val="24"/>
        </w:rPr>
        <w:t>Journal of Financial Economics, 13</w:t>
      </w:r>
      <w:r w:rsidRPr="00EA38DE">
        <w:rPr>
          <w:rFonts w:ascii="Times New Roman" w:hAnsi="Times New Roman" w:cs="Times New Roman"/>
          <w:sz w:val="24"/>
          <w:szCs w:val="24"/>
        </w:rPr>
        <w:t>(5), 92-109.</w:t>
      </w:r>
    </w:p>
    <w:p w14:paraId="3C9CBDA7" w14:textId="77777777" w:rsidR="007539AC" w:rsidRPr="00EA38DE" w:rsidRDefault="007539AC" w:rsidP="007539AC">
      <w:pPr>
        <w:pStyle w:val="NormalWeb"/>
        <w:spacing w:before="0" w:beforeAutospacing="0" w:after="240" w:afterAutospacing="0"/>
        <w:ind w:left="720" w:hanging="720"/>
        <w:jc w:val="both"/>
      </w:pPr>
      <w:r w:rsidRPr="00EA38DE">
        <w:t xml:space="preserve">Osho, G., &amp; Fagbamila, O. (2022). Exchange rate volatility, trade flows, and maritime trade in Nigeria. </w:t>
      </w:r>
      <w:r w:rsidRPr="00EA38DE">
        <w:rPr>
          <w:rStyle w:val="Emphasis"/>
          <w:rFonts w:eastAsiaTheme="majorEastAsia"/>
        </w:rPr>
        <w:t>Journal of African Maritime Economics, 14</w:t>
      </w:r>
      <w:r w:rsidRPr="00EA38DE">
        <w:t>(1), 88–105.</w:t>
      </w:r>
    </w:p>
    <w:p w14:paraId="642478A5"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Osiegbu, D., &amp; Onuorah, M. (2012). Exchange rate dynamics and economic development in Nigeria. </w:t>
      </w:r>
      <w:r w:rsidRPr="00EA38DE">
        <w:rPr>
          <w:rFonts w:ascii="Times New Roman" w:eastAsiaTheme="majorEastAsia" w:hAnsi="Times New Roman" w:cs="Times New Roman"/>
          <w:i/>
          <w:sz w:val="24"/>
          <w:szCs w:val="24"/>
        </w:rPr>
        <w:t>African Economic and Business Review, 10</w:t>
      </w:r>
      <w:r w:rsidRPr="00EA38DE">
        <w:rPr>
          <w:rFonts w:ascii="Times New Roman" w:hAnsi="Times New Roman" w:cs="Times New Roman"/>
          <w:sz w:val="24"/>
          <w:szCs w:val="24"/>
        </w:rPr>
        <w:t>(1), 22-35.</w:t>
      </w:r>
    </w:p>
    <w:p w14:paraId="66354EFF"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lastRenderedPageBreak/>
        <w:t xml:space="preserve">Osinowo, O., Adebayo, A., &amp; Yusuf, A. (2022). Exchange rate volatility and congestion at Nigerian ports. </w:t>
      </w:r>
      <w:r w:rsidRPr="00EA38DE">
        <w:rPr>
          <w:rFonts w:ascii="Times New Roman" w:eastAsiaTheme="majorEastAsia" w:hAnsi="Times New Roman" w:cs="Times New Roman"/>
          <w:i/>
          <w:sz w:val="24"/>
          <w:szCs w:val="24"/>
        </w:rPr>
        <w:t>Journal of Transport and Supply Chain Management, 16</w:t>
      </w:r>
      <w:r w:rsidRPr="00EA38DE">
        <w:rPr>
          <w:rFonts w:ascii="Times New Roman" w:hAnsi="Times New Roman" w:cs="Times New Roman"/>
          <w:sz w:val="24"/>
          <w:szCs w:val="24"/>
        </w:rPr>
        <w:t>(1), 1-12.</w:t>
      </w:r>
    </w:p>
    <w:p w14:paraId="26246C8C"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Osobase, A., &amp; Nwankwo, M. (2018). </w:t>
      </w:r>
      <w:r w:rsidRPr="00EA38DE">
        <w:rPr>
          <w:rFonts w:ascii="Times New Roman" w:eastAsia="Times New Roman" w:hAnsi="Times New Roman" w:cs="Times New Roman"/>
          <w:iCs/>
          <w:sz w:val="24"/>
          <w:szCs w:val="24"/>
        </w:rPr>
        <w:t>Exchange rate stability and port throughput in Nigeria: An empirical analysis</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Journal of Maritime Affairs, 4</w:t>
      </w:r>
      <w:r w:rsidRPr="00EA38DE">
        <w:rPr>
          <w:rFonts w:ascii="Times New Roman" w:eastAsia="Times New Roman" w:hAnsi="Times New Roman" w:cs="Times New Roman"/>
          <w:sz w:val="24"/>
          <w:szCs w:val="24"/>
        </w:rPr>
        <w:t>(1), 21–35.</w:t>
      </w:r>
    </w:p>
    <w:p w14:paraId="5E64FD84"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Oyeduntan, A. (2022). Exchange rate volatility and its impact on Nigeria's shipping sector</w:t>
      </w:r>
      <w:r w:rsidRPr="00EA38DE">
        <w:rPr>
          <w:rFonts w:ascii="Times New Roman" w:hAnsi="Times New Roman" w:cs="Times New Roman"/>
          <w:i/>
          <w:iCs/>
          <w:sz w:val="24"/>
          <w:szCs w:val="24"/>
        </w:rPr>
        <w:t xml:space="preserve">. </w:t>
      </w:r>
      <w:r w:rsidRPr="00EA38DE">
        <w:rPr>
          <w:rFonts w:ascii="Times New Roman" w:eastAsiaTheme="majorEastAsia" w:hAnsi="Times New Roman" w:cs="Times New Roman"/>
          <w:i/>
          <w:iCs/>
          <w:sz w:val="24"/>
          <w:szCs w:val="24"/>
        </w:rPr>
        <w:t>Journal of International Trade and Economic Development</w:t>
      </w:r>
      <w:r w:rsidRPr="00EA38DE">
        <w:rPr>
          <w:rFonts w:ascii="Times New Roman" w:eastAsiaTheme="majorEastAsia" w:hAnsi="Times New Roman" w:cs="Times New Roman"/>
          <w:sz w:val="24"/>
          <w:szCs w:val="24"/>
        </w:rPr>
        <w:t xml:space="preserve">, </w:t>
      </w:r>
      <w:r w:rsidRPr="00EA38DE">
        <w:rPr>
          <w:rFonts w:ascii="Times New Roman" w:eastAsiaTheme="majorEastAsia" w:hAnsi="Times New Roman" w:cs="Times New Roman"/>
          <w:i/>
          <w:sz w:val="24"/>
          <w:szCs w:val="24"/>
        </w:rPr>
        <w:t>31</w:t>
      </w:r>
      <w:r w:rsidRPr="00EA38DE">
        <w:rPr>
          <w:rFonts w:ascii="Times New Roman" w:hAnsi="Times New Roman" w:cs="Times New Roman"/>
          <w:sz w:val="24"/>
          <w:szCs w:val="24"/>
        </w:rPr>
        <w:t>(1), 75-90.</w:t>
      </w:r>
    </w:p>
    <w:p w14:paraId="635E95CE"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Oyekunle, O., Adedokun, M., &amp; Adebayo, A. (2021). The impact of exchange rate volatility on shipping competitiveness in Nigeria. </w:t>
      </w:r>
      <w:r w:rsidRPr="00EA38DE">
        <w:rPr>
          <w:rFonts w:ascii="Times New Roman" w:eastAsiaTheme="majorEastAsia" w:hAnsi="Times New Roman" w:cs="Times New Roman"/>
          <w:i/>
          <w:sz w:val="24"/>
          <w:szCs w:val="24"/>
        </w:rPr>
        <w:t>Journal of Shipping Economics, 4</w:t>
      </w:r>
      <w:r w:rsidRPr="00EA38DE">
        <w:rPr>
          <w:rFonts w:ascii="Times New Roman" w:hAnsi="Times New Roman" w:cs="Times New Roman"/>
          <w:sz w:val="24"/>
          <w:szCs w:val="24"/>
        </w:rPr>
        <w:t>(1), 34-48.</w:t>
      </w:r>
    </w:p>
    <w:p w14:paraId="3EA5EC68"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Panda, S., &amp; Mohanty, P. (2015). Exchange rate volatility and India's exports. </w:t>
      </w:r>
      <w:r w:rsidRPr="00EA38DE">
        <w:rPr>
          <w:rFonts w:ascii="Times New Roman" w:eastAsia="Times New Roman" w:hAnsi="Times New Roman" w:cs="Times New Roman"/>
          <w:i/>
          <w:iCs/>
          <w:sz w:val="24"/>
          <w:szCs w:val="24"/>
        </w:rPr>
        <w:t>International Journal of Economics and Financial Issues, 5</w:t>
      </w:r>
      <w:r w:rsidRPr="00EA38DE">
        <w:rPr>
          <w:rFonts w:ascii="Times New Roman" w:eastAsia="Times New Roman" w:hAnsi="Times New Roman" w:cs="Times New Roman"/>
          <w:sz w:val="24"/>
          <w:szCs w:val="24"/>
        </w:rPr>
        <w:t>(3), 1–10.</w:t>
      </w:r>
    </w:p>
    <w:p w14:paraId="7E6B332F" w14:textId="77777777" w:rsidR="007539AC" w:rsidRPr="00EA38DE" w:rsidRDefault="007539AC" w:rsidP="007539AC">
      <w:pPr>
        <w:pStyle w:val="NormalWeb"/>
        <w:spacing w:before="0" w:beforeAutospacing="0" w:after="240" w:afterAutospacing="0"/>
        <w:ind w:left="720" w:hanging="720"/>
        <w:jc w:val="both"/>
      </w:pPr>
      <w:r w:rsidRPr="00EA38DE">
        <w:t>Premium Times. (2025, March 18). Maritime safety crucial to actualising Nigeria’s potential in blue economy – NILDS DG. Retrieved from https://www.premiumtimesng.com/news/more-news/781805-maritime-safety-crucial-to-actualising-nigerias-potential-in-blue-economy-nilds-dg.html</w:t>
      </w:r>
    </w:p>
    <w:p w14:paraId="7197975E"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Razazadehkarsalari, M., et al. (2011). Exchange rate volatility and trade balance in developing countries. </w:t>
      </w:r>
      <w:r w:rsidRPr="00EA38DE">
        <w:rPr>
          <w:rFonts w:ascii="Times New Roman" w:eastAsiaTheme="majorEastAsia" w:hAnsi="Times New Roman" w:cs="Times New Roman"/>
          <w:i/>
          <w:sz w:val="24"/>
          <w:szCs w:val="24"/>
        </w:rPr>
        <w:t>International Journal of Economics and Finance, 3</w:t>
      </w:r>
      <w:r w:rsidRPr="00EA38DE">
        <w:rPr>
          <w:rFonts w:ascii="Times New Roman" w:hAnsi="Times New Roman" w:cs="Times New Roman"/>
          <w:sz w:val="24"/>
          <w:szCs w:val="24"/>
        </w:rPr>
        <w:t>(2), 112-120</w:t>
      </w:r>
      <w:r w:rsidRPr="00EA38DE">
        <w:rPr>
          <w:rFonts w:ascii="Times New Roman" w:eastAsia="Times New Roman" w:hAnsi="Times New Roman" w:cs="Times New Roman"/>
          <w:i/>
          <w:iCs/>
          <w:sz w:val="24"/>
          <w:szCs w:val="24"/>
        </w:rPr>
        <w:t xml:space="preserve">    </w:t>
      </w:r>
    </w:p>
    <w:p w14:paraId="5F96F6BE" w14:textId="77777777" w:rsidR="007539AC" w:rsidRPr="00EA38DE" w:rsidRDefault="007539AC" w:rsidP="007539AC">
      <w:pPr>
        <w:pStyle w:val="NormalWeb"/>
        <w:spacing w:before="0" w:beforeAutospacing="0" w:after="240" w:afterAutospacing="0"/>
        <w:ind w:left="720" w:hanging="720"/>
        <w:jc w:val="both"/>
      </w:pPr>
      <w:r w:rsidRPr="00EA38DE">
        <w:t xml:space="preserve">Rodrigue, J. P., &amp; Notteboom, T. (2020). </w:t>
      </w:r>
      <w:r w:rsidRPr="00EA38DE">
        <w:rPr>
          <w:rStyle w:val="Emphasis"/>
          <w:rFonts w:eastAsiaTheme="majorEastAsia"/>
        </w:rPr>
        <w:t>Transport systems and maritime logistics</w:t>
      </w:r>
      <w:r w:rsidRPr="00EA38DE">
        <w:t>. Routledge.</w:t>
      </w:r>
    </w:p>
    <w:p w14:paraId="3D84D22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Rogoff, K.</w:t>
      </w:r>
      <w:r w:rsidRPr="00EA38DE">
        <w:rPr>
          <w:rFonts w:ascii="Times New Roman" w:eastAsia="Times New Roman" w:hAnsi="Times New Roman" w:cs="Times New Roman"/>
          <w:sz w:val="24"/>
          <w:szCs w:val="24"/>
        </w:rPr>
        <w:t xml:space="preserve"> (1996). </w:t>
      </w:r>
      <w:r w:rsidRPr="00EA38DE">
        <w:rPr>
          <w:rFonts w:ascii="Times New Roman" w:eastAsia="Times New Roman" w:hAnsi="Times New Roman" w:cs="Times New Roman"/>
          <w:iCs/>
          <w:sz w:val="24"/>
          <w:szCs w:val="24"/>
        </w:rPr>
        <w:t>The purchasing power parity puzzle</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sz w:val="24"/>
          <w:szCs w:val="24"/>
        </w:rPr>
        <w:t xml:space="preserve">Journal of Economic Literature, </w:t>
      </w:r>
      <w:r w:rsidRPr="00EA38DE">
        <w:rPr>
          <w:rFonts w:ascii="Times New Roman" w:eastAsia="Times New Roman" w:hAnsi="Times New Roman" w:cs="Times New Roman"/>
          <w:bCs/>
          <w:i/>
          <w:sz w:val="24"/>
          <w:szCs w:val="24"/>
        </w:rPr>
        <w:t>34</w:t>
      </w:r>
      <w:r w:rsidRPr="00EA38DE">
        <w:rPr>
          <w:rFonts w:ascii="Times New Roman" w:eastAsia="Times New Roman" w:hAnsi="Times New Roman" w:cs="Times New Roman"/>
          <w:sz w:val="24"/>
          <w:szCs w:val="24"/>
        </w:rPr>
        <w:t>(2), 647–668.</w:t>
      </w:r>
    </w:p>
    <w:p w14:paraId="2B7E268A"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Samuel, O., &amp; Wale-Odunaiya, A. (2021). Consequences of exchange rate undervaluation on manufacturing output and economic growth in Nigeria. </w:t>
      </w:r>
      <w:r w:rsidRPr="00EA38DE">
        <w:rPr>
          <w:rFonts w:ascii="Times New Roman" w:eastAsiaTheme="majorEastAsia" w:hAnsi="Times New Roman" w:cs="Times New Roman"/>
          <w:i/>
          <w:sz w:val="24"/>
          <w:szCs w:val="24"/>
        </w:rPr>
        <w:t>Economic Growth Review, 9</w:t>
      </w:r>
      <w:r w:rsidRPr="00EA38DE">
        <w:rPr>
          <w:rFonts w:ascii="Times New Roman" w:hAnsi="Times New Roman" w:cs="Times New Roman"/>
          <w:sz w:val="24"/>
          <w:szCs w:val="24"/>
        </w:rPr>
        <w:t>(2), 45-58.</w:t>
      </w:r>
    </w:p>
    <w:p w14:paraId="21993ADA" w14:textId="77777777" w:rsidR="007539AC" w:rsidRPr="00EA38DE" w:rsidRDefault="007539AC" w:rsidP="007539AC">
      <w:pPr>
        <w:pStyle w:val="NormalWeb"/>
        <w:spacing w:before="0" w:beforeAutospacing="0" w:after="240" w:afterAutospacing="0"/>
        <w:ind w:left="720" w:hanging="720"/>
        <w:jc w:val="both"/>
      </w:pPr>
      <w:r w:rsidRPr="00EA38DE">
        <w:t xml:space="preserve">Schechner, R. (2023). </w:t>
      </w:r>
      <w:r w:rsidRPr="00EA38DE">
        <w:rPr>
          <w:rStyle w:val="Emphasis"/>
          <w:rFonts w:eastAsiaTheme="majorEastAsia"/>
        </w:rPr>
        <w:t>Performance Studies: An Introduction</w:t>
      </w:r>
      <w:r w:rsidRPr="00EA38DE">
        <w:t xml:space="preserve"> (4th ed.). Routledge.</w:t>
      </w:r>
    </w:p>
    <w:p w14:paraId="0E7371F3"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Smith, J., &amp; Rahman, M. (2020). Water security and maritime industry efficiency: The role of desalination technologies. </w:t>
      </w:r>
      <w:r w:rsidRPr="00EA38DE">
        <w:rPr>
          <w:rFonts w:ascii="Times New Roman" w:eastAsia="Times New Roman" w:hAnsi="Times New Roman" w:cs="Times New Roman"/>
          <w:i/>
          <w:iCs/>
          <w:sz w:val="24"/>
          <w:szCs w:val="24"/>
        </w:rPr>
        <w:t>Journal of Maritime Economics and Logistics, 22(1), 45–62.</w:t>
      </w:r>
    </w:p>
    <w:p w14:paraId="7DE725F4"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Sonik, R. (2000). Currency crises and speculative attacks: A theoretical framework. </w:t>
      </w:r>
      <w:r w:rsidRPr="00EA38DE">
        <w:rPr>
          <w:rFonts w:ascii="Times New Roman" w:eastAsiaTheme="majorEastAsia" w:hAnsi="Times New Roman" w:cs="Times New Roman"/>
          <w:i/>
          <w:sz w:val="24"/>
          <w:szCs w:val="24"/>
        </w:rPr>
        <w:t>Journal of International Money and Finance, 19</w:t>
      </w:r>
      <w:r w:rsidRPr="00EA38DE">
        <w:rPr>
          <w:rFonts w:ascii="Times New Roman" w:hAnsi="Times New Roman" w:cs="Times New Roman"/>
          <w:sz w:val="24"/>
          <w:szCs w:val="24"/>
        </w:rPr>
        <w:t>(6), 903-920</w:t>
      </w:r>
      <w:r w:rsidRPr="00EA38DE">
        <w:rPr>
          <w:rFonts w:ascii="Times New Roman" w:eastAsia="Times New Roman" w:hAnsi="Times New Roman" w:cs="Times New Roman"/>
          <w:sz w:val="24"/>
          <w:szCs w:val="24"/>
        </w:rPr>
        <w:t>.</w:t>
      </w:r>
    </w:p>
    <w:p w14:paraId="27A80810"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Stopford, M. (2009). </w:t>
      </w:r>
      <w:r w:rsidRPr="00EA38DE">
        <w:rPr>
          <w:rFonts w:ascii="Times New Roman" w:eastAsia="Times New Roman" w:hAnsi="Times New Roman" w:cs="Times New Roman"/>
          <w:i/>
          <w:iCs/>
          <w:sz w:val="24"/>
          <w:szCs w:val="24"/>
        </w:rPr>
        <w:t>Maritime economics</w:t>
      </w:r>
      <w:r w:rsidRPr="00EA38DE">
        <w:rPr>
          <w:rFonts w:ascii="Times New Roman" w:eastAsia="Times New Roman" w:hAnsi="Times New Roman" w:cs="Times New Roman"/>
          <w:sz w:val="24"/>
          <w:szCs w:val="24"/>
        </w:rPr>
        <w:t xml:space="preserve"> (3rd ed.). New-York Routledge.</w:t>
      </w:r>
    </w:p>
    <w:p w14:paraId="744A228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Stopford, M. (2009). </w:t>
      </w:r>
      <w:r w:rsidRPr="00EA38DE">
        <w:rPr>
          <w:rFonts w:ascii="Times New Roman" w:eastAsia="Times New Roman" w:hAnsi="Times New Roman" w:cs="Times New Roman"/>
          <w:i/>
          <w:iCs/>
          <w:sz w:val="24"/>
          <w:szCs w:val="24"/>
        </w:rPr>
        <w:t>Maritime economics</w:t>
      </w:r>
      <w:r w:rsidRPr="00EA38DE">
        <w:rPr>
          <w:rFonts w:ascii="Times New Roman" w:eastAsia="Times New Roman" w:hAnsi="Times New Roman" w:cs="Times New Roman"/>
          <w:sz w:val="24"/>
          <w:szCs w:val="24"/>
        </w:rPr>
        <w:t xml:space="preserve"> (3rd ed.). Routledge</w:t>
      </w:r>
    </w:p>
    <w:p w14:paraId="5B1C8C22"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Takon, I. J., Okoro, E. O., &amp; Okoroafor, F. O. (2016). Foreign exchange transactions and bank profitability in Nigeria. </w:t>
      </w:r>
      <w:r w:rsidRPr="00EA38DE">
        <w:rPr>
          <w:rFonts w:ascii="Times New Roman" w:eastAsia="Times New Roman" w:hAnsi="Times New Roman" w:cs="Times New Roman"/>
          <w:i/>
          <w:iCs/>
          <w:sz w:val="24"/>
          <w:szCs w:val="24"/>
        </w:rPr>
        <w:t>International Journal of Economics, Commerce and Management, 4</w:t>
      </w:r>
      <w:r w:rsidRPr="00EA38DE">
        <w:rPr>
          <w:rFonts w:ascii="Times New Roman" w:eastAsia="Times New Roman" w:hAnsi="Times New Roman" w:cs="Times New Roman"/>
          <w:sz w:val="24"/>
          <w:szCs w:val="24"/>
        </w:rPr>
        <w:t>(9), 1–12.</w:t>
      </w:r>
    </w:p>
    <w:p w14:paraId="7138D994"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Tams-Alasia, O. J., Olokoyo, F. O., Okoye, G. O., &amp; Ejemeyovwi, J. O. (2018). Exchange rate deregulation and manufacturing output performance in Nigeria. </w:t>
      </w:r>
      <w:r w:rsidRPr="00EA38DE">
        <w:rPr>
          <w:rFonts w:ascii="Times New Roman" w:eastAsia="Times New Roman" w:hAnsi="Times New Roman" w:cs="Times New Roman"/>
          <w:i/>
          <w:iCs/>
          <w:sz w:val="24"/>
          <w:szCs w:val="24"/>
        </w:rPr>
        <w:t>International Journal of Economics and Financial Issues, 8</w:t>
      </w:r>
      <w:r w:rsidRPr="00EA38DE">
        <w:rPr>
          <w:rFonts w:ascii="Times New Roman" w:eastAsia="Times New Roman" w:hAnsi="Times New Roman" w:cs="Times New Roman"/>
          <w:sz w:val="24"/>
          <w:szCs w:val="24"/>
        </w:rPr>
        <w:t>(5), 1–7.</w:t>
      </w:r>
    </w:p>
    <w:p w14:paraId="2CFFEBD1" w14:textId="77777777" w:rsidR="007539AC" w:rsidRPr="00EA38DE" w:rsidRDefault="007539AC" w:rsidP="007539AC">
      <w:pPr>
        <w:spacing w:after="240" w:line="240" w:lineRule="auto"/>
        <w:ind w:left="720" w:hanging="720"/>
        <w:jc w:val="both"/>
        <w:outlineLvl w:val="2"/>
        <w:rPr>
          <w:rFonts w:ascii="Times New Roman" w:eastAsia="Times New Roman" w:hAnsi="Times New Roman" w:cs="Times New Roman"/>
          <w:b/>
          <w:bCs/>
          <w:sz w:val="24"/>
          <w:szCs w:val="24"/>
        </w:rPr>
      </w:pPr>
      <w:r w:rsidRPr="00EA38DE">
        <w:rPr>
          <w:rFonts w:ascii="Times New Roman" w:hAnsi="Times New Roman" w:cs="Times New Roman"/>
          <w:sz w:val="24"/>
          <w:szCs w:val="24"/>
        </w:rPr>
        <w:t xml:space="preserve">Topford, M. (2009). </w:t>
      </w:r>
      <w:r w:rsidRPr="00EA38DE">
        <w:rPr>
          <w:rStyle w:val="Emphasis"/>
          <w:rFonts w:ascii="Times New Roman" w:hAnsi="Times New Roman" w:cs="Times New Roman"/>
          <w:sz w:val="24"/>
          <w:szCs w:val="24"/>
        </w:rPr>
        <w:t>Maritime economics</w:t>
      </w:r>
      <w:r w:rsidRPr="00EA38DE">
        <w:rPr>
          <w:rFonts w:ascii="Times New Roman" w:hAnsi="Times New Roman" w:cs="Times New Roman"/>
          <w:sz w:val="24"/>
          <w:szCs w:val="24"/>
        </w:rPr>
        <w:t xml:space="preserve"> (3rd ed.). Routledge.</w:t>
      </w:r>
    </w:p>
    <w:p w14:paraId="71067DE0"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Ugwu, F. O. (2017). Exchange rate fluctuations and manufacturing performance in Nigeria. </w:t>
      </w:r>
      <w:r w:rsidRPr="00EA38DE">
        <w:rPr>
          <w:rFonts w:ascii="Times New Roman" w:eastAsia="Times New Roman" w:hAnsi="Times New Roman" w:cs="Times New Roman"/>
          <w:i/>
          <w:iCs/>
          <w:sz w:val="24"/>
          <w:szCs w:val="24"/>
        </w:rPr>
        <w:t>International Journal of Advanced Academic Research, 3</w:t>
      </w:r>
      <w:r w:rsidRPr="00EA38DE">
        <w:rPr>
          <w:rFonts w:ascii="Times New Roman" w:eastAsia="Times New Roman" w:hAnsi="Times New Roman" w:cs="Times New Roman"/>
          <w:sz w:val="24"/>
          <w:szCs w:val="24"/>
        </w:rPr>
        <w:t>(5), 1–12.</w:t>
      </w:r>
    </w:p>
    <w:p w14:paraId="2117E91F"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Umaru, A., Bello, M. A., &amp; Sulaimon, M. O. (2018). Exchange rate volatility and economic growth in selected ECOWAS countries: A panel data approach. </w:t>
      </w:r>
      <w:r w:rsidRPr="00EA38DE">
        <w:rPr>
          <w:rFonts w:ascii="Times New Roman" w:eastAsia="Times New Roman" w:hAnsi="Times New Roman" w:cs="Times New Roman"/>
          <w:i/>
          <w:iCs/>
          <w:sz w:val="24"/>
          <w:szCs w:val="24"/>
        </w:rPr>
        <w:t>Asian Economic and Financial Review, 8</w:t>
      </w:r>
      <w:r w:rsidRPr="00EA38DE">
        <w:rPr>
          <w:rFonts w:ascii="Times New Roman" w:eastAsia="Times New Roman" w:hAnsi="Times New Roman" w:cs="Times New Roman"/>
          <w:sz w:val="24"/>
          <w:szCs w:val="24"/>
        </w:rPr>
        <w:t>(7), 861–873.</w:t>
      </w:r>
    </w:p>
    <w:p w14:paraId="2D570FB9" w14:textId="77777777" w:rsidR="007539AC" w:rsidRPr="00EA38DE" w:rsidRDefault="007539AC" w:rsidP="007539AC">
      <w:pPr>
        <w:spacing w:after="240" w:line="240" w:lineRule="auto"/>
        <w:ind w:left="720" w:hanging="720"/>
        <w:jc w:val="both"/>
        <w:rPr>
          <w:rFonts w:ascii="Times New Roman" w:eastAsia="Times New Roman" w:hAnsi="Times New Roman" w:cs="Times New Roman"/>
          <w:i/>
          <w:iCs/>
          <w:sz w:val="24"/>
          <w:szCs w:val="24"/>
        </w:rPr>
      </w:pPr>
      <w:r w:rsidRPr="00EA38DE">
        <w:rPr>
          <w:rFonts w:ascii="Times New Roman" w:eastAsia="Times New Roman" w:hAnsi="Times New Roman" w:cs="Times New Roman"/>
          <w:sz w:val="24"/>
          <w:szCs w:val="24"/>
        </w:rPr>
        <w:t xml:space="preserve">UNCTAD (2020). Harnessing the blue economy for sustainable development in Africa. </w:t>
      </w:r>
      <w:r w:rsidRPr="00EA38DE">
        <w:rPr>
          <w:rFonts w:ascii="Times New Roman" w:eastAsia="Times New Roman" w:hAnsi="Times New Roman" w:cs="Times New Roman"/>
          <w:i/>
          <w:iCs/>
          <w:sz w:val="24"/>
          <w:szCs w:val="24"/>
        </w:rPr>
        <w:t>United Nations conference on trade and development.</w:t>
      </w:r>
    </w:p>
    <w:p w14:paraId="0002EE4C"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UNCTAD (2020). Smart and sustainable ports: Challenges and opportunities. Geneva: </w:t>
      </w:r>
      <w:r w:rsidRPr="00EA38DE">
        <w:rPr>
          <w:rFonts w:ascii="Times New Roman" w:eastAsia="Times New Roman" w:hAnsi="Times New Roman" w:cs="Times New Roman"/>
          <w:i/>
          <w:iCs/>
          <w:sz w:val="24"/>
          <w:szCs w:val="24"/>
        </w:rPr>
        <w:t>United Nations conference on trade and development.</w:t>
      </w:r>
    </w:p>
    <w:p w14:paraId="0B7C9508"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 UNCTAD. (2018). </w:t>
      </w:r>
      <w:r w:rsidRPr="00EA38DE">
        <w:rPr>
          <w:rFonts w:ascii="Times New Roman" w:eastAsia="Times New Roman" w:hAnsi="Times New Roman" w:cs="Times New Roman"/>
          <w:i/>
          <w:iCs/>
          <w:sz w:val="24"/>
          <w:szCs w:val="24"/>
        </w:rPr>
        <w:t>Review of maritime transport</w:t>
      </w:r>
      <w:r w:rsidRPr="00EA38DE">
        <w:rPr>
          <w:rFonts w:ascii="Times New Roman" w:eastAsia="Times New Roman" w:hAnsi="Times New Roman" w:cs="Times New Roman"/>
          <w:sz w:val="24"/>
          <w:szCs w:val="24"/>
        </w:rPr>
        <w:t>. Geneva: United Nations.</w:t>
      </w:r>
    </w:p>
    <w:p w14:paraId="456E08F5"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UNCTAD. (2018a). </w:t>
      </w:r>
      <w:r w:rsidRPr="00EA38DE">
        <w:rPr>
          <w:rFonts w:ascii="Times New Roman" w:eastAsiaTheme="majorEastAsia" w:hAnsi="Times New Roman" w:cs="Times New Roman"/>
          <w:iCs/>
          <w:sz w:val="24"/>
          <w:szCs w:val="24"/>
        </w:rPr>
        <w:t>Review of maritime transport 2018</w:t>
      </w:r>
      <w:r w:rsidRPr="00EA38DE">
        <w:rPr>
          <w:rFonts w:ascii="Times New Roman" w:hAnsi="Times New Roman" w:cs="Times New Roman"/>
          <w:sz w:val="24"/>
          <w:szCs w:val="24"/>
        </w:rPr>
        <w:t xml:space="preserve">. </w:t>
      </w:r>
      <w:r w:rsidRPr="00EA38DE">
        <w:rPr>
          <w:rFonts w:ascii="Times New Roman" w:hAnsi="Times New Roman" w:cs="Times New Roman"/>
          <w:i/>
          <w:iCs/>
          <w:sz w:val="24"/>
          <w:szCs w:val="24"/>
        </w:rPr>
        <w:t>United Nations conference on trade and development.</w:t>
      </w:r>
    </w:p>
    <w:p w14:paraId="295A7765"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UNCTAD. (2019). </w:t>
      </w:r>
      <w:r w:rsidRPr="00EA38DE">
        <w:rPr>
          <w:rFonts w:ascii="Times New Roman" w:eastAsia="Times New Roman" w:hAnsi="Times New Roman" w:cs="Times New Roman"/>
          <w:i/>
          <w:iCs/>
          <w:sz w:val="24"/>
          <w:szCs w:val="24"/>
        </w:rPr>
        <w:t>Blue economy and water resources: Enhancing port and coastal industrial productivity</w:t>
      </w:r>
      <w:r w:rsidRPr="00EA38DE">
        <w:rPr>
          <w:rFonts w:ascii="Times New Roman" w:eastAsia="Times New Roman" w:hAnsi="Times New Roman" w:cs="Times New Roman"/>
          <w:sz w:val="24"/>
          <w:szCs w:val="24"/>
        </w:rPr>
        <w:t>. Geneva: UNCTAD.</w:t>
      </w:r>
    </w:p>
    <w:p w14:paraId="0EA316A4"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UNCTAD. (2020). </w:t>
      </w:r>
      <w:r w:rsidRPr="00EA38DE">
        <w:rPr>
          <w:rFonts w:ascii="Times New Roman" w:hAnsi="Times New Roman" w:cs="Times New Roman"/>
          <w:i/>
          <w:iCs/>
          <w:sz w:val="24"/>
          <w:szCs w:val="24"/>
        </w:rPr>
        <w:t>Review of maritime transport 2020</w:t>
      </w:r>
      <w:r w:rsidRPr="00EA38DE">
        <w:rPr>
          <w:rFonts w:ascii="Times New Roman" w:hAnsi="Times New Roman" w:cs="Times New Roman"/>
          <w:sz w:val="24"/>
          <w:szCs w:val="24"/>
        </w:rPr>
        <w:t xml:space="preserve">. Geneva: UNCTAD. </w:t>
      </w:r>
      <w:hyperlink r:id="rId61" w:tgtFrame="_new" w:history="1">
        <w:r w:rsidRPr="00EA38DE">
          <w:rPr>
            <w:rFonts w:ascii="Times New Roman" w:hAnsi="Times New Roman" w:cs="Times New Roman"/>
            <w:sz w:val="24"/>
            <w:szCs w:val="24"/>
          </w:rPr>
          <w:t>https://unctad.org/publication/review-maritime-transport-2020</w:t>
        </w:r>
      </w:hyperlink>
      <w:r w:rsidRPr="00EA38DE">
        <w:rPr>
          <w:rFonts w:ascii="Times New Roman" w:hAnsi="Times New Roman" w:cs="Times New Roman"/>
          <w:sz w:val="24"/>
          <w:szCs w:val="24"/>
        </w:rPr>
        <w:t xml:space="preserve"> </w:t>
      </w:r>
      <w:hyperlink r:id="rId62" w:tgtFrame="_blank" w:history="1">
        <w:r w:rsidRPr="00EA38DE">
          <w:rPr>
            <w:rFonts w:ascii="Times New Roman" w:hAnsi="Times New Roman" w:cs="Times New Roman"/>
            <w:sz w:val="24"/>
            <w:szCs w:val="24"/>
          </w:rPr>
          <w:t>en.wikipedia.org+14</w:t>
        </w:r>
      </w:hyperlink>
    </w:p>
    <w:p w14:paraId="21A846DB" w14:textId="77777777" w:rsidR="007539AC" w:rsidRPr="00EA38DE" w:rsidRDefault="007539AC" w:rsidP="007539AC">
      <w:pPr>
        <w:spacing w:after="240" w:line="240" w:lineRule="auto"/>
        <w:ind w:left="720" w:hanging="720"/>
        <w:jc w:val="both"/>
        <w:rPr>
          <w:rFonts w:ascii="Times New Roman" w:eastAsia="Times New Roman" w:hAnsi="Times New Roman" w:cs="Times New Roman"/>
          <w:i/>
          <w:iCs/>
          <w:sz w:val="24"/>
          <w:szCs w:val="24"/>
        </w:rPr>
      </w:pPr>
      <w:r w:rsidRPr="00EA38DE">
        <w:rPr>
          <w:rFonts w:ascii="Times New Roman" w:eastAsia="Times New Roman" w:hAnsi="Times New Roman" w:cs="Times New Roman"/>
          <w:bCs/>
          <w:sz w:val="24"/>
          <w:szCs w:val="24"/>
        </w:rPr>
        <w:t>UNCTAD.</w:t>
      </w:r>
      <w:r w:rsidRPr="00EA38DE">
        <w:rPr>
          <w:rFonts w:ascii="Times New Roman" w:eastAsia="Times New Roman" w:hAnsi="Times New Roman" w:cs="Times New Roman"/>
          <w:sz w:val="24"/>
          <w:szCs w:val="24"/>
        </w:rPr>
        <w:t xml:space="preserve"> (2021). Review of maritime transport 2021. </w:t>
      </w:r>
      <w:r w:rsidRPr="00EA38DE">
        <w:rPr>
          <w:rFonts w:ascii="Times New Roman" w:eastAsia="Times New Roman" w:hAnsi="Times New Roman" w:cs="Times New Roman"/>
          <w:i/>
          <w:iCs/>
          <w:sz w:val="24"/>
          <w:szCs w:val="24"/>
        </w:rPr>
        <w:t>United Nations conference on trade and development. https://unctad.org/webflyer/review-maritime-transport-2021</w:t>
      </w:r>
    </w:p>
    <w:p w14:paraId="4FB2F8A7"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UNCTAD. (2022). </w:t>
      </w:r>
      <w:r w:rsidRPr="00EA38DE">
        <w:rPr>
          <w:rFonts w:ascii="Times New Roman" w:eastAsia="Times New Roman" w:hAnsi="Times New Roman" w:cs="Times New Roman"/>
          <w:i/>
          <w:iCs/>
          <w:sz w:val="24"/>
          <w:szCs w:val="24"/>
        </w:rPr>
        <w:t>Review of maritime transport 2022</w:t>
      </w:r>
      <w:r w:rsidRPr="00EA38DE">
        <w:rPr>
          <w:rFonts w:ascii="Times New Roman" w:eastAsia="Times New Roman" w:hAnsi="Times New Roman" w:cs="Times New Roman"/>
          <w:sz w:val="24"/>
          <w:szCs w:val="24"/>
        </w:rPr>
        <w:t>. United Nations conference on trade and development. https://unctad.org/topic/transport-and-trade-logistics/review-of-maritime-transport</w:t>
      </w:r>
    </w:p>
    <w:p w14:paraId="1FFA083F" w14:textId="77777777" w:rsidR="007539AC" w:rsidRPr="00EA38DE" w:rsidRDefault="007539AC" w:rsidP="007539AC">
      <w:pPr>
        <w:spacing w:after="240" w:line="240" w:lineRule="auto"/>
        <w:ind w:left="720" w:hanging="720"/>
        <w:jc w:val="both"/>
        <w:rPr>
          <w:rFonts w:ascii="Times New Roman" w:hAnsi="Times New Roman" w:cs="Times New Roman"/>
          <w:i/>
          <w:iCs/>
          <w:sz w:val="24"/>
          <w:szCs w:val="24"/>
        </w:rPr>
      </w:pPr>
      <w:r w:rsidRPr="00EA38DE">
        <w:rPr>
          <w:rFonts w:ascii="Times New Roman" w:hAnsi="Times New Roman" w:cs="Times New Roman"/>
          <w:sz w:val="24"/>
          <w:szCs w:val="24"/>
        </w:rPr>
        <w:t xml:space="preserve">UNECA. (2016). </w:t>
      </w:r>
      <w:r w:rsidRPr="00EA38DE">
        <w:rPr>
          <w:rFonts w:ascii="Times New Roman" w:eastAsiaTheme="majorEastAsia" w:hAnsi="Times New Roman" w:cs="Times New Roman"/>
          <w:sz w:val="24"/>
          <w:szCs w:val="24"/>
        </w:rPr>
        <w:t xml:space="preserve">Africa’s blue economy: </w:t>
      </w:r>
      <w:r w:rsidRPr="00EA38DE">
        <w:rPr>
          <w:rFonts w:ascii="Times New Roman" w:eastAsiaTheme="majorEastAsia" w:hAnsi="Times New Roman" w:cs="Times New Roman"/>
          <w:i/>
          <w:iCs/>
          <w:sz w:val="24"/>
          <w:szCs w:val="24"/>
        </w:rPr>
        <w:t>A policy handbook</w:t>
      </w:r>
      <w:r w:rsidRPr="00EA38DE">
        <w:rPr>
          <w:rFonts w:ascii="Times New Roman" w:hAnsi="Times New Roman" w:cs="Times New Roman"/>
          <w:i/>
          <w:iCs/>
          <w:sz w:val="24"/>
          <w:szCs w:val="24"/>
        </w:rPr>
        <w:t>. United Nations Economic Commission for Africa.</w:t>
      </w:r>
    </w:p>
    <w:p w14:paraId="561B09BD"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Style w:val="Strong"/>
          <w:rFonts w:ascii="Times New Roman" w:hAnsi="Times New Roman" w:cs="Times New Roman"/>
          <w:b w:val="0"/>
          <w:sz w:val="24"/>
          <w:szCs w:val="24"/>
        </w:rPr>
        <w:t>UNEP</w:t>
      </w:r>
      <w:r w:rsidRPr="00EA38DE">
        <w:rPr>
          <w:rStyle w:val="Strong"/>
          <w:rFonts w:ascii="Times New Roman" w:hAnsi="Times New Roman" w:cs="Times New Roman"/>
          <w:b w:val="0"/>
          <w:bCs w:val="0"/>
          <w:sz w:val="24"/>
          <w:szCs w:val="24"/>
        </w:rPr>
        <w:t xml:space="preserve"> (2011). </w:t>
      </w:r>
      <w:r w:rsidRPr="00EA38DE">
        <w:rPr>
          <w:rStyle w:val="Emphasis"/>
          <w:rFonts w:ascii="Times New Roman" w:hAnsi="Times New Roman" w:cs="Times New Roman"/>
          <w:sz w:val="24"/>
          <w:szCs w:val="24"/>
        </w:rPr>
        <w:t>Towards a green economy: Pathways to sustainable development and poverty eradication</w:t>
      </w:r>
      <w:r w:rsidRPr="00EA38DE">
        <w:rPr>
          <w:rFonts w:ascii="Times New Roman" w:hAnsi="Times New Roman" w:cs="Times New Roman"/>
          <w:sz w:val="24"/>
          <w:szCs w:val="24"/>
        </w:rPr>
        <w:t xml:space="preserve">. UNEP. </w:t>
      </w:r>
      <w:hyperlink r:id="rId63" w:history="1">
        <w:r w:rsidRPr="00EA38DE">
          <w:rPr>
            <w:rStyle w:val="Hyperlink"/>
            <w:rFonts w:ascii="Times New Roman" w:hAnsi="Times New Roman" w:cs="Times New Roman"/>
            <w:color w:val="auto"/>
            <w:sz w:val="24"/>
            <w:szCs w:val="24"/>
            <w:u w:val="none"/>
          </w:rPr>
          <w:t>https://www.unep.org/resources/report/towards-green-</w:t>
        </w:r>
      </w:hyperlink>
      <w:r w:rsidRPr="00EA38DE">
        <w:rPr>
          <w:rFonts w:ascii="Times New Roman" w:eastAsia="Times New Roman" w:hAnsi="Times New Roman" w:cs="Times New Roman"/>
          <w:sz w:val="24"/>
          <w:szCs w:val="24"/>
        </w:rPr>
        <w:t>.</w:t>
      </w:r>
    </w:p>
    <w:p w14:paraId="665181FB"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United Nations Conference on Trade and Development (UNCTAD). (2020). </w:t>
      </w:r>
      <w:r w:rsidRPr="00EA38DE">
        <w:rPr>
          <w:rFonts w:ascii="Times New Roman" w:eastAsia="Times New Roman" w:hAnsi="Times New Roman" w:cs="Times New Roman"/>
          <w:i/>
          <w:iCs/>
          <w:sz w:val="24"/>
          <w:szCs w:val="24"/>
        </w:rPr>
        <w:t>Review of maritime transport 2020</w:t>
      </w:r>
      <w:r w:rsidRPr="00EA38DE">
        <w:rPr>
          <w:rFonts w:ascii="Times New Roman" w:eastAsia="Times New Roman" w:hAnsi="Times New Roman" w:cs="Times New Roman"/>
          <w:sz w:val="24"/>
          <w:szCs w:val="24"/>
        </w:rPr>
        <w:t>. Geneva: UNCTAD.</w:t>
      </w:r>
    </w:p>
    <w:p w14:paraId="5FF470B8"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United Nations Conference on Trade and Development. (2016). </w:t>
      </w:r>
      <w:r w:rsidRPr="00EA38DE">
        <w:rPr>
          <w:rFonts w:ascii="Times New Roman" w:eastAsiaTheme="majorEastAsia" w:hAnsi="Times New Roman" w:cs="Times New Roman"/>
          <w:sz w:val="24"/>
          <w:szCs w:val="24"/>
        </w:rPr>
        <w:t>Review of maritime transport 2016</w:t>
      </w:r>
      <w:r w:rsidRPr="00EA38DE">
        <w:rPr>
          <w:rFonts w:ascii="Times New Roman" w:hAnsi="Times New Roman" w:cs="Times New Roman"/>
          <w:sz w:val="24"/>
          <w:szCs w:val="24"/>
        </w:rPr>
        <w:t xml:space="preserve">. United Nations. Retrieved from </w:t>
      </w:r>
      <w:hyperlink r:id="rId64" w:tgtFrame="_new" w:history="1">
        <w:r w:rsidRPr="00EA38DE">
          <w:rPr>
            <w:rFonts w:ascii="Times New Roman" w:hAnsi="Times New Roman" w:cs="Times New Roman"/>
            <w:i/>
            <w:iCs/>
            <w:sz w:val="24"/>
            <w:szCs w:val="24"/>
          </w:rPr>
          <w:t>unctad.org</w:t>
        </w:r>
      </w:hyperlink>
    </w:p>
    <w:p w14:paraId="3F952A5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lastRenderedPageBreak/>
        <w:t xml:space="preserve">United Nations Development Programme (UNDP). (2021). </w:t>
      </w:r>
      <w:r w:rsidRPr="00EA38DE">
        <w:rPr>
          <w:rFonts w:ascii="Times New Roman" w:eastAsia="Times New Roman" w:hAnsi="Times New Roman" w:cs="Times New Roman"/>
          <w:i/>
          <w:iCs/>
          <w:sz w:val="24"/>
          <w:szCs w:val="24"/>
        </w:rPr>
        <w:t>Climate resilience in coastal areas: Nigeria</w:t>
      </w:r>
      <w:r w:rsidRPr="00EA38DE">
        <w:rPr>
          <w:rFonts w:ascii="Times New Roman" w:eastAsia="Times New Roman" w:hAnsi="Times New Roman" w:cs="Times New Roman"/>
          <w:sz w:val="24"/>
          <w:szCs w:val="24"/>
        </w:rPr>
        <w:t>. New York: UNDP.</w:t>
      </w:r>
    </w:p>
    <w:p w14:paraId="58855FB5"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Usman, A. (2009). Oil revenue and fiscal policy in Nigeria. </w:t>
      </w:r>
      <w:r w:rsidRPr="00EA38DE">
        <w:rPr>
          <w:rFonts w:ascii="Times New Roman" w:eastAsiaTheme="majorEastAsia" w:hAnsi="Times New Roman" w:cs="Times New Roman"/>
          <w:i/>
          <w:sz w:val="24"/>
          <w:szCs w:val="24"/>
        </w:rPr>
        <w:t>Central Bank of Nigeria Economic and Financial Review, 47</w:t>
      </w:r>
      <w:r w:rsidRPr="00EA38DE">
        <w:rPr>
          <w:rFonts w:ascii="Times New Roman" w:hAnsi="Times New Roman" w:cs="Times New Roman"/>
          <w:sz w:val="24"/>
          <w:szCs w:val="24"/>
        </w:rPr>
        <w:t>(3), 1-15.</w:t>
      </w:r>
    </w:p>
    <w:p w14:paraId="0FB58D61"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Voyer, M., Quirk, G., McIlgorm, A., &amp; Azmi, K. (2018). Shades of blue: What do competing interpretations of the blue economy mean for oceans governance? </w:t>
      </w:r>
      <w:r w:rsidRPr="00EA38DE">
        <w:rPr>
          <w:rFonts w:ascii="Times New Roman" w:eastAsia="Times New Roman" w:hAnsi="Times New Roman" w:cs="Times New Roman"/>
          <w:i/>
          <w:iCs/>
          <w:sz w:val="24"/>
          <w:szCs w:val="24"/>
        </w:rPr>
        <w:t>Journal of Environmental Policy &amp; Planning, 20</w:t>
      </w:r>
      <w:r w:rsidRPr="00EA38DE">
        <w:rPr>
          <w:rFonts w:ascii="Times New Roman" w:eastAsia="Times New Roman" w:hAnsi="Times New Roman" w:cs="Times New Roman"/>
          <w:sz w:val="24"/>
          <w:szCs w:val="24"/>
        </w:rPr>
        <w:t>(5), 595–616. https://doi.org/10.1080/1523908X.2018.1473153</w:t>
      </w:r>
    </w:p>
    <w:p w14:paraId="42FD87EC" w14:textId="77777777" w:rsidR="007539AC" w:rsidRPr="00EA38DE" w:rsidRDefault="007539AC" w:rsidP="007539AC">
      <w:pPr>
        <w:pStyle w:val="NormalWeb"/>
        <w:spacing w:before="0" w:beforeAutospacing="0" w:after="240" w:afterAutospacing="0"/>
        <w:ind w:left="720" w:hanging="720"/>
        <w:jc w:val="both"/>
      </w:pPr>
      <w:r w:rsidRPr="00EA38DE">
        <w:t xml:space="preserve">Wikipedia. (2025). </w:t>
      </w:r>
      <w:r w:rsidRPr="00EA38DE">
        <w:rPr>
          <w:rStyle w:val="Emphasis"/>
          <w:rFonts w:eastAsiaTheme="majorEastAsia"/>
        </w:rPr>
        <w:t>Liberation Day tariffs</w:t>
      </w:r>
      <w:r w:rsidRPr="00EA38DE">
        <w:t xml:space="preserve">. Retrieved from </w:t>
      </w:r>
      <w:hyperlink r:id="rId65" w:history="1">
        <w:r w:rsidRPr="00EA38DE">
          <w:rPr>
            <w:rStyle w:val="Hyperlink"/>
            <w:color w:val="auto"/>
            <w:u w:val="none"/>
          </w:rPr>
          <w:t>https://en.wikipedia.org/wiki/ Liberation_Day_tariffs</w:t>
        </w:r>
      </w:hyperlink>
    </w:p>
    <w:p w14:paraId="13543FBB" w14:textId="77777777" w:rsidR="007539AC" w:rsidRPr="00EA38DE" w:rsidRDefault="007539AC" w:rsidP="007539AC">
      <w:pPr>
        <w:adjustRightInd w:val="0"/>
        <w:spacing w:after="240" w:line="240" w:lineRule="auto"/>
        <w:ind w:left="720" w:hanging="720"/>
        <w:jc w:val="both"/>
        <w:rPr>
          <w:rFonts w:ascii="Times New Roman" w:hAnsi="Times New Roman" w:cs="Times New Roman"/>
          <w:sz w:val="24"/>
          <w:szCs w:val="24"/>
        </w:rPr>
      </w:pPr>
      <w:r w:rsidRPr="00EA38DE">
        <w:rPr>
          <w:rFonts w:ascii="Times New Roman" w:eastAsia="Times New Roman" w:hAnsi="Times New Roman" w:cs="Times New Roman"/>
          <w:sz w:val="24"/>
          <w:szCs w:val="24"/>
        </w:rPr>
        <w:t xml:space="preserve">Williams, O. A. (2018). Exchange rate fluctuations and financial performance of manufacturing companies in Nigeria. </w:t>
      </w:r>
      <w:r w:rsidRPr="00EA38DE">
        <w:rPr>
          <w:rFonts w:ascii="Times New Roman" w:eastAsia="Times New Roman" w:hAnsi="Times New Roman" w:cs="Times New Roman"/>
          <w:i/>
          <w:iCs/>
          <w:sz w:val="24"/>
          <w:szCs w:val="24"/>
        </w:rPr>
        <w:t>International Journal of Innovative Research and Advanced Studies, 5</w:t>
      </w:r>
      <w:r w:rsidRPr="00EA38DE">
        <w:rPr>
          <w:rFonts w:ascii="Times New Roman" w:eastAsia="Times New Roman" w:hAnsi="Times New Roman" w:cs="Times New Roman"/>
          <w:sz w:val="24"/>
          <w:szCs w:val="24"/>
        </w:rPr>
        <w:t>(12), 1–9.</w:t>
      </w:r>
    </w:p>
    <w:p w14:paraId="221D97FE"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World Bank (2013). Port reform toolkit: Effective support for policymakers and practitioners. Washington, D.C.: </w:t>
      </w:r>
      <w:r w:rsidRPr="00EA38DE">
        <w:rPr>
          <w:rFonts w:ascii="Times New Roman" w:eastAsia="Times New Roman" w:hAnsi="Times New Roman" w:cs="Times New Roman"/>
          <w:i/>
          <w:iCs/>
          <w:sz w:val="24"/>
          <w:szCs w:val="24"/>
        </w:rPr>
        <w:t>World Bank Publications</w:t>
      </w:r>
      <w:r w:rsidRPr="00EA38DE">
        <w:rPr>
          <w:rFonts w:ascii="Times New Roman" w:eastAsia="Times New Roman" w:hAnsi="Times New Roman" w:cs="Times New Roman"/>
          <w:sz w:val="24"/>
          <w:szCs w:val="24"/>
        </w:rPr>
        <w:t>.</w:t>
      </w:r>
    </w:p>
    <w:p w14:paraId="645CA17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bCs/>
          <w:sz w:val="24"/>
          <w:szCs w:val="24"/>
        </w:rPr>
        <w:t>World Bank.</w:t>
      </w:r>
      <w:r w:rsidRPr="00EA38DE">
        <w:rPr>
          <w:rFonts w:ascii="Times New Roman" w:eastAsia="Times New Roman" w:hAnsi="Times New Roman" w:cs="Times New Roman"/>
          <w:sz w:val="24"/>
          <w:szCs w:val="24"/>
        </w:rPr>
        <w:t xml:space="preserve"> (1994). Nigeria: Structural adjustment program – policies, implementation, and impact. </w:t>
      </w:r>
      <w:r w:rsidRPr="00EA38DE">
        <w:rPr>
          <w:rFonts w:ascii="Times New Roman" w:eastAsia="Times New Roman" w:hAnsi="Times New Roman" w:cs="Times New Roman"/>
          <w:bCs/>
          <w:i/>
          <w:iCs/>
          <w:sz w:val="24"/>
          <w:szCs w:val="24"/>
        </w:rPr>
        <w:t>World Bank publications</w:t>
      </w:r>
      <w:r w:rsidRPr="00EA38DE">
        <w:rPr>
          <w:rFonts w:ascii="Times New Roman" w:eastAsia="Times New Roman" w:hAnsi="Times New Roman" w:cs="Times New Roman"/>
          <w:sz w:val="24"/>
          <w:szCs w:val="24"/>
        </w:rPr>
        <w:t xml:space="preserve">.  </w:t>
      </w:r>
      <w:hyperlink r:id="rId66" w:history="1">
        <w:r w:rsidRPr="00EA38DE">
          <w:rPr>
            <w:rFonts w:ascii="Times New Roman" w:eastAsia="Times New Roman" w:hAnsi="Times New Roman" w:cs="Times New Roman"/>
            <w:i/>
            <w:iCs/>
            <w:sz w:val="24"/>
            <w:szCs w:val="24"/>
          </w:rPr>
          <w:t>https://documents.worldbank.org/curated/en/ 959091468775569769/pdf/multi0page.pdf</w:t>
        </w:r>
      </w:hyperlink>
    </w:p>
    <w:p w14:paraId="50AA78C4"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World Bank. (2017). </w:t>
      </w:r>
      <w:r w:rsidRPr="00EA38DE">
        <w:rPr>
          <w:rFonts w:ascii="Times New Roman" w:eastAsia="Times New Roman" w:hAnsi="Times New Roman" w:cs="Times New Roman"/>
          <w:i/>
          <w:iCs/>
          <w:sz w:val="24"/>
          <w:szCs w:val="24"/>
        </w:rPr>
        <w:t>The potential of the blue economy: Increasing long-term benefits of the sustainable use of marine resources for small island developing states and coastal least developed countries</w:t>
      </w:r>
      <w:r w:rsidRPr="00EA38DE">
        <w:rPr>
          <w:rFonts w:ascii="Times New Roman" w:eastAsia="Times New Roman" w:hAnsi="Times New Roman" w:cs="Times New Roman"/>
          <w:sz w:val="24"/>
          <w:szCs w:val="24"/>
        </w:rPr>
        <w:t xml:space="preserve">. Washington, DC: World Bank. </w:t>
      </w:r>
      <w:hyperlink w:history="1">
        <w:r w:rsidRPr="00EA38DE">
          <w:rPr>
            <w:rStyle w:val="Hyperlink"/>
            <w:rFonts w:ascii="Times New Roman" w:eastAsia="Times New Roman" w:hAnsi="Times New Roman" w:cs="Times New Roman"/>
            <w:color w:val="auto"/>
            <w:sz w:val="24"/>
            <w:szCs w:val="24"/>
            <w:u w:val="none"/>
          </w:rPr>
          <w:t>https://documents.worldbank. org/en/publication/documents-reports/documentdetail/449521492389380621</w:t>
        </w:r>
      </w:hyperlink>
    </w:p>
    <w:p w14:paraId="36E7D5B0"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World Bank. (2017). </w:t>
      </w:r>
      <w:r w:rsidRPr="00EA38DE">
        <w:rPr>
          <w:rFonts w:ascii="Times New Roman" w:eastAsia="Times New Roman" w:hAnsi="Times New Roman" w:cs="Times New Roman"/>
          <w:i/>
          <w:iCs/>
          <w:sz w:val="24"/>
          <w:szCs w:val="24"/>
        </w:rPr>
        <w:t xml:space="preserve">The potential of the blue economy: </w:t>
      </w:r>
      <w:r w:rsidRPr="00EA38DE">
        <w:rPr>
          <w:rFonts w:ascii="Times New Roman" w:eastAsia="Times New Roman" w:hAnsi="Times New Roman" w:cs="Times New Roman"/>
          <w:iCs/>
          <w:sz w:val="24"/>
          <w:szCs w:val="24"/>
        </w:rPr>
        <w:t>Increasing long-term benefits of the sustainable use of marine resources for small Island developing states and coastal least developed countries</w:t>
      </w:r>
      <w:r w:rsidRPr="00EA38DE">
        <w:rPr>
          <w:rFonts w:ascii="Times New Roman" w:eastAsia="Times New Roman" w:hAnsi="Times New Roman" w:cs="Times New Roman"/>
          <w:sz w:val="24"/>
          <w:szCs w:val="24"/>
        </w:rPr>
        <w:t>. Washington, DC: World Bank.</w:t>
      </w:r>
    </w:p>
    <w:p w14:paraId="76FD9CA6"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World Bank. (2019). </w:t>
      </w:r>
      <w:r w:rsidRPr="00EA38DE">
        <w:rPr>
          <w:rFonts w:ascii="Times New Roman" w:eastAsia="Times New Roman" w:hAnsi="Times New Roman" w:cs="Times New Roman"/>
          <w:i/>
          <w:iCs/>
          <w:sz w:val="24"/>
          <w:szCs w:val="24"/>
        </w:rPr>
        <w:t>Building Nigeria’s maritime sector: Policy options for performance and competitiveness</w:t>
      </w:r>
      <w:r w:rsidRPr="00EA38DE">
        <w:rPr>
          <w:rFonts w:ascii="Times New Roman" w:eastAsia="Times New Roman" w:hAnsi="Times New Roman" w:cs="Times New Roman"/>
          <w:sz w:val="24"/>
          <w:szCs w:val="24"/>
        </w:rPr>
        <w:t>. Washington, DC: World Bank.</w:t>
      </w:r>
    </w:p>
    <w:p w14:paraId="7A6F72BA" w14:textId="77777777" w:rsidR="007539AC" w:rsidRPr="00EA38DE" w:rsidRDefault="007539AC" w:rsidP="007539AC">
      <w:pPr>
        <w:pStyle w:val="NormalWeb"/>
        <w:spacing w:before="0" w:beforeAutospacing="0" w:after="240" w:afterAutospacing="0"/>
        <w:ind w:left="720" w:hanging="720"/>
        <w:jc w:val="both"/>
      </w:pPr>
      <w:r w:rsidRPr="00EA38DE">
        <w:rPr>
          <w:rStyle w:val="Strong"/>
          <w:b w:val="0"/>
        </w:rPr>
        <w:t>World Bank. (2020).</w:t>
      </w:r>
      <w:r w:rsidRPr="00EA38DE">
        <w:t xml:space="preserve"> </w:t>
      </w:r>
      <w:r w:rsidRPr="00EA38DE">
        <w:rPr>
          <w:rStyle w:val="Emphasis"/>
        </w:rPr>
        <w:t>Blue economy for resilient Africa program (BE4RAP): Governance for sustainability</w:t>
      </w:r>
      <w:r w:rsidRPr="00EA38DE">
        <w:t xml:space="preserve">. </w:t>
      </w:r>
      <w:hyperlink r:id="rId67" w:tgtFrame="_new" w:history="1">
        <w:r w:rsidRPr="00EA38DE">
          <w:rPr>
            <w:rStyle w:val="Hyperlink"/>
            <w:color w:val="auto"/>
            <w:u w:val="none"/>
          </w:rPr>
          <w:t>https://worldbank.org</w:t>
        </w:r>
      </w:hyperlink>
      <w:r w:rsidRPr="00EA38DE">
        <w:rPr>
          <w:rStyle w:val="Hyperlink"/>
          <w:color w:val="auto"/>
          <w:u w:val="none"/>
        </w:rPr>
        <w:t xml:space="preserve"> </w:t>
      </w:r>
      <w:r w:rsidRPr="00EA38DE">
        <w:t>(For governance and economic stability in maritime sectors).</w:t>
      </w:r>
    </w:p>
    <w:p w14:paraId="20915577"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World Bank. (2021). </w:t>
      </w:r>
      <w:r w:rsidRPr="00EA38DE">
        <w:rPr>
          <w:rStyle w:val="Emphasis"/>
          <w:rFonts w:ascii="Times New Roman" w:hAnsi="Times New Roman" w:cs="Times New Roman"/>
          <w:sz w:val="24"/>
          <w:szCs w:val="24"/>
        </w:rPr>
        <w:t>Building integrated economic and governance models for Africa’s blue economy</w:t>
      </w:r>
      <w:r w:rsidRPr="00EA38DE">
        <w:rPr>
          <w:rFonts w:ascii="Times New Roman" w:hAnsi="Times New Roman" w:cs="Times New Roman"/>
          <w:sz w:val="24"/>
          <w:szCs w:val="24"/>
        </w:rPr>
        <w:t xml:space="preserve">. </w:t>
      </w:r>
      <w:hyperlink r:id="rId68" w:tgtFrame="_new" w:history="1">
        <w:r w:rsidRPr="00EA38DE">
          <w:rPr>
            <w:rStyle w:val="Hyperlink"/>
            <w:rFonts w:ascii="Times New Roman" w:hAnsi="Times New Roman" w:cs="Times New Roman"/>
            <w:color w:val="auto"/>
            <w:sz w:val="24"/>
            <w:szCs w:val="24"/>
            <w:u w:val="none"/>
          </w:rPr>
          <w:t>https://www.worldbank.org</w:t>
        </w:r>
      </w:hyperlink>
    </w:p>
    <w:p w14:paraId="02886E81" w14:textId="77777777" w:rsidR="007539AC" w:rsidRPr="00EA38DE" w:rsidRDefault="007539AC" w:rsidP="007539AC">
      <w:pPr>
        <w:pStyle w:val="NormalWeb"/>
        <w:spacing w:before="0" w:beforeAutospacing="0" w:after="240" w:afterAutospacing="0"/>
        <w:ind w:left="720" w:hanging="720"/>
        <w:jc w:val="both"/>
      </w:pPr>
      <w:r w:rsidRPr="00EA38DE">
        <w:t xml:space="preserve">World Bank. (2022). </w:t>
      </w:r>
      <w:r w:rsidRPr="00EA38DE">
        <w:rPr>
          <w:rStyle w:val="Emphasis"/>
          <w:rFonts w:eastAsiaTheme="majorEastAsia"/>
        </w:rPr>
        <w:t>Blue economy development framework: Leveraging marine resources for sustainable growth</w:t>
      </w:r>
      <w:r w:rsidRPr="00EA38DE">
        <w:t>. Washington, DC: World Bank.</w:t>
      </w:r>
    </w:p>
    <w:p w14:paraId="47040E26" w14:textId="77777777" w:rsidR="007539AC" w:rsidRPr="00EA38DE" w:rsidRDefault="007539AC" w:rsidP="007539AC">
      <w:pPr>
        <w:spacing w:after="240" w:line="240" w:lineRule="auto"/>
        <w:ind w:left="720" w:hanging="720"/>
        <w:jc w:val="both"/>
        <w:rPr>
          <w:rFonts w:ascii="Times New Roman" w:eastAsia="Times New Roman" w:hAnsi="Times New Roman" w:cs="Times New Roman"/>
          <w:i/>
          <w:iCs/>
          <w:sz w:val="24"/>
          <w:szCs w:val="24"/>
        </w:rPr>
      </w:pPr>
      <w:r w:rsidRPr="00EA38DE">
        <w:rPr>
          <w:rFonts w:ascii="Times New Roman" w:eastAsia="Times New Roman" w:hAnsi="Times New Roman" w:cs="Times New Roman"/>
          <w:sz w:val="24"/>
          <w:szCs w:val="24"/>
        </w:rPr>
        <w:lastRenderedPageBreak/>
        <w:t xml:space="preserve">World Bank. (2023). </w:t>
      </w:r>
      <w:r w:rsidRPr="00EA38DE">
        <w:rPr>
          <w:rFonts w:ascii="Times New Roman" w:eastAsia="Times New Roman" w:hAnsi="Times New Roman" w:cs="Times New Roman"/>
          <w:i/>
          <w:iCs/>
          <w:sz w:val="24"/>
          <w:szCs w:val="24"/>
        </w:rPr>
        <w:t>Nigeria economic update: Managing external shocks and exchange rate pressures.</w:t>
      </w:r>
    </w:p>
    <w:p w14:paraId="019FA5FF"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World Bank. </w:t>
      </w:r>
      <w:hyperlink r:id="rId69" w:tgtFrame="_new" w:history="1">
        <w:r w:rsidRPr="00EA38DE">
          <w:rPr>
            <w:rFonts w:ascii="Times New Roman" w:hAnsi="Times New Roman" w:cs="Times New Roman"/>
            <w:sz w:val="24"/>
            <w:szCs w:val="24"/>
          </w:rPr>
          <w:t>https://documents1.worldbank.org/curated/en/099101624100574290/P502989-76dd5e27-3b7a-492b-8e9c-be0acefcb58e.txt</w:t>
        </w:r>
      </w:hyperlink>
      <w:r w:rsidRPr="00EA38DE">
        <w:rPr>
          <w:rFonts w:ascii="Times New Roman" w:eastAsia="Times New Roman" w:hAnsi="Times New Roman" w:cs="Times New Roman"/>
          <w:vanish/>
          <w:sz w:val="24"/>
          <w:szCs w:val="24"/>
        </w:rPr>
        <w:t>Bottom of Form</w:t>
      </w:r>
    </w:p>
    <w:p w14:paraId="64AFD81D" w14:textId="77777777" w:rsidR="007539AC" w:rsidRPr="00EA38DE" w:rsidRDefault="007539AC" w:rsidP="007539AC">
      <w:pPr>
        <w:spacing w:after="240" w:line="240" w:lineRule="auto"/>
        <w:ind w:left="720" w:hanging="720"/>
        <w:jc w:val="both"/>
        <w:outlineLvl w:val="2"/>
        <w:rPr>
          <w:rFonts w:ascii="Times New Roman" w:eastAsia="Times New Roman" w:hAnsi="Times New Roman" w:cs="Times New Roman"/>
          <w:b/>
          <w:bCs/>
          <w:sz w:val="24"/>
          <w:szCs w:val="24"/>
        </w:rPr>
      </w:pPr>
      <w:r w:rsidRPr="00EA38DE">
        <w:rPr>
          <w:rFonts w:ascii="Times New Roman" w:hAnsi="Times New Roman" w:cs="Times New Roman"/>
          <w:sz w:val="24"/>
          <w:szCs w:val="24"/>
        </w:rPr>
        <w:t xml:space="preserve"> Wu, B., &amp; Yip, T. L. (2021). Human capital and competitiveness in the global shipping industry. </w:t>
      </w:r>
      <w:r w:rsidRPr="00EA38DE">
        <w:rPr>
          <w:rStyle w:val="Emphasis"/>
          <w:rFonts w:ascii="Times New Roman" w:hAnsi="Times New Roman" w:cs="Times New Roman"/>
          <w:sz w:val="24"/>
          <w:szCs w:val="24"/>
        </w:rPr>
        <w:t>Maritime Policy &amp; Management, 48</w:t>
      </w:r>
      <w:r w:rsidRPr="00EA38DE">
        <w:rPr>
          <w:rFonts w:ascii="Times New Roman" w:hAnsi="Times New Roman" w:cs="Times New Roman"/>
          <w:sz w:val="24"/>
          <w:szCs w:val="24"/>
        </w:rPr>
        <w:t>(7), 945–962.</w:t>
      </w:r>
    </w:p>
    <w:p w14:paraId="4902BE62" w14:textId="77777777" w:rsidR="007539AC" w:rsidRPr="00EA38DE" w:rsidRDefault="007539AC" w:rsidP="007539AC">
      <w:pPr>
        <w:spacing w:after="240" w:line="240" w:lineRule="auto"/>
        <w:ind w:left="720" w:hanging="720"/>
        <w:jc w:val="both"/>
        <w:rPr>
          <w:rFonts w:ascii="Times New Roman" w:eastAsia="Times New Roman" w:hAnsi="Times New Roman" w:cs="Times New Roman"/>
          <w:sz w:val="24"/>
          <w:szCs w:val="24"/>
        </w:rPr>
      </w:pPr>
      <w:r w:rsidRPr="00EA38DE">
        <w:rPr>
          <w:rFonts w:ascii="Times New Roman" w:eastAsia="Times New Roman" w:hAnsi="Times New Roman" w:cs="Times New Roman"/>
          <w:sz w:val="24"/>
          <w:szCs w:val="24"/>
        </w:rPr>
        <w:t xml:space="preserve">Yakub, M. U., Sani, Z., Obiezue, T. O., &amp; Aliyu, V. O. (2019). Empirical investigation on exchange rate volatility and trade flows in Nigeria. </w:t>
      </w:r>
      <w:r w:rsidRPr="00EA38DE">
        <w:rPr>
          <w:rFonts w:ascii="Times New Roman" w:eastAsia="Times New Roman" w:hAnsi="Times New Roman" w:cs="Times New Roman"/>
          <w:i/>
          <w:iCs/>
          <w:sz w:val="24"/>
          <w:szCs w:val="24"/>
        </w:rPr>
        <w:t>Central Bank of Nigeria Economic and Financial Review</w:t>
      </w:r>
      <w:r w:rsidRPr="00EA38DE">
        <w:rPr>
          <w:rFonts w:ascii="Times New Roman" w:eastAsia="Times New Roman" w:hAnsi="Times New Roman" w:cs="Times New Roman"/>
          <w:sz w:val="24"/>
          <w:szCs w:val="24"/>
        </w:rPr>
        <w:t xml:space="preserve">, </w:t>
      </w:r>
      <w:r w:rsidRPr="00EA38DE">
        <w:rPr>
          <w:rFonts w:ascii="Times New Roman" w:eastAsia="Times New Roman" w:hAnsi="Times New Roman" w:cs="Times New Roman"/>
          <w:i/>
          <w:iCs/>
          <w:sz w:val="24"/>
          <w:szCs w:val="24"/>
        </w:rPr>
        <w:t>57</w:t>
      </w:r>
      <w:r w:rsidRPr="00EA38DE">
        <w:rPr>
          <w:rFonts w:ascii="Times New Roman" w:eastAsia="Times New Roman" w:hAnsi="Times New Roman" w:cs="Times New Roman"/>
          <w:sz w:val="24"/>
          <w:szCs w:val="24"/>
        </w:rPr>
        <w:t xml:space="preserve">(1), 23–46. </w:t>
      </w:r>
    </w:p>
    <w:p w14:paraId="094E7F7C" w14:textId="77777777" w:rsidR="007539AC" w:rsidRPr="00EA38DE" w:rsidRDefault="007539AC" w:rsidP="007539AC">
      <w:pPr>
        <w:spacing w:after="240" w:line="240" w:lineRule="auto"/>
        <w:ind w:left="720" w:hanging="720"/>
        <w:jc w:val="both"/>
        <w:rPr>
          <w:rFonts w:ascii="Times New Roman" w:hAnsi="Times New Roman" w:cs="Times New Roman"/>
          <w:sz w:val="24"/>
          <w:szCs w:val="24"/>
        </w:rPr>
      </w:pPr>
      <w:r w:rsidRPr="00EA38DE">
        <w:rPr>
          <w:rFonts w:ascii="Times New Roman" w:hAnsi="Times New Roman" w:cs="Times New Roman"/>
          <w:sz w:val="24"/>
          <w:szCs w:val="24"/>
        </w:rPr>
        <w:t xml:space="preserve">Yaoundé Code of Conduct (2013). </w:t>
      </w:r>
      <w:r w:rsidRPr="00EA38DE">
        <w:rPr>
          <w:rFonts w:ascii="Times New Roman" w:eastAsiaTheme="majorEastAsia" w:hAnsi="Times New Roman" w:cs="Times New Roman"/>
          <w:sz w:val="24"/>
          <w:szCs w:val="24"/>
        </w:rPr>
        <w:t>Code of conduct concerning the repression of piracy, Armed robbery against ships, and illegal maritime activity in West and Central Africa</w:t>
      </w:r>
      <w:r w:rsidRPr="00EA38DE">
        <w:rPr>
          <w:rFonts w:ascii="Times New Roman" w:hAnsi="Times New Roman" w:cs="Times New Roman"/>
          <w:sz w:val="24"/>
          <w:szCs w:val="24"/>
        </w:rPr>
        <w:t>. Yaoundé, Cameroon.</w:t>
      </w:r>
    </w:p>
    <w:p w14:paraId="237D6F45" w14:textId="77777777" w:rsidR="007539AC" w:rsidRPr="00EA38DE" w:rsidRDefault="007539AC" w:rsidP="007539AC"/>
    <w:p w14:paraId="31BF826A" w14:textId="3714216E" w:rsidR="003C6B00" w:rsidRPr="00EA38DE" w:rsidRDefault="003C6B00" w:rsidP="003C6B00">
      <w:pPr>
        <w:rPr>
          <w:rFonts w:ascii="Times New Roman" w:hAnsi="Times New Roman" w:cs="Times New Roman"/>
          <w:sz w:val="24"/>
          <w:szCs w:val="24"/>
        </w:rPr>
      </w:pPr>
      <w:r w:rsidRPr="00EA38DE">
        <w:rPr>
          <w:rFonts w:ascii="Times New Roman" w:hAnsi="Times New Roman" w:cs="Times New Roman"/>
          <w:sz w:val="24"/>
          <w:szCs w:val="24"/>
        </w:rPr>
        <w:br w:type="page"/>
      </w:r>
    </w:p>
    <w:p w14:paraId="53E04E97" w14:textId="5EED13F8" w:rsidR="00373F70" w:rsidRDefault="00373F70" w:rsidP="001201A2">
      <w:pPr>
        <w:jc w:val="center"/>
        <w:rPr>
          <w:rFonts w:ascii="Times New Roman" w:hAnsi="Times New Roman" w:cs="Times New Roman"/>
          <w:b/>
          <w:bCs/>
          <w:sz w:val="24"/>
          <w:szCs w:val="24"/>
        </w:rPr>
      </w:pPr>
      <w:r w:rsidRPr="00373F70">
        <w:rPr>
          <w:rFonts w:ascii="Times New Roman" w:hAnsi="Times New Roman" w:cs="Times New Roman"/>
          <w:b/>
          <w:bCs/>
          <w:sz w:val="24"/>
          <w:szCs w:val="24"/>
        </w:rPr>
        <w:lastRenderedPageBreak/>
        <w:t>APPENDICES</w:t>
      </w:r>
    </w:p>
    <w:p w14:paraId="2651A184" w14:textId="16A85C0E" w:rsidR="00F72D9A" w:rsidRPr="00EA38DE" w:rsidRDefault="007539AC" w:rsidP="001201A2">
      <w:pPr>
        <w:jc w:val="center"/>
        <w:rPr>
          <w:rFonts w:ascii="Times New Roman" w:hAnsi="Times New Roman" w:cs="Times New Roman"/>
          <w:b/>
          <w:bCs/>
          <w:sz w:val="24"/>
          <w:szCs w:val="24"/>
        </w:rPr>
      </w:pPr>
      <w:r w:rsidRPr="00EA38DE">
        <w:rPr>
          <w:rFonts w:ascii="Times New Roman" w:hAnsi="Times New Roman" w:cs="Times New Roman"/>
          <w:b/>
          <w:bCs/>
          <w:sz w:val="24"/>
          <w:szCs w:val="24"/>
        </w:rPr>
        <w:t>DATA</w:t>
      </w:r>
    </w:p>
    <w:p w14:paraId="1081A5E8" w14:textId="77777777" w:rsidR="00643C75" w:rsidRDefault="00F72D9A" w:rsidP="00B6171F">
      <w:pPr>
        <w:rPr>
          <w:rFonts w:ascii="Times New Roman" w:hAnsi="Times New Roman" w:cs="Times New Roman"/>
          <w:b/>
          <w:bCs/>
          <w:sz w:val="24"/>
          <w:szCs w:val="24"/>
        </w:rPr>
      </w:pPr>
      <w:r w:rsidRPr="00EA38DE">
        <w:rPr>
          <w:rFonts w:ascii="Times New Roman" w:hAnsi="Times New Roman" w:cs="Times New Roman"/>
          <w:b/>
          <w:bCs/>
          <w:sz w:val="24"/>
          <w:szCs w:val="24"/>
        </w:rPr>
        <w:t xml:space="preserve">Appendix </w:t>
      </w:r>
      <w:r w:rsidR="002D2A60" w:rsidRPr="00EA38DE">
        <w:rPr>
          <w:rFonts w:ascii="Times New Roman" w:hAnsi="Times New Roman" w:cs="Times New Roman"/>
          <w:b/>
          <w:bCs/>
          <w:sz w:val="24"/>
          <w:szCs w:val="24"/>
        </w:rPr>
        <w:t>I</w:t>
      </w:r>
      <w:r w:rsidRPr="00EA38DE">
        <w:rPr>
          <w:rFonts w:ascii="Times New Roman" w:hAnsi="Times New Roman" w:cs="Times New Roman"/>
          <w:b/>
          <w:bCs/>
          <w:sz w:val="24"/>
          <w:szCs w:val="24"/>
        </w:rPr>
        <w:t>:</w:t>
      </w:r>
    </w:p>
    <w:p w14:paraId="1AFAFD78" w14:textId="58C65E1E" w:rsidR="003C6B00" w:rsidRPr="00EA38DE" w:rsidRDefault="000832A6" w:rsidP="00B6171F">
      <w:pPr>
        <w:rPr>
          <w:rFonts w:ascii="Times New Roman" w:hAnsi="Times New Roman" w:cs="Times New Roman"/>
          <w:b/>
          <w:bCs/>
          <w:sz w:val="24"/>
          <w:szCs w:val="24"/>
        </w:rPr>
      </w:pPr>
      <w:r>
        <w:rPr>
          <w:rFonts w:ascii="Times New Roman" w:hAnsi="Times New Roman" w:cs="Times New Roman"/>
          <w:b/>
          <w:bCs/>
          <w:sz w:val="24"/>
          <w:szCs w:val="24"/>
        </w:rPr>
        <w:t>Data on: Exchange Rate Volatility, Blue Economy</w:t>
      </w:r>
      <w:r w:rsidR="00643C75">
        <w:rPr>
          <w:rFonts w:ascii="Times New Roman" w:hAnsi="Times New Roman" w:cs="Times New Roman"/>
          <w:b/>
          <w:bCs/>
          <w:sz w:val="24"/>
          <w:szCs w:val="24"/>
        </w:rPr>
        <w:t>,</w:t>
      </w:r>
      <w:r>
        <w:rPr>
          <w:rFonts w:ascii="Times New Roman" w:hAnsi="Times New Roman" w:cs="Times New Roman"/>
          <w:b/>
          <w:bCs/>
          <w:sz w:val="24"/>
          <w:szCs w:val="24"/>
        </w:rPr>
        <w:t xml:space="preserve"> and Shipping </w:t>
      </w:r>
      <w:r w:rsidR="00B6171F">
        <w:rPr>
          <w:rFonts w:ascii="Times New Roman" w:hAnsi="Times New Roman" w:cs="Times New Roman"/>
          <w:b/>
          <w:bCs/>
          <w:sz w:val="24"/>
          <w:szCs w:val="24"/>
        </w:rPr>
        <w:t>Industry Financial</w:t>
      </w:r>
      <w:r>
        <w:rPr>
          <w:rFonts w:ascii="Times New Roman" w:hAnsi="Times New Roman" w:cs="Times New Roman"/>
          <w:b/>
          <w:bCs/>
          <w:sz w:val="24"/>
          <w:szCs w:val="24"/>
        </w:rPr>
        <w:t xml:space="preserve"> Performance</w:t>
      </w:r>
      <w:r w:rsidR="00643C75">
        <w:rPr>
          <w:rFonts w:ascii="Times New Roman" w:hAnsi="Times New Roman" w:cs="Times New Roman"/>
          <w:b/>
          <w:bCs/>
          <w:sz w:val="24"/>
          <w:szCs w:val="24"/>
        </w:rPr>
        <w:t xml:space="preserve"> in Nigeria.</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886"/>
        <w:gridCol w:w="792"/>
        <w:gridCol w:w="792"/>
        <w:gridCol w:w="839"/>
        <w:gridCol w:w="1217"/>
        <w:gridCol w:w="886"/>
        <w:gridCol w:w="650"/>
        <w:gridCol w:w="726"/>
        <w:gridCol w:w="934"/>
        <w:gridCol w:w="556"/>
      </w:tblGrid>
      <w:tr w:rsidR="00EA38DE" w:rsidRPr="00EA38DE" w14:paraId="7F6980EE" w14:textId="77777777" w:rsidTr="009501B5">
        <w:trPr>
          <w:trHeight w:val="144"/>
        </w:trPr>
        <w:tc>
          <w:tcPr>
            <w:tcW w:w="0" w:type="auto"/>
            <w:noWrap/>
            <w:vAlign w:val="center"/>
            <w:hideMark/>
          </w:tcPr>
          <w:p w14:paraId="29DA99B8"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Years</w:t>
            </w:r>
          </w:p>
        </w:tc>
        <w:tc>
          <w:tcPr>
            <w:tcW w:w="0" w:type="auto"/>
            <w:noWrap/>
            <w:vAlign w:val="center"/>
            <w:hideMark/>
          </w:tcPr>
          <w:p w14:paraId="4247F95E"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FSH</w:t>
            </w:r>
          </w:p>
        </w:tc>
        <w:tc>
          <w:tcPr>
            <w:tcW w:w="0" w:type="auto"/>
            <w:noWrap/>
            <w:vAlign w:val="center"/>
            <w:hideMark/>
          </w:tcPr>
          <w:p w14:paraId="5E36569A"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AQT</w:t>
            </w:r>
          </w:p>
        </w:tc>
        <w:tc>
          <w:tcPr>
            <w:tcW w:w="0" w:type="auto"/>
            <w:noWrap/>
            <w:vAlign w:val="center"/>
            <w:hideMark/>
          </w:tcPr>
          <w:p w14:paraId="65A52869"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DLNT</w:t>
            </w:r>
          </w:p>
        </w:tc>
        <w:tc>
          <w:tcPr>
            <w:tcW w:w="0" w:type="auto"/>
            <w:noWrap/>
            <w:vAlign w:val="center"/>
            <w:hideMark/>
          </w:tcPr>
          <w:p w14:paraId="0C0C3584"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POR</w:t>
            </w:r>
          </w:p>
        </w:tc>
        <w:tc>
          <w:tcPr>
            <w:tcW w:w="0" w:type="auto"/>
            <w:noWrap/>
            <w:vAlign w:val="center"/>
            <w:hideMark/>
          </w:tcPr>
          <w:p w14:paraId="4B6DB59C"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SHPC</w:t>
            </w:r>
          </w:p>
        </w:tc>
        <w:tc>
          <w:tcPr>
            <w:tcW w:w="0" w:type="auto"/>
            <w:noWrap/>
            <w:vAlign w:val="center"/>
            <w:hideMark/>
          </w:tcPr>
          <w:p w14:paraId="4ADD0567"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CTP</w:t>
            </w:r>
          </w:p>
        </w:tc>
        <w:tc>
          <w:tcPr>
            <w:tcW w:w="0" w:type="auto"/>
            <w:noWrap/>
            <w:vAlign w:val="center"/>
            <w:hideMark/>
          </w:tcPr>
          <w:p w14:paraId="1C251131"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IFR</w:t>
            </w:r>
          </w:p>
        </w:tc>
        <w:tc>
          <w:tcPr>
            <w:tcW w:w="0" w:type="auto"/>
            <w:noWrap/>
            <w:vAlign w:val="center"/>
            <w:hideMark/>
          </w:tcPr>
          <w:p w14:paraId="5511574C" w14:textId="0DEA7B6A"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EXR</w:t>
            </w:r>
            <w:r w:rsidR="00EE5CAB">
              <w:rPr>
                <w:rFonts w:eastAsia="Times New Roman" w:cstheme="minorHAnsi"/>
                <w:b/>
                <w:bCs/>
                <w:sz w:val="18"/>
                <w:szCs w:val="18"/>
              </w:rPr>
              <w:t>T</w:t>
            </w:r>
            <w:r w:rsidR="00B6171F">
              <w:rPr>
                <w:rFonts w:eastAsia="Times New Roman" w:cstheme="minorHAnsi"/>
                <w:b/>
                <w:bCs/>
                <w:sz w:val="18"/>
                <w:szCs w:val="18"/>
              </w:rPr>
              <w:t>V</w:t>
            </w:r>
          </w:p>
        </w:tc>
        <w:tc>
          <w:tcPr>
            <w:tcW w:w="0" w:type="auto"/>
            <w:noWrap/>
            <w:vAlign w:val="center"/>
            <w:hideMark/>
          </w:tcPr>
          <w:p w14:paraId="154ED7ED"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LAB</w:t>
            </w:r>
          </w:p>
        </w:tc>
        <w:tc>
          <w:tcPr>
            <w:tcW w:w="0" w:type="auto"/>
            <w:noWrap/>
            <w:vAlign w:val="center"/>
            <w:hideMark/>
          </w:tcPr>
          <w:p w14:paraId="0CBE665C" w14:textId="77777777" w:rsidR="003C6B00" w:rsidRPr="00EA38DE" w:rsidRDefault="003C6B00" w:rsidP="009501B5">
            <w:pPr>
              <w:spacing w:after="0" w:line="240" w:lineRule="auto"/>
              <w:jc w:val="center"/>
              <w:rPr>
                <w:rFonts w:eastAsia="Times New Roman" w:cstheme="minorHAnsi"/>
                <w:b/>
                <w:bCs/>
                <w:sz w:val="18"/>
                <w:szCs w:val="18"/>
              </w:rPr>
            </w:pPr>
            <w:r w:rsidRPr="00EA38DE">
              <w:rPr>
                <w:rFonts w:eastAsia="Times New Roman" w:cstheme="minorHAnsi"/>
                <w:b/>
                <w:bCs/>
                <w:sz w:val="18"/>
                <w:szCs w:val="18"/>
              </w:rPr>
              <w:t>TRF</w:t>
            </w:r>
          </w:p>
        </w:tc>
      </w:tr>
      <w:tr w:rsidR="00EA38DE" w:rsidRPr="00EA38DE" w14:paraId="08C6B50D" w14:textId="77777777" w:rsidTr="009501B5">
        <w:trPr>
          <w:trHeight w:val="144"/>
        </w:trPr>
        <w:tc>
          <w:tcPr>
            <w:tcW w:w="0" w:type="auto"/>
            <w:noWrap/>
            <w:vAlign w:val="center"/>
            <w:hideMark/>
          </w:tcPr>
          <w:p w14:paraId="0D841C6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1990</w:t>
            </w:r>
          </w:p>
        </w:tc>
        <w:tc>
          <w:tcPr>
            <w:tcW w:w="0" w:type="auto"/>
            <w:noWrap/>
            <w:vAlign w:val="center"/>
            <w:hideMark/>
          </w:tcPr>
          <w:p w14:paraId="2043661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300449</w:t>
            </w:r>
          </w:p>
        </w:tc>
        <w:tc>
          <w:tcPr>
            <w:tcW w:w="0" w:type="auto"/>
            <w:noWrap/>
            <w:vAlign w:val="center"/>
            <w:hideMark/>
          </w:tcPr>
          <w:p w14:paraId="54AFD6F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25840</w:t>
            </w:r>
          </w:p>
        </w:tc>
        <w:tc>
          <w:tcPr>
            <w:tcW w:w="0" w:type="auto"/>
            <w:noWrap/>
            <w:vAlign w:val="center"/>
            <w:hideMark/>
          </w:tcPr>
          <w:p w14:paraId="78D7C44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274609</w:t>
            </w:r>
          </w:p>
        </w:tc>
        <w:tc>
          <w:tcPr>
            <w:tcW w:w="0" w:type="auto"/>
            <w:noWrap/>
            <w:vAlign w:val="center"/>
            <w:hideMark/>
          </w:tcPr>
          <w:p w14:paraId="0892019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314</w:t>
            </w:r>
          </w:p>
        </w:tc>
        <w:tc>
          <w:tcPr>
            <w:tcW w:w="0" w:type="auto"/>
            <w:noWrap/>
            <w:vAlign w:val="center"/>
            <w:hideMark/>
          </w:tcPr>
          <w:p w14:paraId="64537BA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9703063.15</w:t>
            </w:r>
          </w:p>
        </w:tc>
        <w:tc>
          <w:tcPr>
            <w:tcW w:w="0" w:type="auto"/>
            <w:noWrap/>
            <w:vAlign w:val="center"/>
            <w:hideMark/>
          </w:tcPr>
          <w:p w14:paraId="71BCB82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251021</w:t>
            </w:r>
          </w:p>
        </w:tc>
        <w:tc>
          <w:tcPr>
            <w:tcW w:w="0" w:type="auto"/>
            <w:vAlign w:val="center"/>
            <w:hideMark/>
          </w:tcPr>
          <w:p w14:paraId="6FF15FE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7.36</w:t>
            </w:r>
          </w:p>
        </w:tc>
        <w:tc>
          <w:tcPr>
            <w:tcW w:w="0" w:type="auto"/>
            <w:vAlign w:val="center"/>
            <w:hideMark/>
          </w:tcPr>
          <w:p w14:paraId="19F8C92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2.85</w:t>
            </w:r>
          </w:p>
        </w:tc>
        <w:tc>
          <w:tcPr>
            <w:tcW w:w="0" w:type="auto"/>
            <w:noWrap/>
            <w:vAlign w:val="center"/>
            <w:hideMark/>
          </w:tcPr>
          <w:p w14:paraId="7849CBD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44182.16</w:t>
            </w:r>
          </w:p>
        </w:tc>
        <w:tc>
          <w:tcPr>
            <w:tcW w:w="0" w:type="auto"/>
            <w:noWrap/>
            <w:vAlign w:val="center"/>
            <w:hideMark/>
          </w:tcPr>
          <w:p w14:paraId="421DB57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2.96</w:t>
            </w:r>
          </w:p>
        </w:tc>
      </w:tr>
      <w:tr w:rsidR="00EA38DE" w:rsidRPr="00EA38DE" w14:paraId="28E01CAB" w14:textId="77777777" w:rsidTr="009501B5">
        <w:trPr>
          <w:trHeight w:val="144"/>
        </w:trPr>
        <w:tc>
          <w:tcPr>
            <w:tcW w:w="0" w:type="auto"/>
            <w:noWrap/>
            <w:vAlign w:val="center"/>
            <w:hideMark/>
          </w:tcPr>
          <w:p w14:paraId="4A1C770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1991</w:t>
            </w:r>
          </w:p>
        </w:tc>
        <w:tc>
          <w:tcPr>
            <w:tcW w:w="0" w:type="auto"/>
            <w:noWrap/>
            <w:vAlign w:val="center"/>
            <w:hideMark/>
          </w:tcPr>
          <w:p w14:paraId="410E65E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316328</w:t>
            </w:r>
          </w:p>
        </w:tc>
        <w:tc>
          <w:tcPr>
            <w:tcW w:w="0" w:type="auto"/>
            <w:noWrap/>
            <w:vAlign w:val="center"/>
            <w:hideMark/>
          </w:tcPr>
          <w:p w14:paraId="606881D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7347</w:t>
            </w:r>
          </w:p>
        </w:tc>
        <w:tc>
          <w:tcPr>
            <w:tcW w:w="0" w:type="auto"/>
            <w:noWrap/>
            <w:vAlign w:val="center"/>
            <w:hideMark/>
          </w:tcPr>
          <w:p w14:paraId="244A326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308981</w:t>
            </w:r>
          </w:p>
        </w:tc>
        <w:tc>
          <w:tcPr>
            <w:tcW w:w="0" w:type="auto"/>
            <w:noWrap/>
            <w:vAlign w:val="center"/>
            <w:hideMark/>
          </w:tcPr>
          <w:p w14:paraId="4D7B973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650</w:t>
            </w:r>
          </w:p>
        </w:tc>
        <w:tc>
          <w:tcPr>
            <w:tcW w:w="0" w:type="auto"/>
            <w:noWrap/>
            <w:vAlign w:val="center"/>
            <w:hideMark/>
          </w:tcPr>
          <w:p w14:paraId="1964187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9240941.05</w:t>
            </w:r>
          </w:p>
        </w:tc>
        <w:tc>
          <w:tcPr>
            <w:tcW w:w="0" w:type="auto"/>
            <w:noWrap/>
            <w:vAlign w:val="center"/>
            <w:hideMark/>
          </w:tcPr>
          <w:p w14:paraId="300BECD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350520</w:t>
            </w:r>
          </w:p>
        </w:tc>
        <w:tc>
          <w:tcPr>
            <w:tcW w:w="0" w:type="auto"/>
            <w:vAlign w:val="center"/>
            <w:hideMark/>
          </w:tcPr>
          <w:p w14:paraId="5488E85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13.01</w:t>
            </w:r>
          </w:p>
        </w:tc>
        <w:tc>
          <w:tcPr>
            <w:tcW w:w="0" w:type="auto"/>
            <w:vAlign w:val="center"/>
            <w:hideMark/>
          </w:tcPr>
          <w:p w14:paraId="23471AD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0.65</w:t>
            </w:r>
          </w:p>
        </w:tc>
        <w:tc>
          <w:tcPr>
            <w:tcW w:w="0" w:type="auto"/>
            <w:noWrap/>
            <w:vAlign w:val="center"/>
            <w:hideMark/>
          </w:tcPr>
          <w:p w14:paraId="79DD88E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45539.19</w:t>
            </w:r>
          </w:p>
        </w:tc>
        <w:tc>
          <w:tcPr>
            <w:tcW w:w="0" w:type="auto"/>
            <w:noWrap/>
            <w:vAlign w:val="center"/>
            <w:hideMark/>
          </w:tcPr>
          <w:p w14:paraId="42D9640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2.9</w:t>
            </w:r>
          </w:p>
        </w:tc>
      </w:tr>
      <w:tr w:rsidR="00EA38DE" w:rsidRPr="00EA38DE" w14:paraId="08C8B631" w14:textId="77777777" w:rsidTr="009501B5">
        <w:trPr>
          <w:trHeight w:val="144"/>
        </w:trPr>
        <w:tc>
          <w:tcPr>
            <w:tcW w:w="0" w:type="auto"/>
            <w:noWrap/>
            <w:vAlign w:val="center"/>
            <w:hideMark/>
          </w:tcPr>
          <w:p w14:paraId="38B88CB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1992</w:t>
            </w:r>
          </w:p>
        </w:tc>
        <w:tc>
          <w:tcPr>
            <w:tcW w:w="0" w:type="auto"/>
            <w:noWrap/>
            <w:vAlign w:val="center"/>
            <w:hideMark/>
          </w:tcPr>
          <w:p w14:paraId="1AFAEBA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267705</w:t>
            </w:r>
          </w:p>
        </w:tc>
        <w:tc>
          <w:tcPr>
            <w:tcW w:w="0" w:type="auto"/>
            <w:noWrap/>
            <w:vAlign w:val="center"/>
            <w:hideMark/>
          </w:tcPr>
          <w:p w14:paraId="272E13D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15365</w:t>
            </w:r>
          </w:p>
        </w:tc>
        <w:tc>
          <w:tcPr>
            <w:tcW w:w="0" w:type="auto"/>
            <w:noWrap/>
            <w:vAlign w:val="center"/>
            <w:hideMark/>
          </w:tcPr>
          <w:p w14:paraId="2DBD151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252340</w:t>
            </w:r>
          </w:p>
        </w:tc>
        <w:tc>
          <w:tcPr>
            <w:tcW w:w="0" w:type="auto"/>
            <w:noWrap/>
            <w:vAlign w:val="center"/>
            <w:hideMark/>
          </w:tcPr>
          <w:p w14:paraId="49DE432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800</w:t>
            </w:r>
          </w:p>
        </w:tc>
        <w:tc>
          <w:tcPr>
            <w:tcW w:w="0" w:type="auto"/>
            <w:noWrap/>
            <w:vAlign w:val="center"/>
            <w:hideMark/>
          </w:tcPr>
          <w:p w14:paraId="6EC42E4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8778818.95</w:t>
            </w:r>
          </w:p>
        </w:tc>
        <w:tc>
          <w:tcPr>
            <w:tcW w:w="0" w:type="auto"/>
            <w:noWrap/>
            <w:vAlign w:val="center"/>
            <w:hideMark/>
          </w:tcPr>
          <w:p w14:paraId="7730293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401350</w:t>
            </w:r>
          </w:p>
        </w:tc>
        <w:tc>
          <w:tcPr>
            <w:tcW w:w="0" w:type="auto"/>
            <w:vAlign w:val="center"/>
            <w:hideMark/>
          </w:tcPr>
          <w:p w14:paraId="0DAA118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44.59</w:t>
            </w:r>
          </w:p>
        </w:tc>
        <w:tc>
          <w:tcPr>
            <w:tcW w:w="0" w:type="auto"/>
            <w:vAlign w:val="center"/>
            <w:hideMark/>
          </w:tcPr>
          <w:p w14:paraId="506E325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1.87</w:t>
            </w:r>
          </w:p>
        </w:tc>
        <w:tc>
          <w:tcPr>
            <w:tcW w:w="0" w:type="auto"/>
            <w:noWrap/>
            <w:vAlign w:val="center"/>
            <w:hideMark/>
          </w:tcPr>
          <w:p w14:paraId="2E8E217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46853.34</w:t>
            </w:r>
          </w:p>
        </w:tc>
        <w:tc>
          <w:tcPr>
            <w:tcW w:w="0" w:type="auto"/>
            <w:noWrap/>
            <w:vAlign w:val="center"/>
            <w:hideMark/>
          </w:tcPr>
          <w:p w14:paraId="1DA61D8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2.4</w:t>
            </w:r>
          </w:p>
        </w:tc>
      </w:tr>
      <w:tr w:rsidR="00EA38DE" w:rsidRPr="00EA38DE" w14:paraId="744A0479" w14:textId="77777777" w:rsidTr="009501B5">
        <w:trPr>
          <w:trHeight w:val="144"/>
        </w:trPr>
        <w:tc>
          <w:tcPr>
            <w:tcW w:w="0" w:type="auto"/>
            <w:noWrap/>
            <w:vAlign w:val="center"/>
            <w:hideMark/>
          </w:tcPr>
          <w:p w14:paraId="170234F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1993</w:t>
            </w:r>
          </w:p>
        </w:tc>
        <w:tc>
          <w:tcPr>
            <w:tcW w:w="0" w:type="auto"/>
            <w:noWrap/>
            <w:vAlign w:val="center"/>
            <w:hideMark/>
          </w:tcPr>
          <w:p w14:paraId="4AB6C64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318415</w:t>
            </w:r>
          </w:p>
        </w:tc>
        <w:tc>
          <w:tcPr>
            <w:tcW w:w="0" w:type="auto"/>
            <w:noWrap/>
            <w:vAlign w:val="center"/>
            <w:hideMark/>
          </w:tcPr>
          <w:p w14:paraId="60E1E79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17088</w:t>
            </w:r>
          </w:p>
        </w:tc>
        <w:tc>
          <w:tcPr>
            <w:tcW w:w="0" w:type="auto"/>
            <w:noWrap/>
            <w:vAlign w:val="center"/>
            <w:hideMark/>
          </w:tcPr>
          <w:p w14:paraId="557D619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301327</w:t>
            </w:r>
          </w:p>
        </w:tc>
        <w:tc>
          <w:tcPr>
            <w:tcW w:w="0" w:type="auto"/>
            <w:noWrap/>
            <w:vAlign w:val="center"/>
            <w:hideMark/>
          </w:tcPr>
          <w:p w14:paraId="4616D03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2,549</w:t>
            </w:r>
          </w:p>
        </w:tc>
        <w:tc>
          <w:tcPr>
            <w:tcW w:w="0" w:type="auto"/>
            <w:noWrap/>
            <w:vAlign w:val="center"/>
            <w:hideMark/>
          </w:tcPr>
          <w:p w14:paraId="743F152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8316696.85</w:t>
            </w:r>
          </w:p>
        </w:tc>
        <w:tc>
          <w:tcPr>
            <w:tcW w:w="0" w:type="auto"/>
            <w:noWrap/>
            <w:vAlign w:val="center"/>
            <w:hideMark/>
          </w:tcPr>
          <w:p w14:paraId="331AD84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450215</w:t>
            </w:r>
          </w:p>
        </w:tc>
        <w:tc>
          <w:tcPr>
            <w:tcW w:w="0" w:type="auto"/>
            <w:vAlign w:val="center"/>
            <w:hideMark/>
          </w:tcPr>
          <w:p w14:paraId="27E7D95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57.17</w:t>
            </w:r>
          </w:p>
        </w:tc>
        <w:tc>
          <w:tcPr>
            <w:tcW w:w="0" w:type="auto"/>
            <w:vAlign w:val="center"/>
            <w:hideMark/>
          </w:tcPr>
          <w:p w14:paraId="04888A6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7.39</w:t>
            </w:r>
          </w:p>
        </w:tc>
        <w:tc>
          <w:tcPr>
            <w:tcW w:w="0" w:type="auto"/>
            <w:noWrap/>
            <w:vAlign w:val="center"/>
            <w:hideMark/>
          </w:tcPr>
          <w:p w14:paraId="0532A86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48403.59</w:t>
            </w:r>
          </w:p>
        </w:tc>
        <w:tc>
          <w:tcPr>
            <w:tcW w:w="0" w:type="auto"/>
            <w:noWrap/>
            <w:vAlign w:val="center"/>
            <w:hideMark/>
          </w:tcPr>
          <w:p w14:paraId="03732B1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2.02</w:t>
            </w:r>
          </w:p>
        </w:tc>
      </w:tr>
      <w:tr w:rsidR="00EA38DE" w:rsidRPr="00EA38DE" w14:paraId="0E788063" w14:textId="77777777" w:rsidTr="009501B5">
        <w:trPr>
          <w:trHeight w:val="144"/>
        </w:trPr>
        <w:tc>
          <w:tcPr>
            <w:tcW w:w="0" w:type="auto"/>
            <w:noWrap/>
            <w:vAlign w:val="center"/>
            <w:hideMark/>
          </w:tcPr>
          <w:p w14:paraId="569A895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1994</w:t>
            </w:r>
          </w:p>
        </w:tc>
        <w:tc>
          <w:tcPr>
            <w:tcW w:w="0" w:type="auto"/>
            <w:noWrap/>
            <w:vAlign w:val="center"/>
            <w:hideMark/>
          </w:tcPr>
          <w:p w14:paraId="0193EAA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255499</w:t>
            </w:r>
          </w:p>
        </w:tc>
        <w:tc>
          <w:tcPr>
            <w:tcW w:w="0" w:type="auto"/>
            <w:noWrap/>
            <w:vAlign w:val="center"/>
            <w:hideMark/>
          </w:tcPr>
          <w:p w14:paraId="229EFCC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17090</w:t>
            </w:r>
          </w:p>
        </w:tc>
        <w:tc>
          <w:tcPr>
            <w:tcW w:w="0" w:type="auto"/>
            <w:noWrap/>
            <w:vAlign w:val="center"/>
            <w:hideMark/>
          </w:tcPr>
          <w:p w14:paraId="48539FB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238409</w:t>
            </w:r>
          </w:p>
        </w:tc>
        <w:tc>
          <w:tcPr>
            <w:tcW w:w="0" w:type="auto"/>
            <w:noWrap/>
            <w:vAlign w:val="center"/>
            <w:hideMark/>
          </w:tcPr>
          <w:p w14:paraId="4B23949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7,383</w:t>
            </w:r>
          </w:p>
        </w:tc>
        <w:tc>
          <w:tcPr>
            <w:tcW w:w="0" w:type="auto"/>
            <w:noWrap/>
            <w:vAlign w:val="center"/>
            <w:hideMark/>
          </w:tcPr>
          <w:p w14:paraId="2F07A01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7854574.76</w:t>
            </w:r>
          </w:p>
        </w:tc>
        <w:tc>
          <w:tcPr>
            <w:tcW w:w="0" w:type="auto"/>
            <w:noWrap/>
            <w:vAlign w:val="center"/>
            <w:hideMark/>
          </w:tcPr>
          <w:p w14:paraId="5294B61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521850</w:t>
            </w:r>
          </w:p>
        </w:tc>
        <w:tc>
          <w:tcPr>
            <w:tcW w:w="0" w:type="auto"/>
            <w:vAlign w:val="center"/>
            <w:hideMark/>
          </w:tcPr>
          <w:p w14:paraId="2E1B861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57.03</w:t>
            </w:r>
          </w:p>
        </w:tc>
        <w:tc>
          <w:tcPr>
            <w:tcW w:w="0" w:type="auto"/>
            <w:vAlign w:val="center"/>
            <w:hideMark/>
          </w:tcPr>
          <w:p w14:paraId="70F447D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5.03</w:t>
            </w:r>
          </w:p>
        </w:tc>
        <w:tc>
          <w:tcPr>
            <w:tcW w:w="0" w:type="auto"/>
            <w:noWrap/>
            <w:vAlign w:val="center"/>
            <w:hideMark/>
          </w:tcPr>
          <w:p w14:paraId="66741BD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49995.64</w:t>
            </w:r>
          </w:p>
        </w:tc>
        <w:tc>
          <w:tcPr>
            <w:tcW w:w="0" w:type="auto"/>
            <w:noWrap/>
            <w:vAlign w:val="center"/>
            <w:hideMark/>
          </w:tcPr>
          <w:p w14:paraId="0F5D6F0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1.97</w:t>
            </w:r>
          </w:p>
        </w:tc>
      </w:tr>
      <w:tr w:rsidR="00EA38DE" w:rsidRPr="00EA38DE" w14:paraId="42AB5073" w14:textId="77777777" w:rsidTr="009501B5">
        <w:trPr>
          <w:trHeight w:val="144"/>
        </w:trPr>
        <w:tc>
          <w:tcPr>
            <w:tcW w:w="0" w:type="auto"/>
            <w:noWrap/>
            <w:vAlign w:val="center"/>
            <w:hideMark/>
          </w:tcPr>
          <w:p w14:paraId="3FE2159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1995</w:t>
            </w:r>
          </w:p>
        </w:tc>
        <w:tc>
          <w:tcPr>
            <w:tcW w:w="0" w:type="auto"/>
            <w:noWrap/>
            <w:vAlign w:val="center"/>
            <w:hideMark/>
          </w:tcPr>
          <w:p w14:paraId="5F62B0C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281232</w:t>
            </w:r>
          </w:p>
        </w:tc>
        <w:tc>
          <w:tcPr>
            <w:tcW w:w="0" w:type="auto"/>
            <w:noWrap/>
            <w:vAlign w:val="center"/>
            <w:hideMark/>
          </w:tcPr>
          <w:p w14:paraId="682465E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15030</w:t>
            </w:r>
          </w:p>
        </w:tc>
        <w:tc>
          <w:tcPr>
            <w:tcW w:w="0" w:type="auto"/>
            <w:noWrap/>
            <w:vAlign w:val="center"/>
            <w:hideMark/>
          </w:tcPr>
          <w:p w14:paraId="576573A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266202</w:t>
            </w:r>
          </w:p>
        </w:tc>
        <w:tc>
          <w:tcPr>
            <w:tcW w:w="0" w:type="auto"/>
            <w:noWrap/>
            <w:vAlign w:val="center"/>
            <w:hideMark/>
          </w:tcPr>
          <w:p w14:paraId="6A12C4B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12,217</w:t>
            </w:r>
          </w:p>
        </w:tc>
        <w:tc>
          <w:tcPr>
            <w:tcW w:w="0" w:type="auto"/>
            <w:noWrap/>
            <w:vAlign w:val="center"/>
            <w:hideMark/>
          </w:tcPr>
          <w:p w14:paraId="6D12057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7392452.66</w:t>
            </w:r>
          </w:p>
        </w:tc>
        <w:tc>
          <w:tcPr>
            <w:tcW w:w="0" w:type="auto"/>
            <w:noWrap/>
            <w:vAlign w:val="center"/>
            <w:hideMark/>
          </w:tcPr>
          <w:p w14:paraId="67685D4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533502</w:t>
            </w:r>
          </w:p>
        </w:tc>
        <w:tc>
          <w:tcPr>
            <w:tcW w:w="0" w:type="auto"/>
            <w:vAlign w:val="center"/>
            <w:hideMark/>
          </w:tcPr>
          <w:p w14:paraId="29D0404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72.84</w:t>
            </w:r>
          </w:p>
        </w:tc>
        <w:tc>
          <w:tcPr>
            <w:tcW w:w="0" w:type="auto"/>
            <w:vAlign w:val="center"/>
            <w:hideMark/>
          </w:tcPr>
          <w:p w14:paraId="353F579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-0.44</w:t>
            </w:r>
          </w:p>
        </w:tc>
        <w:tc>
          <w:tcPr>
            <w:tcW w:w="0" w:type="auto"/>
            <w:noWrap/>
            <w:vAlign w:val="center"/>
            <w:hideMark/>
          </w:tcPr>
          <w:p w14:paraId="5A10D7C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51569.8</w:t>
            </w:r>
          </w:p>
        </w:tc>
        <w:tc>
          <w:tcPr>
            <w:tcW w:w="0" w:type="auto"/>
            <w:noWrap/>
            <w:vAlign w:val="center"/>
            <w:hideMark/>
          </w:tcPr>
          <w:p w14:paraId="5332106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1.84</w:t>
            </w:r>
          </w:p>
        </w:tc>
      </w:tr>
      <w:tr w:rsidR="00EA38DE" w:rsidRPr="00EA38DE" w14:paraId="42B77956" w14:textId="77777777" w:rsidTr="009501B5">
        <w:trPr>
          <w:trHeight w:val="144"/>
        </w:trPr>
        <w:tc>
          <w:tcPr>
            <w:tcW w:w="0" w:type="auto"/>
            <w:noWrap/>
            <w:vAlign w:val="center"/>
            <w:hideMark/>
          </w:tcPr>
          <w:p w14:paraId="413A253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1996</w:t>
            </w:r>
          </w:p>
        </w:tc>
        <w:tc>
          <w:tcPr>
            <w:tcW w:w="0" w:type="auto"/>
            <w:noWrap/>
            <w:vAlign w:val="center"/>
            <w:hideMark/>
          </w:tcPr>
          <w:p w14:paraId="6EB390B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366101</w:t>
            </w:r>
          </w:p>
        </w:tc>
        <w:tc>
          <w:tcPr>
            <w:tcW w:w="0" w:type="auto"/>
            <w:noWrap/>
            <w:vAlign w:val="center"/>
            <w:hideMark/>
          </w:tcPr>
          <w:p w14:paraId="79C3AA7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16619</w:t>
            </w:r>
          </w:p>
        </w:tc>
        <w:tc>
          <w:tcPr>
            <w:tcW w:w="0" w:type="auto"/>
            <w:noWrap/>
            <w:vAlign w:val="center"/>
            <w:hideMark/>
          </w:tcPr>
          <w:p w14:paraId="626FD6A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349482</w:t>
            </w:r>
          </w:p>
        </w:tc>
        <w:tc>
          <w:tcPr>
            <w:tcW w:w="0" w:type="auto"/>
            <w:noWrap/>
            <w:vAlign w:val="center"/>
            <w:hideMark/>
          </w:tcPr>
          <w:p w14:paraId="778B61E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17,051</w:t>
            </w:r>
          </w:p>
        </w:tc>
        <w:tc>
          <w:tcPr>
            <w:tcW w:w="0" w:type="auto"/>
            <w:noWrap/>
            <w:vAlign w:val="center"/>
            <w:hideMark/>
          </w:tcPr>
          <w:p w14:paraId="3938619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6930330.56</w:t>
            </w:r>
          </w:p>
        </w:tc>
        <w:tc>
          <w:tcPr>
            <w:tcW w:w="0" w:type="auto"/>
            <w:noWrap/>
            <w:vAlign w:val="center"/>
            <w:hideMark/>
          </w:tcPr>
          <w:p w14:paraId="4305BDF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540325</w:t>
            </w:r>
          </w:p>
        </w:tc>
        <w:tc>
          <w:tcPr>
            <w:tcW w:w="0" w:type="auto"/>
            <w:vAlign w:val="center"/>
            <w:hideMark/>
          </w:tcPr>
          <w:p w14:paraId="4E54B4B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29.27</w:t>
            </w:r>
          </w:p>
        </w:tc>
        <w:tc>
          <w:tcPr>
            <w:tcW w:w="0" w:type="auto"/>
            <w:vAlign w:val="center"/>
            <w:hideMark/>
          </w:tcPr>
          <w:p w14:paraId="22A4EAF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w:t>
            </w:r>
          </w:p>
        </w:tc>
        <w:tc>
          <w:tcPr>
            <w:tcW w:w="0" w:type="auto"/>
            <w:noWrap/>
            <w:vAlign w:val="center"/>
            <w:hideMark/>
          </w:tcPr>
          <w:p w14:paraId="2BD667C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53048.06</w:t>
            </w:r>
          </w:p>
        </w:tc>
        <w:tc>
          <w:tcPr>
            <w:tcW w:w="0" w:type="auto"/>
            <w:noWrap/>
            <w:vAlign w:val="center"/>
            <w:hideMark/>
          </w:tcPr>
          <w:p w14:paraId="5B57648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2.44</w:t>
            </w:r>
          </w:p>
        </w:tc>
      </w:tr>
      <w:tr w:rsidR="00EA38DE" w:rsidRPr="00EA38DE" w14:paraId="708B06DB" w14:textId="77777777" w:rsidTr="009501B5">
        <w:trPr>
          <w:trHeight w:val="144"/>
        </w:trPr>
        <w:tc>
          <w:tcPr>
            <w:tcW w:w="0" w:type="auto"/>
            <w:noWrap/>
            <w:vAlign w:val="center"/>
            <w:hideMark/>
          </w:tcPr>
          <w:p w14:paraId="13B6B53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1997</w:t>
            </w:r>
          </w:p>
        </w:tc>
        <w:tc>
          <w:tcPr>
            <w:tcW w:w="0" w:type="auto"/>
            <w:noWrap/>
            <w:vAlign w:val="center"/>
            <w:hideMark/>
          </w:tcPr>
          <w:p w14:paraId="63535BD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357484</w:t>
            </w:r>
          </w:p>
        </w:tc>
        <w:tc>
          <w:tcPr>
            <w:tcW w:w="0" w:type="auto"/>
            <w:noWrap/>
            <w:vAlign w:val="center"/>
            <w:hideMark/>
          </w:tcPr>
          <w:p w14:paraId="0FF83FC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19491</w:t>
            </w:r>
          </w:p>
        </w:tc>
        <w:tc>
          <w:tcPr>
            <w:tcW w:w="0" w:type="auto"/>
            <w:noWrap/>
            <w:vAlign w:val="center"/>
            <w:hideMark/>
          </w:tcPr>
          <w:p w14:paraId="41B3468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337993</w:t>
            </w:r>
          </w:p>
        </w:tc>
        <w:tc>
          <w:tcPr>
            <w:tcW w:w="0" w:type="auto"/>
            <w:noWrap/>
            <w:vAlign w:val="center"/>
            <w:hideMark/>
          </w:tcPr>
          <w:p w14:paraId="15A57A5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21,885</w:t>
            </w:r>
          </w:p>
        </w:tc>
        <w:tc>
          <w:tcPr>
            <w:tcW w:w="0" w:type="auto"/>
            <w:noWrap/>
            <w:vAlign w:val="center"/>
            <w:hideMark/>
          </w:tcPr>
          <w:p w14:paraId="0853388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6468208.46</w:t>
            </w:r>
          </w:p>
        </w:tc>
        <w:tc>
          <w:tcPr>
            <w:tcW w:w="0" w:type="auto"/>
            <w:noWrap/>
            <w:vAlign w:val="center"/>
            <w:hideMark/>
          </w:tcPr>
          <w:p w14:paraId="7BAC02C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595025</w:t>
            </w:r>
          </w:p>
        </w:tc>
        <w:tc>
          <w:tcPr>
            <w:tcW w:w="0" w:type="auto"/>
            <w:vAlign w:val="center"/>
            <w:hideMark/>
          </w:tcPr>
          <w:p w14:paraId="10F3A2E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8.53</w:t>
            </w:r>
          </w:p>
        </w:tc>
        <w:tc>
          <w:tcPr>
            <w:tcW w:w="0" w:type="auto"/>
            <w:vAlign w:val="center"/>
            <w:hideMark/>
          </w:tcPr>
          <w:p w14:paraId="6DBD2F4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w:t>
            </w:r>
          </w:p>
        </w:tc>
        <w:tc>
          <w:tcPr>
            <w:tcW w:w="0" w:type="auto"/>
            <w:noWrap/>
            <w:vAlign w:val="center"/>
            <w:hideMark/>
          </w:tcPr>
          <w:p w14:paraId="0DCC0CA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54590.2</w:t>
            </w:r>
          </w:p>
        </w:tc>
        <w:tc>
          <w:tcPr>
            <w:tcW w:w="0" w:type="auto"/>
            <w:noWrap/>
            <w:vAlign w:val="center"/>
            <w:hideMark/>
          </w:tcPr>
          <w:p w14:paraId="680DB2A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3.18</w:t>
            </w:r>
          </w:p>
        </w:tc>
      </w:tr>
      <w:tr w:rsidR="00EA38DE" w:rsidRPr="00EA38DE" w14:paraId="16FFFCAC" w14:textId="77777777" w:rsidTr="009501B5">
        <w:trPr>
          <w:trHeight w:val="144"/>
        </w:trPr>
        <w:tc>
          <w:tcPr>
            <w:tcW w:w="0" w:type="auto"/>
            <w:noWrap/>
            <w:vAlign w:val="center"/>
            <w:hideMark/>
          </w:tcPr>
          <w:p w14:paraId="2092F22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1998</w:t>
            </w:r>
          </w:p>
        </w:tc>
        <w:tc>
          <w:tcPr>
            <w:tcW w:w="0" w:type="auto"/>
            <w:noWrap/>
            <w:vAlign w:val="center"/>
            <w:hideMark/>
          </w:tcPr>
          <w:p w14:paraId="405F852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412220</w:t>
            </w:r>
          </w:p>
        </w:tc>
        <w:tc>
          <w:tcPr>
            <w:tcW w:w="0" w:type="auto"/>
            <w:noWrap/>
            <w:vAlign w:val="center"/>
            <w:hideMark/>
          </w:tcPr>
          <w:p w14:paraId="2B82EBC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24297</w:t>
            </w:r>
          </w:p>
        </w:tc>
        <w:tc>
          <w:tcPr>
            <w:tcW w:w="0" w:type="auto"/>
            <w:noWrap/>
            <w:vAlign w:val="center"/>
            <w:hideMark/>
          </w:tcPr>
          <w:p w14:paraId="589AF76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387923</w:t>
            </w:r>
          </w:p>
        </w:tc>
        <w:tc>
          <w:tcPr>
            <w:tcW w:w="0" w:type="auto"/>
            <w:noWrap/>
            <w:vAlign w:val="center"/>
            <w:hideMark/>
          </w:tcPr>
          <w:p w14:paraId="4C11C4F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30,785</w:t>
            </w:r>
          </w:p>
        </w:tc>
        <w:tc>
          <w:tcPr>
            <w:tcW w:w="0" w:type="auto"/>
            <w:noWrap/>
            <w:vAlign w:val="center"/>
            <w:hideMark/>
          </w:tcPr>
          <w:p w14:paraId="60BD36E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6006086.36</w:t>
            </w:r>
          </w:p>
        </w:tc>
        <w:tc>
          <w:tcPr>
            <w:tcW w:w="0" w:type="auto"/>
            <w:noWrap/>
            <w:vAlign w:val="center"/>
            <w:hideMark/>
          </w:tcPr>
          <w:p w14:paraId="55F1191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640520</w:t>
            </w:r>
          </w:p>
        </w:tc>
        <w:tc>
          <w:tcPr>
            <w:tcW w:w="0" w:type="auto"/>
            <w:vAlign w:val="center"/>
            <w:hideMark/>
          </w:tcPr>
          <w:p w14:paraId="1D5C258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w:t>
            </w:r>
          </w:p>
        </w:tc>
        <w:tc>
          <w:tcPr>
            <w:tcW w:w="0" w:type="auto"/>
            <w:vAlign w:val="center"/>
            <w:hideMark/>
          </w:tcPr>
          <w:p w14:paraId="731973C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w:t>
            </w:r>
          </w:p>
        </w:tc>
        <w:tc>
          <w:tcPr>
            <w:tcW w:w="0" w:type="auto"/>
            <w:noWrap/>
            <w:vAlign w:val="center"/>
            <w:hideMark/>
          </w:tcPr>
          <w:p w14:paraId="327B862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56197.71</w:t>
            </w:r>
          </w:p>
        </w:tc>
        <w:tc>
          <w:tcPr>
            <w:tcW w:w="0" w:type="auto"/>
            <w:noWrap/>
            <w:vAlign w:val="center"/>
            <w:hideMark/>
          </w:tcPr>
          <w:p w14:paraId="47D6D04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3.3</w:t>
            </w:r>
          </w:p>
        </w:tc>
      </w:tr>
      <w:tr w:rsidR="00EA38DE" w:rsidRPr="00EA38DE" w14:paraId="024B6C0F" w14:textId="77777777" w:rsidTr="009501B5">
        <w:trPr>
          <w:trHeight w:val="144"/>
        </w:trPr>
        <w:tc>
          <w:tcPr>
            <w:tcW w:w="0" w:type="auto"/>
            <w:noWrap/>
            <w:vAlign w:val="center"/>
            <w:hideMark/>
          </w:tcPr>
          <w:p w14:paraId="758D08A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1999</w:t>
            </w:r>
          </w:p>
        </w:tc>
        <w:tc>
          <w:tcPr>
            <w:tcW w:w="0" w:type="auto"/>
            <w:noWrap/>
            <w:vAlign w:val="center"/>
            <w:hideMark/>
          </w:tcPr>
          <w:p w14:paraId="3E91FB6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483482</w:t>
            </w:r>
          </w:p>
        </w:tc>
        <w:tc>
          <w:tcPr>
            <w:tcW w:w="0" w:type="auto"/>
            <w:noWrap/>
            <w:vAlign w:val="center"/>
            <w:hideMark/>
          </w:tcPr>
          <w:p w14:paraId="0165BD3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20458</w:t>
            </w:r>
          </w:p>
        </w:tc>
        <w:tc>
          <w:tcPr>
            <w:tcW w:w="0" w:type="auto"/>
            <w:noWrap/>
            <w:vAlign w:val="center"/>
            <w:hideMark/>
          </w:tcPr>
          <w:p w14:paraId="3719907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463024</w:t>
            </w:r>
          </w:p>
        </w:tc>
        <w:tc>
          <w:tcPr>
            <w:tcW w:w="0" w:type="auto"/>
            <w:noWrap/>
            <w:vAlign w:val="center"/>
            <w:hideMark/>
          </w:tcPr>
          <w:p w14:paraId="6AC7439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31,151</w:t>
            </w:r>
          </w:p>
        </w:tc>
        <w:tc>
          <w:tcPr>
            <w:tcW w:w="0" w:type="auto"/>
            <w:noWrap/>
            <w:vAlign w:val="center"/>
            <w:hideMark/>
          </w:tcPr>
          <w:p w14:paraId="7979363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5543964.27</w:t>
            </w:r>
          </w:p>
        </w:tc>
        <w:tc>
          <w:tcPr>
            <w:tcW w:w="0" w:type="auto"/>
            <w:noWrap/>
            <w:vAlign w:val="center"/>
            <w:hideMark/>
          </w:tcPr>
          <w:p w14:paraId="3A22FDD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656421</w:t>
            </w:r>
          </w:p>
        </w:tc>
        <w:tc>
          <w:tcPr>
            <w:tcW w:w="0" w:type="auto"/>
            <w:vAlign w:val="center"/>
            <w:hideMark/>
          </w:tcPr>
          <w:p w14:paraId="6B7194D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6.62</w:t>
            </w:r>
          </w:p>
        </w:tc>
        <w:tc>
          <w:tcPr>
            <w:tcW w:w="0" w:type="auto"/>
            <w:vAlign w:val="center"/>
            <w:hideMark/>
          </w:tcPr>
          <w:p w14:paraId="7F681DF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w:t>
            </w:r>
          </w:p>
        </w:tc>
        <w:tc>
          <w:tcPr>
            <w:tcW w:w="0" w:type="auto"/>
            <w:noWrap/>
            <w:vAlign w:val="center"/>
            <w:hideMark/>
          </w:tcPr>
          <w:p w14:paraId="5851DA4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57886.64</w:t>
            </w:r>
          </w:p>
        </w:tc>
        <w:tc>
          <w:tcPr>
            <w:tcW w:w="0" w:type="auto"/>
            <w:noWrap/>
            <w:vAlign w:val="center"/>
            <w:hideMark/>
          </w:tcPr>
          <w:p w14:paraId="5730B2E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4.18</w:t>
            </w:r>
          </w:p>
        </w:tc>
      </w:tr>
      <w:tr w:rsidR="00EA38DE" w:rsidRPr="00EA38DE" w14:paraId="6080F76C" w14:textId="77777777" w:rsidTr="009501B5">
        <w:trPr>
          <w:trHeight w:val="144"/>
        </w:trPr>
        <w:tc>
          <w:tcPr>
            <w:tcW w:w="0" w:type="auto"/>
            <w:noWrap/>
            <w:vAlign w:val="center"/>
            <w:hideMark/>
          </w:tcPr>
          <w:p w14:paraId="227D3AC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2000</w:t>
            </w:r>
          </w:p>
        </w:tc>
        <w:tc>
          <w:tcPr>
            <w:tcW w:w="0" w:type="auto"/>
            <w:noWrap/>
            <w:vAlign w:val="center"/>
            <w:hideMark/>
          </w:tcPr>
          <w:p w14:paraId="3944375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477365</w:t>
            </w:r>
          </w:p>
        </w:tc>
        <w:tc>
          <w:tcPr>
            <w:tcW w:w="0" w:type="auto"/>
            <w:noWrap/>
            <w:vAlign w:val="center"/>
            <w:hideMark/>
          </w:tcPr>
          <w:p w14:paraId="090BCFB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21737</w:t>
            </w:r>
          </w:p>
        </w:tc>
        <w:tc>
          <w:tcPr>
            <w:tcW w:w="0" w:type="auto"/>
            <w:noWrap/>
            <w:vAlign w:val="center"/>
            <w:hideMark/>
          </w:tcPr>
          <w:p w14:paraId="252B469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455628</w:t>
            </w:r>
          </w:p>
        </w:tc>
        <w:tc>
          <w:tcPr>
            <w:tcW w:w="0" w:type="auto"/>
            <w:noWrap/>
            <w:vAlign w:val="center"/>
            <w:hideMark/>
          </w:tcPr>
          <w:p w14:paraId="083EE1E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32,116</w:t>
            </w:r>
          </w:p>
        </w:tc>
        <w:tc>
          <w:tcPr>
            <w:tcW w:w="0" w:type="auto"/>
            <w:noWrap/>
            <w:vAlign w:val="center"/>
            <w:hideMark/>
          </w:tcPr>
          <w:p w14:paraId="6F6DEBE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3479651.76</w:t>
            </w:r>
          </w:p>
        </w:tc>
        <w:tc>
          <w:tcPr>
            <w:tcW w:w="0" w:type="auto"/>
            <w:noWrap/>
            <w:vAlign w:val="center"/>
            <w:hideMark/>
          </w:tcPr>
          <w:p w14:paraId="66FF0C1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1045800</w:t>
            </w:r>
          </w:p>
        </w:tc>
        <w:tc>
          <w:tcPr>
            <w:tcW w:w="0" w:type="auto"/>
            <w:vAlign w:val="center"/>
            <w:hideMark/>
          </w:tcPr>
          <w:p w14:paraId="617F201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6.93</w:t>
            </w:r>
          </w:p>
        </w:tc>
        <w:tc>
          <w:tcPr>
            <w:tcW w:w="0" w:type="auto"/>
            <w:vAlign w:val="center"/>
            <w:hideMark/>
          </w:tcPr>
          <w:p w14:paraId="650042B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64.09</w:t>
            </w:r>
          </w:p>
        </w:tc>
        <w:tc>
          <w:tcPr>
            <w:tcW w:w="0" w:type="auto"/>
            <w:noWrap/>
            <w:vAlign w:val="center"/>
            <w:hideMark/>
          </w:tcPr>
          <w:p w14:paraId="560B5CB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59448.26</w:t>
            </w:r>
          </w:p>
        </w:tc>
        <w:tc>
          <w:tcPr>
            <w:tcW w:w="0" w:type="auto"/>
            <w:noWrap/>
            <w:vAlign w:val="center"/>
            <w:hideMark/>
          </w:tcPr>
          <w:p w14:paraId="0CEFA45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4.56</w:t>
            </w:r>
          </w:p>
        </w:tc>
      </w:tr>
      <w:tr w:rsidR="00EA38DE" w:rsidRPr="00EA38DE" w14:paraId="1737C6BB" w14:textId="77777777" w:rsidTr="009501B5">
        <w:trPr>
          <w:trHeight w:val="144"/>
        </w:trPr>
        <w:tc>
          <w:tcPr>
            <w:tcW w:w="0" w:type="auto"/>
            <w:noWrap/>
            <w:vAlign w:val="center"/>
            <w:hideMark/>
          </w:tcPr>
          <w:p w14:paraId="4EA0C53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2001</w:t>
            </w:r>
          </w:p>
        </w:tc>
        <w:tc>
          <w:tcPr>
            <w:tcW w:w="0" w:type="auto"/>
            <w:noWrap/>
            <w:vAlign w:val="center"/>
            <w:hideMark/>
          </w:tcPr>
          <w:p w14:paraId="08B9FCA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467095</w:t>
            </w:r>
          </w:p>
        </w:tc>
        <w:tc>
          <w:tcPr>
            <w:tcW w:w="0" w:type="auto"/>
            <w:noWrap/>
            <w:vAlign w:val="center"/>
            <w:hideMark/>
          </w:tcPr>
          <w:p w14:paraId="621DBB2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25718</w:t>
            </w:r>
          </w:p>
        </w:tc>
        <w:tc>
          <w:tcPr>
            <w:tcW w:w="0" w:type="auto"/>
            <w:noWrap/>
            <w:vAlign w:val="center"/>
            <w:hideMark/>
          </w:tcPr>
          <w:p w14:paraId="29A19B0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441377</w:t>
            </w:r>
          </w:p>
        </w:tc>
        <w:tc>
          <w:tcPr>
            <w:tcW w:w="0" w:type="auto"/>
            <w:noWrap/>
            <w:vAlign w:val="center"/>
            <w:hideMark/>
          </w:tcPr>
          <w:p w14:paraId="37C4A5B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40,217</w:t>
            </w:r>
          </w:p>
        </w:tc>
        <w:tc>
          <w:tcPr>
            <w:tcW w:w="0" w:type="auto"/>
            <w:noWrap/>
            <w:vAlign w:val="center"/>
            <w:hideMark/>
          </w:tcPr>
          <w:p w14:paraId="0E175A3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3486585.82</w:t>
            </w:r>
          </w:p>
        </w:tc>
        <w:tc>
          <w:tcPr>
            <w:tcW w:w="0" w:type="auto"/>
            <w:noWrap/>
            <w:vAlign w:val="center"/>
            <w:hideMark/>
          </w:tcPr>
          <w:p w14:paraId="30EBE06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1065201</w:t>
            </w:r>
          </w:p>
        </w:tc>
        <w:tc>
          <w:tcPr>
            <w:tcW w:w="0" w:type="auto"/>
            <w:vAlign w:val="center"/>
            <w:hideMark/>
          </w:tcPr>
          <w:p w14:paraId="640D41C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18.87</w:t>
            </w:r>
          </w:p>
        </w:tc>
        <w:tc>
          <w:tcPr>
            <w:tcW w:w="0" w:type="auto"/>
            <w:vAlign w:val="center"/>
            <w:hideMark/>
          </w:tcPr>
          <w:p w14:paraId="6BA2935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16.52</w:t>
            </w:r>
          </w:p>
        </w:tc>
        <w:tc>
          <w:tcPr>
            <w:tcW w:w="0" w:type="auto"/>
            <w:noWrap/>
            <w:vAlign w:val="center"/>
            <w:hideMark/>
          </w:tcPr>
          <w:p w14:paraId="56FB551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60989.01</w:t>
            </w:r>
          </w:p>
        </w:tc>
        <w:tc>
          <w:tcPr>
            <w:tcW w:w="0" w:type="auto"/>
            <w:noWrap/>
            <w:vAlign w:val="center"/>
            <w:hideMark/>
          </w:tcPr>
          <w:p w14:paraId="02FBF6C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4.93</w:t>
            </w:r>
          </w:p>
        </w:tc>
      </w:tr>
      <w:tr w:rsidR="00EA38DE" w:rsidRPr="00EA38DE" w14:paraId="26A72D9B" w14:textId="77777777" w:rsidTr="009501B5">
        <w:trPr>
          <w:trHeight w:val="144"/>
        </w:trPr>
        <w:tc>
          <w:tcPr>
            <w:tcW w:w="0" w:type="auto"/>
            <w:noWrap/>
            <w:vAlign w:val="center"/>
            <w:hideMark/>
          </w:tcPr>
          <w:p w14:paraId="51CFA68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2002</w:t>
            </w:r>
          </w:p>
        </w:tc>
        <w:tc>
          <w:tcPr>
            <w:tcW w:w="0" w:type="auto"/>
            <w:noWrap/>
            <w:vAlign w:val="center"/>
            <w:hideMark/>
          </w:tcPr>
          <w:p w14:paraId="2633D16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476544</w:t>
            </w:r>
          </w:p>
        </w:tc>
        <w:tc>
          <w:tcPr>
            <w:tcW w:w="0" w:type="auto"/>
            <w:noWrap/>
            <w:vAlign w:val="center"/>
            <w:hideMark/>
          </w:tcPr>
          <w:p w14:paraId="2CF404E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24398</w:t>
            </w:r>
          </w:p>
        </w:tc>
        <w:tc>
          <w:tcPr>
            <w:tcW w:w="0" w:type="auto"/>
            <w:noWrap/>
            <w:vAlign w:val="center"/>
            <w:hideMark/>
          </w:tcPr>
          <w:p w14:paraId="286DC2A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452146</w:t>
            </w:r>
          </w:p>
        </w:tc>
        <w:tc>
          <w:tcPr>
            <w:tcW w:w="0" w:type="auto"/>
            <w:noWrap/>
            <w:vAlign w:val="center"/>
            <w:hideMark/>
          </w:tcPr>
          <w:p w14:paraId="15D1503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42,156</w:t>
            </w:r>
          </w:p>
        </w:tc>
        <w:tc>
          <w:tcPr>
            <w:tcW w:w="0" w:type="auto"/>
            <w:noWrap/>
            <w:vAlign w:val="center"/>
            <w:hideMark/>
          </w:tcPr>
          <w:p w14:paraId="1A00309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3493519.88</w:t>
            </w:r>
          </w:p>
        </w:tc>
        <w:tc>
          <w:tcPr>
            <w:tcW w:w="0" w:type="auto"/>
            <w:noWrap/>
            <w:vAlign w:val="center"/>
            <w:hideMark/>
          </w:tcPr>
          <w:p w14:paraId="1455EBE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1085400</w:t>
            </w:r>
          </w:p>
        </w:tc>
        <w:tc>
          <w:tcPr>
            <w:tcW w:w="0" w:type="auto"/>
            <w:vAlign w:val="center"/>
            <w:hideMark/>
          </w:tcPr>
          <w:p w14:paraId="3F48A45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12.88</w:t>
            </w:r>
          </w:p>
        </w:tc>
        <w:tc>
          <w:tcPr>
            <w:tcW w:w="0" w:type="auto"/>
            <w:vAlign w:val="center"/>
            <w:hideMark/>
          </w:tcPr>
          <w:p w14:paraId="60D63F4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8.5</w:t>
            </w:r>
          </w:p>
        </w:tc>
        <w:tc>
          <w:tcPr>
            <w:tcW w:w="0" w:type="auto"/>
            <w:noWrap/>
            <w:vAlign w:val="center"/>
            <w:hideMark/>
          </w:tcPr>
          <w:p w14:paraId="1646692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62279.32</w:t>
            </w:r>
          </w:p>
        </w:tc>
        <w:tc>
          <w:tcPr>
            <w:tcW w:w="0" w:type="auto"/>
            <w:noWrap/>
            <w:vAlign w:val="center"/>
            <w:hideMark/>
          </w:tcPr>
          <w:p w14:paraId="263DA9C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5.51</w:t>
            </w:r>
          </w:p>
        </w:tc>
      </w:tr>
      <w:tr w:rsidR="00EA38DE" w:rsidRPr="00EA38DE" w14:paraId="4686C88B" w14:textId="77777777" w:rsidTr="009501B5">
        <w:trPr>
          <w:trHeight w:val="144"/>
        </w:trPr>
        <w:tc>
          <w:tcPr>
            <w:tcW w:w="0" w:type="auto"/>
            <w:noWrap/>
            <w:vAlign w:val="center"/>
            <w:hideMark/>
          </w:tcPr>
          <w:p w14:paraId="768D65E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2003</w:t>
            </w:r>
          </w:p>
        </w:tc>
        <w:tc>
          <w:tcPr>
            <w:tcW w:w="0" w:type="auto"/>
            <w:noWrap/>
            <w:vAlign w:val="center"/>
            <w:hideMark/>
          </w:tcPr>
          <w:p w14:paraId="298A490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511719</w:t>
            </w:r>
          </w:p>
        </w:tc>
        <w:tc>
          <w:tcPr>
            <w:tcW w:w="0" w:type="auto"/>
            <w:noWrap/>
            <w:vAlign w:val="center"/>
            <w:hideMark/>
          </w:tcPr>
          <w:p w14:paraId="39202E6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30663</w:t>
            </w:r>
          </w:p>
        </w:tc>
        <w:tc>
          <w:tcPr>
            <w:tcW w:w="0" w:type="auto"/>
            <w:noWrap/>
            <w:vAlign w:val="center"/>
            <w:hideMark/>
          </w:tcPr>
          <w:p w14:paraId="22A0898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481056</w:t>
            </w:r>
          </w:p>
        </w:tc>
        <w:tc>
          <w:tcPr>
            <w:tcW w:w="0" w:type="auto"/>
            <w:noWrap/>
            <w:vAlign w:val="center"/>
            <w:hideMark/>
          </w:tcPr>
          <w:p w14:paraId="03C983D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56,400</w:t>
            </w:r>
          </w:p>
        </w:tc>
        <w:tc>
          <w:tcPr>
            <w:tcW w:w="0" w:type="auto"/>
            <w:noWrap/>
            <w:vAlign w:val="center"/>
            <w:hideMark/>
          </w:tcPr>
          <w:p w14:paraId="64D2DF7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3500453.94</w:t>
            </w:r>
          </w:p>
        </w:tc>
        <w:tc>
          <w:tcPr>
            <w:tcW w:w="0" w:type="auto"/>
            <w:noWrap/>
            <w:vAlign w:val="center"/>
            <w:hideMark/>
          </w:tcPr>
          <w:p w14:paraId="08D3995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1093255</w:t>
            </w:r>
          </w:p>
        </w:tc>
        <w:tc>
          <w:tcPr>
            <w:tcW w:w="0" w:type="auto"/>
            <w:vAlign w:val="center"/>
            <w:hideMark/>
          </w:tcPr>
          <w:p w14:paraId="38AE98E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14.03</w:t>
            </w:r>
          </w:p>
        </w:tc>
        <w:tc>
          <w:tcPr>
            <w:tcW w:w="0" w:type="auto"/>
            <w:vAlign w:val="center"/>
            <w:hideMark/>
          </w:tcPr>
          <w:p w14:paraId="1D2C271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9.5</w:t>
            </w:r>
          </w:p>
        </w:tc>
        <w:tc>
          <w:tcPr>
            <w:tcW w:w="0" w:type="auto"/>
            <w:noWrap/>
            <w:vAlign w:val="center"/>
            <w:hideMark/>
          </w:tcPr>
          <w:p w14:paraId="41E4630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63804.73</w:t>
            </w:r>
          </w:p>
        </w:tc>
        <w:tc>
          <w:tcPr>
            <w:tcW w:w="0" w:type="auto"/>
            <w:noWrap/>
            <w:vAlign w:val="center"/>
            <w:hideMark/>
          </w:tcPr>
          <w:p w14:paraId="71B84D9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5.61</w:t>
            </w:r>
          </w:p>
        </w:tc>
      </w:tr>
      <w:tr w:rsidR="00EA38DE" w:rsidRPr="00EA38DE" w14:paraId="6ECBE57E" w14:textId="77777777" w:rsidTr="009501B5">
        <w:trPr>
          <w:trHeight w:val="144"/>
        </w:trPr>
        <w:tc>
          <w:tcPr>
            <w:tcW w:w="0" w:type="auto"/>
            <w:noWrap/>
            <w:vAlign w:val="center"/>
            <w:hideMark/>
          </w:tcPr>
          <w:p w14:paraId="3BC8590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2004</w:t>
            </w:r>
          </w:p>
        </w:tc>
        <w:tc>
          <w:tcPr>
            <w:tcW w:w="0" w:type="auto"/>
            <w:noWrap/>
            <w:vAlign w:val="center"/>
            <w:hideMark/>
          </w:tcPr>
          <w:p w14:paraId="100C6E4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505839</w:t>
            </w:r>
          </w:p>
        </w:tc>
        <w:tc>
          <w:tcPr>
            <w:tcW w:w="0" w:type="auto"/>
            <w:noWrap/>
            <w:vAlign w:val="center"/>
            <w:hideMark/>
          </w:tcPr>
          <w:p w14:paraId="47EEB87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30677</w:t>
            </w:r>
          </w:p>
        </w:tc>
        <w:tc>
          <w:tcPr>
            <w:tcW w:w="0" w:type="auto"/>
            <w:noWrap/>
            <w:vAlign w:val="center"/>
            <w:hideMark/>
          </w:tcPr>
          <w:p w14:paraId="2C27629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475162</w:t>
            </w:r>
          </w:p>
        </w:tc>
        <w:tc>
          <w:tcPr>
            <w:tcW w:w="0" w:type="auto"/>
            <w:noWrap/>
            <w:vAlign w:val="center"/>
            <w:hideMark/>
          </w:tcPr>
          <w:p w14:paraId="7DFDAE3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49,200</w:t>
            </w:r>
          </w:p>
        </w:tc>
        <w:tc>
          <w:tcPr>
            <w:tcW w:w="0" w:type="auto"/>
            <w:noWrap/>
            <w:vAlign w:val="center"/>
            <w:hideMark/>
          </w:tcPr>
          <w:p w14:paraId="0810734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3654740.00</w:t>
            </w:r>
          </w:p>
        </w:tc>
        <w:tc>
          <w:tcPr>
            <w:tcW w:w="0" w:type="auto"/>
            <w:noWrap/>
            <w:vAlign w:val="center"/>
            <w:hideMark/>
          </w:tcPr>
          <w:p w14:paraId="7A225C5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1094000</w:t>
            </w:r>
          </w:p>
        </w:tc>
        <w:tc>
          <w:tcPr>
            <w:tcW w:w="0" w:type="auto"/>
            <w:vAlign w:val="center"/>
            <w:hideMark/>
          </w:tcPr>
          <w:p w14:paraId="133DDD7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w:t>
            </w:r>
          </w:p>
        </w:tc>
        <w:tc>
          <w:tcPr>
            <w:tcW w:w="0" w:type="auto"/>
            <w:vAlign w:val="center"/>
            <w:hideMark/>
          </w:tcPr>
          <w:p w14:paraId="4764C52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13.4</w:t>
            </w:r>
          </w:p>
        </w:tc>
        <w:tc>
          <w:tcPr>
            <w:tcW w:w="0" w:type="auto"/>
            <w:noWrap/>
            <w:vAlign w:val="center"/>
            <w:hideMark/>
          </w:tcPr>
          <w:p w14:paraId="7FECADE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65310.72</w:t>
            </w:r>
          </w:p>
        </w:tc>
        <w:tc>
          <w:tcPr>
            <w:tcW w:w="0" w:type="auto"/>
            <w:noWrap/>
            <w:vAlign w:val="center"/>
            <w:hideMark/>
          </w:tcPr>
          <w:p w14:paraId="35D95CD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5.15</w:t>
            </w:r>
          </w:p>
        </w:tc>
      </w:tr>
      <w:tr w:rsidR="00EA38DE" w:rsidRPr="00EA38DE" w14:paraId="229A8908" w14:textId="77777777" w:rsidTr="009501B5">
        <w:trPr>
          <w:trHeight w:val="144"/>
        </w:trPr>
        <w:tc>
          <w:tcPr>
            <w:tcW w:w="0" w:type="auto"/>
            <w:noWrap/>
            <w:vAlign w:val="center"/>
            <w:hideMark/>
          </w:tcPr>
          <w:p w14:paraId="1F300BD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2005</w:t>
            </w:r>
          </w:p>
        </w:tc>
        <w:tc>
          <w:tcPr>
            <w:tcW w:w="0" w:type="auto"/>
            <w:noWrap/>
            <w:vAlign w:val="center"/>
            <w:hideMark/>
          </w:tcPr>
          <w:p w14:paraId="1143BEC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509201</w:t>
            </w:r>
          </w:p>
        </w:tc>
        <w:tc>
          <w:tcPr>
            <w:tcW w:w="0" w:type="auto"/>
            <w:noWrap/>
            <w:vAlign w:val="center"/>
            <w:hideMark/>
          </w:tcPr>
          <w:p w14:paraId="6EFAB98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43950</w:t>
            </w:r>
          </w:p>
        </w:tc>
        <w:tc>
          <w:tcPr>
            <w:tcW w:w="0" w:type="auto"/>
            <w:noWrap/>
            <w:vAlign w:val="center"/>
            <w:hideMark/>
          </w:tcPr>
          <w:p w14:paraId="23AD273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465251</w:t>
            </w:r>
          </w:p>
        </w:tc>
        <w:tc>
          <w:tcPr>
            <w:tcW w:w="0" w:type="auto"/>
            <w:noWrap/>
            <w:vAlign w:val="center"/>
            <w:hideMark/>
          </w:tcPr>
          <w:p w14:paraId="44C676D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16,948</w:t>
            </w:r>
          </w:p>
        </w:tc>
        <w:tc>
          <w:tcPr>
            <w:tcW w:w="0" w:type="auto"/>
            <w:noWrap/>
            <w:vAlign w:val="center"/>
            <w:hideMark/>
          </w:tcPr>
          <w:p w14:paraId="0CC92A3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3754520.09</w:t>
            </w:r>
          </w:p>
        </w:tc>
        <w:tc>
          <w:tcPr>
            <w:tcW w:w="0" w:type="auto"/>
            <w:noWrap/>
            <w:vAlign w:val="center"/>
            <w:hideMark/>
          </w:tcPr>
          <w:p w14:paraId="1C651DE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1105500</w:t>
            </w:r>
          </w:p>
        </w:tc>
        <w:tc>
          <w:tcPr>
            <w:tcW w:w="0" w:type="auto"/>
            <w:vAlign w:val="center"/>
            <w:hideMark/>
          </w:tcPr>
          <w:p w14:paraId="6E38066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17.86</w:t>
            </w:r>
          </w:p>
        </w:tc>
        <w:tc>
          <w:tcPr>
            <w:tcW w:w="0" w:type="auto"/>
            <w:vAlign w:val="center"/>
            <w:hideMark/>
          </w:tcPr>
          <w:p w14:paraId="765B343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w:t>
            </w:r>
          </w:p>
        </w:tc>
        <w:tc>
          <w:tcPr>
            <w:tcW w:w="0" w:type="auto"/>
            <w:noWrap/>
            <w:vAlign w:val="center"/>
            <w:hideMark/>
          </w:tcPr>
          <w:p w14:paraId="23EF6A9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66926.19</w:t>
            </w:r>
          </w:p>
        </w:tc>
        <w:tc>
          <w:tcPr>
            <w:tcW w:w="0" w:type="auto"/>
            <w:noWrap/>
            <w:vAlign w:val="center"/>
            <w:hideMark/>
          </w:tcPr>
          <w:p w14:paraId="32D7F9E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5.67</w:t>
            </w:r>
          </w:p>
        </w:tc>
      </w:tr>
      <w:tr w:rsidR="00EA38DE" w:rsidRPr="00EA38DE" w14:paraId="4C62B707" w14:textId="77777777" w:rsidTr="009501B5">
        <w:trPr>
          <w:trHeight w:val="144"/>
        </w:trPr>
        <w:tc>
          <w:tcPr>
            <w:tcW w:w="0" w:type="auto"/>
            <w:noWrap/>
            <w:vAlign w:val="center"/>
            <w:hideMark/>
          </w:tcPr>
          <w:p w14:paraId="1D87AC4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2006</w:t>
            </w:r>
          </w:p>
        </w:tc>
        <w:tc>
          <w:tcPr>
            <w:tcW w:w="0" w:type="auto"/>
            <w:noWrap/>
            <w:vAlign w:val="center"/>
            <w:hideMark/>
          </w:tcPr>
          <w:p w14:paraId="78E91EB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579537</w:t>
            </w:r>
          </w:p>
        </w:tc>
        <w:tc>
          <w:tcPr>
            <w:tcW w:w="0" w:type="auto"/>
            <w:noWrap/>
            <w:vAlign w:val="center"/>
            <w:hideMark/>
          </w:tcPr>
          <w:p w14:paraId="224C6D8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56355</w:t>
            </w:r>
          </w:p>
        </w:tc>
        <w:tc>
          <w:tcPr>
            <w:tcW w:w="0" w:type="auto"/>
            <w:noWrap/>
            <w:vAlign w:val="center"/>
            <w:hideMark/>
          </w:tcPr>
          <w:p w14:paraId="6911E70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523182</w:t>
            </w:r>
          </w:p>
        </w:tc>
        <w:tc>
          <w:tcPr>
            <w:tcW w:w="0" w:type="auto"/>
            <w:noWrap/>
            <w:vAlign w:val="center"/>
            <w:hideMark/>
          </w:tcPr>
          <w:p w14:paraId="6ED8A00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62,000</w:t>
            </w:r>
          </w:p>
        </w:tc>
        <w:tc>
          <w:tcPr>
            <w:tcW w:w="0" w:type="auto"/>
            <w:noWrap/>
            <w:vAlign w:val="center"/>
            <w:hideMark/>
          </w:tcPr>
          <w:p w14:paraId="077F238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3750152.40</w:t>
            </w:r>
          </w:p>
        </w:tc>
        <w:tc>
          <w:tcPr>
            <w:tcW w:w="0" w:type="auto"/>
            <w:noWrap/>
            <w:vAlign w:val="center"/>
            <w:hideMark/>
          </w:tcPr>
          <w:p w14:paraId="3381B6F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1123650</w:t>
            </w:r>
          </w:p>
        </w:tc>
        <w:tc>
          <w:tcPr>
            <w:tcW w:w="0" w:type="auto"/>
            <w:vAlign w:val="center"/>
            <w:hideMark/>
          </w:tcPr>
          <w:p w14:paraId="12544CC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8.23</w:t>
            </w:r>
          </w:p>
        </w:tc>
        <w:tc>
          <w:tcPr>
            <w:tcW w:w="0" w:type="auto"/>
            <w:vAlign w:val="center"/>
            <w:hideMark/>
          </w:tcPr>
          <w:p w14:paraId="4711AF6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-2.4</w:t>
            </w:r>
          </w:p>
        </w:tc>
        <w:tc>
          <w:tcPr>
            <w:tcW w:w="0" w:type="auto"/>
            <w:noWrap/>
            <w:vAlign w:val="center"/>
            <w:hideMark/>
          </w:tcPr>
          <w:p w14:paraId="0C83D99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68566.95</w:t>
            </w:r>
          </w:p>
        </w:tc>
        <w:tc>
          <w:tcPr>
            <w:tcW w:w="0" w:type="auto"/>
            <w:noWrap/>
            <w:vAlign w:val="center"/>
            <w:hideMark/>
          </w:tcPr>
          <w:p w14:paraId="393F4C6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5.68</w:t>
            </w:r>
          </w:p>
        </w:tc>
      </w:tr>
      <w:tr w:rsidR="00EA38DE" w:rsidRPr="00EA38DE" w14:paraId="0CBFC048" w14:textId="77777777" w:rsidTr="009501B5">
        <w:trPr>
          <w:trHeight w:val="144"/>
        </w:trPr>
        <w:tc>
          <w:tcPr>
            <w:tcW w:w="0" w:type="auto"/>
            <w:noWrap/>
            <w:vAlign w:val="center"/>
            <w:hideMark/>
          </w:tcPr>
          <w:p w14:paraId="0214567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2007</w:t>
            </w:r>
          </w:p>
        </w:tc>
        <w:tc>
          <w:tcPr>
            <w:tcW w:w="0" w:type="auto"/>
            <w:noWrap/>
            <w:vAlign w:val="center"/>
            <w:hideMark/>
          </w:tcPr>
          <w:p w14:paraId="6145112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636901</w:t>
            </w:r>
          </w:p>
        </w:tc>
        <w:tc>
          <w:tcPr>
            <w:tcW w:w="0" w:type="auto"/>
            <w:noWrap/>
            <w:vAlign w:val="center"/>
            <w:hideMark/>
          </w:tcPr>
          <w:p w14:paraId="31AFF8C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84578</w:t>
            </w:r>
          </w:p>
        </w:tc>
        <w:tc>
          <w:tcPr>
            <w:tcW w:w="0" w:type="auto"/>
            <w:noWrap/>
            <w:vAlign w:val="center"/>
            <w:hideMark/>
          </w:tcPr>
          <w:p w14:paraId="46E80BE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552323</w:t>
            </w:r>
          </w:p>
        </w:tc>
        <w:tc>
          <w:tcPr>
            <w:tcW w:w="0" w:type="auto"/>
            <w:noWrap/>
            <w:vAlign w:val="center"/>
            <w:hideMark/>
          </w:tcPr>
          <w:p w14:paraId="4F1DE22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42,274</w:t>
            </w:r>
          </w:p>
        </w:tc>
        <w:tc>
          <w:tcPr>
            <w:tcW w:w="0" w:type="auto"/>
            <w:noWrap/>
            <w:vAlign w:val="center"/>
            <w:hideMark/>
          </w:tcPr>
          <w:p w14:paraId="4878E8D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3804030.64</w:t>
            </w:r>
          </w:p>
        </w:tc>
        <w:tc>
          <w:tcPr>
            <w:tcW w:w="0" w:type="auto"/>
            <w:noWrap/>
            <w:vAlign w:val="center"/>
            <w:hideMark/>
          </w:tcPr>
          <w:p w14:paraId="6188C28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1125875</w:t>
            </w:r>
          </w:p>
        </w:tc>
        <w:tc>
          <w:tcPr>
            <w:tcW w:w="0" w:type="auto"/>
            <w:vAlign w:val="center"/>
            <w:hideMark/>
          </w:tcPr>
          <w:p w14:paraId="569B0FF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5.39</w:t>
            </w:r>
          </w:p>
        </w:tc>
        <w:tc>
          <w:tcPr>
            <w:tcW w:w="0" w:type="auto"/>
            <w:vAlign w:val="center"/>
            <w:hideMark/>
          </w:tcPr>
          <w:p w14:paraId="15BFE0D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5.05</w:t>
            </w:r>
          </w:p>
        </w:tc>
        <w:tc>
          <w:tcPr>
            <w:tcW w:w="0" w:type="auto"/>
            <w:noWrap/>
            <w:vAlign w:val="center"/>
            <w:hideMark/>
          </w:tcPr>
          <w:p w14:paraId="7D21E38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70237.58</w:t>
            </w:r>
          </w:p>
        </w:tc>
        <w:tc>
          <w:tcPr>
            <w:tcW w:w="0" w:type="auto"/>
            <w:noWrap/>
            <w:vAlign w:val="center"/>
            <w:hideMark/>
          </w:tcPr>
          <w:p w14:paraId="1822DE8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6.4</w:t>
            </w:r>
          </w:p>
        </w:tc>
      </w:tr>
      <w:tr w:rsidR="00EA38DE" w:rsidRPr="00EA38DE" w14:paraId="5918FB2A" w14:textId="77777777" w:rsidTr="009501B5">
        <w:trPr>
          <w:trHeight w:val="144"/>
        </w:trPr>
        <w:tc>
          <w:tcPr>
            <w:tcW w:w="0" w:type="auto"/>
            <w:noWrap/>
            <w:vAlign w:val="center"/>
            <w:hideMark/>
          </w:tcPr>
          <w:p w14:paraId="3340387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2008</w:t>
            </w:r>
          </w:p>
        </w:tc>
        <w:tc>
          <w:tcPr>
            <w:tcW w:w="0" w:type="auto"/>
            <w:noWrap/>
            <w:vAlign w:val="center"/>
            <w:hideMark/>
          </w:tcPr>
          <w:p w14:paraId="41C2EA7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615507</w:t>
            </w:r>
          </w:p>
        </w:tc>
        <w:tc>
          <w:tcPr>
            <w:tcW w:w="0" w:type="auto"/>
            <w:noWrap/>
            <w:vAlign w:val="center"/>
            <w:hideMark/>
          </w:tcPr>
          <w:p w14:paraId="6DA9009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85087</w:t>
            </w:r>
          </w:p>
        </w:tc>
        <w:tc>
          <w:tcPr>
            <w:tcW w:w="0" w:type="auto"/>
            <w:noWrap/>
            <w:vAlign w:val="center"/>
            <w:hideMark/>
          </w:tcPr>
          <w:p w14:paraId="078961C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530420</w:t>
            </w:r>
          </w:p>
        </w:tc>
        <w:tc>
          <w:tcPr>
            <w:tcW w:w="0" w:type="auto"/>
            <w:noWrap/>
            <w:vAlign w:val="center"/>
            <w:hideMark/>
          </w:tcPr>
          <w:p w14:paraId="3C78C19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87,000</w:t>
            </w:r>
          </w:p>
        </w:tc>
        <w:tc>
          <w:tcPr>
            <w:tcW w:w="0" w:type="auto"/>
            <w:noWrap/>
            <w:vAlign w:val="center"/>
            <w:hideMark/>
          </w:tcPr>
          <w:p w14:paraId="7FA6D34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3857908.87</w:t>
            </w:r>
          </w:p>
        </w:tc>
        <w:tc>
          <w:tcPr>
            <w:tcW w:w="0" w:type="auto"/>
            <w:noWrap/>
            <w:vAlign w:val="center"/>
            <w:hideMark/>
          </w:tcPr>
          <w:p w14:paraId="3E054C4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1136545</w:t>
            </w:r>
          </w:p>
        </w:tc>
        <w:tc>
          <w:tcPr>
            <w:tcW w:w="0" w:type="auto"/>
            <w:vAlign w:val="center"/>
            <w:hideMark/>
          </w:tcPr>
          <w:p w14:paraId="6C4CEE4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11.58</w:t>
            </w:r>
          </w:p>
        </w:tc>
        <w:tc>
          <w:tcPr>
            <w:tcW w:w="0" w:type="auto"/>
            <w:vAlign w:val="center"/>
            <w:hideMark/>
          </w:tcPr>
          <w:p w14:paraId="5E5DFE7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-1.68</w:t>
            </w:r>
          </w:p>
        </w:tc>
        <w:tc>
          <w:tcPr>
            <w:tcW w:w="0" w:type="auto"/>
            <w:noWrap/>
            <w:vAlign w:val="center"/>
            <w:hideMark/>
          </w:tcPr>
          <w:p w14:paraId="56F92CC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71955.32</w:t>
            </w:r>
          </w:p>
        </w:tc>
        <w:tc>
          <w:tcPr>
            <w:tcW w:w="0" w:type="auto"/>
            <w:noWrap/>
            <w:vAlign w:val="center"/>
            <w:hideMark/>
          </w:tcPr>
          <w:p w14:paraId="30376B3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6.35</w:t>
            </w:r>
          </w:p>
        </w:tc>
      </w:tr>
      <w:tr w:rsidR="00EA38DE" w:rsidRPr="00EA38DE" w14:paraId="6BC20B1C" w14:textId="77777777" w:rsidTr="009501B5">
        <w:trPr>
          <w:trHeight w:val="144"/>
        </w:trPr>
        <w:tc>
          <w:tcPr>
            <w:tcW w:w="0" w:type="auto"/>
            <w:noWrap/>
            <w:vAlign w:val="center"/>
            <w:hideMark/>
          </w:tcPr>
          <w:p w14:paraId="2E68607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2009</w:t>
            </w:r>
          </w:p>
        </w:tc>
        <w:tc>
          <w:tcPr>
            <w:tcW w:w="0" w:type="auto"/>
            <w:noWrap/>
            <w:vAlign w:val="center"/>
            <w:hideMark/>
          </w:tcPr>
          <w:p w14:paraId="75495F6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744575</w:t>
            </w:r>
          </w:p>
        </w:tc>
        <w:tc>
          <w:tcPr>
            <w:tcW w:w="0" w:type="auto"/>
            <w:noWrap/>
            <w:vAlign w:val="center"/>
            <w:hideMark/>
          </w:tcPr>
          <w:p w14:paraId="1ADE497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143207</w:t>
            </w:r>
          </w:p>
        </w:tc>
        <w:tc>
          <w:tcPr>
            <w:tcW w:w="0" w:type="auto"/>
            <w:noWrap/>
            <w:vAlign w:val="center"/>
            <w:hideMark/>
          </w:tcPr>
          <w:p w14:paraId="5CB519B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601368</w:t>
            </w:r>
          </w:p>
        </w:tc>
        <w:tc>
          <w:tcPr>
            <w:tcW w:w="0" w:type="auto"/>
            <w:noWrap/>
            <w:vAlign w:val="center"/>
            <w:hideMark/>
          </w:tcPr>
          <w:p w14:paraId="2AA795B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91,000</w:t>
            </w:r>
          </w:p>
        </w:tc>
        <w:tc>
          <w:tcPr>
            <w:tcW w:w="0" w:type="auto"/>
            <w:noWrap/>
            <w:vAlign w:val="center"/>
            <w:hideMark/>
          </w:tcPr>
          <w:p w14:paraId="7A281F7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3911787.11</w:t>
            </w:r>
          </w:p>
        </w:tc>
        <w:tc>
          <w:tcPr>
            <w:tcW w:w="0" w:type="auto"/>
            <w:noWrap/>
            <w:vAlign w:val="center"/>
            <w:hideMark/>
          </w:tcPr>
          <w:p w14:paraId="704D089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1145250</w:t>
            </w:r>
          </w:p>
        </w:tc>
        <w:tc>
          <w:tcPr>
            <w:tcW w:w="0" w:type="auto"/>
            <w:vAlign w:val="center"/>
            <w:hideMark/>
          </w:tcPr>
          <w:p w14:paraId="564EED8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12.54</w:t>
            </w:r>
          </w:p>
        </w:tc>
        <w:tc>
          <w:tcPr>
            <w:tcW w:w="0" w:type="auto"/>
            <w:vAlign w:val="center"/>
            <w:hideMark/>
          </w:tcPr>
          <w:p w14:paraId="2CFA62A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0.23</w:t>
            </w:r>
          </w:p>
        </w:tc>
        <w:tc>
          <w:tcPr>
            <w:tcW w:w="0" w:type="auto"/>
            <w:noWrap/>
            <w:vAlign w:val="center"/>
            <w:hideMark/>
          </w:tcPr>
          <w:p w14:paraId="1CA8678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73675.74</w:t>
            </w:r>
          </w:p>
        </w:tc>
        <w:tc>
          <w:tcPr>
            <w:tcW w:w="0" w:type="auto"/>
            <w:noWrap/>
            <w:vAlign w:val="center"/>
            <w:hideMark/>
          </w:tcPr>
          <w:p w14:paraId="0397A5D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5.58</w:t>
            </w:r>
          </w:p>
        </w:tc>
      </w:tr>
      <w:tr w:rsidR="00EA38DE" w:rsidRPr="00EA38DE" w14:paraId="74A217F8" w14:textId="77777777" w:rsidTr="009501B5">
        <w:trPr>
          <w:trHeight w:val="144"/>
        </w:trPr>
        <w:tc>
          <w:tcPr>
            <w:tcW w:w="0" w:type="auto"/>
            <w:noWrap/>
            <w:vAlign w:val="center"/>
            <w:hideMark/>
          </w:tcPr>
          <w:p w14:paraId="0E31217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2010</w:t>
            </w:r>
          </w:p>
        </w:tc>
        <w:tc>
          <w:tcPr>
            <w:tcW w:w="0" w:type="auto"/>
            <w:noWrap/>
            <w:vAlign w:val="center"/>
            <w:hideMark/>
          </w:tcPr>
          <w:p w14:paraId="0DDE9D0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751006</w:t>
            </w:r>
          </w:p>
        </w:tc>
        <w:tc>
          <w:tcPr>
            <w:tcW w:w="0" w:type="auto"/>
            <w:noWrap/>
            <w:vAlign w:val="center"/>
            <w:hideMark/>
          </w:tcPr>
          <w:p w14:paraId="303B604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152796</w:t>
            </w:r>
          </w:p>
        </w:tc>
        <w:tc>
          <w:tcPr>
            <w:tcW w:w="0" w:type="auto"/>
            <w:noWrap/>
            <w:vAlign w:val="center"/>
            <w:hideMark/>
          </w:tcPr>
          <w:p w14:paraId="70EA316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598210</w:t>
            </w:r>
          </w:p>
        </w:tc>
        <w:tc>
          <w:tcPr>
            <w:tcW w:w="0" w:type="auto"/>
            <w:noWrap/>
            <w:vAlign w:val="center"/>
            <w:hideMark/>
          </w:tcPr>
          <w:p w14:paraId="6375340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101,050</w:t>
            </w:r>
          </w:p>
        </w:tc>
        <w:tc>
          <w:tcPr>
            <w:tcW w:w="0" w:type="auto"/>
            <w:noWrap/>
            <w:vAlign w:val="center"/>
            <w:hideMark/>
          </w:tcPr>
          <w:p w14:paraId="225A9A1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3965665.34</w:t>
            </w:r>
          </w:p>
        </w:tc>
        <w:tc>
          <w:tcPr>
            <w:tcW w:w="0" w:type="auto"/>
            <w:noWrap/>
            <w:vAlign w:val="center"/>
            <w:hideMark/>
          </w:tcPr>
          <w:p w14:paraId="08D5FCC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1162000</w:t>
            </w:r>
          </w:p>
        </w:tc>
        <w:tc>
          <w:tcPr>
            <w:tcW w:w="0" w:type="auto"/>
            <w:vAlign w:val="center"/>
            <w:hideMark/>
          </w:tcPr>
          <w:p w14:paraId="144F66B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13.74</w:t>
            </w:r>
          </w:p>
        </w:tc>
        <w:tc>
          <w:tcPr>
            <w:tcW w:w="0" w:type="auto"/>
            <w:vAlign w:val="center"/>
            <w:hideMark/>
          </w:tcPr>
          <w:p w14:paraId="4525319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17.8</w:t>
            </w:r>
          </w:p>
        </w:tc>
        <w:tc>
          <w:tcPr>
            <w:tcW w:w="0" w:type="auto"/>
            <w:noWrap/>
            <w:vAlign w:val="center"/>
            <w:hideMark/>
          </w:tcPr>
          <w:p w14:paraId="3EEC019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75478.33</w:t>
            </w:r>
          </w:p>
        </w:tc>
        <w:tc>
          <w:tcPr>
            <w:tcW w:w="0" w:type="auto"/>
            <w:noWrap/>
            <w:vAlign w:val="center"/>
            <w:hideMark/>
          </w:tcPr>
          <w:p w14:paraId="7F04C26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6.23</w:t>
            </w:r>
          </w:p>
        </w:tc>
      </w:tr>
      <w:tr w:rsidR="00EA38DE" w:rsidRPr="00EA38DE" w14:paraId="7CC7EA95" w14:textId="77777777" w:rsidTr="009501B5">
        <w:trPr>
          <w:trHeight w:val="144"/>
        </w:trPr>
        <w:tc>
          <w:tcPr>
            <w:tcW w:w="0" w:type="auto"/>
            <w:noWrap/>
            <w:vAlign w:val="center"/>
            <w:hideMark/>
          </w:tcPr>
          <w:p w14:paraId="097E745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2011</w:t>
            </w:r>
          </w:p>
        </w:tc>
        <w:tc>
          <w:tcPr>
            <w:tcW w:w="0" w:type="auto"/>
            <w:noWrap/>
            <w:vAlign w:val="center"/>
            <w:hideMark/>
          </w:tcPr>
          <w:p w14:paraId="5342E39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817516</w:t>
            </w:r>
          </w:p>
        </w:tc>
        <w:tc>
          <w:tcPr>
            <w:tcW w:w="0" w:type="auto"/>
            <w:noWrap/>
            <w:vAlign w:val="center"/>
            <w:hideMark/>
          </w:tcPr>
          <w:p w14:paraId="4821B62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200535</w:t>
            </w:r>
          </w:p>
        </w:tc>
        <w:tc>
          <w:tcPr>
            <w:tcW w:w="0" w:type="auto"/>
            <w:noWrap/>
            <w:vAlign w:val="center"/>
            <w:hideMark/>
          </w:tcPr>
          <w:p w14:paraId="5054D22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616981</w:t>
            </w:r>
          </w:p>
        </w:tc>
        <w:tc>
          <w:tcPr>
            <w:tcW w:w="0" w:type="auto"/>
            <w:noWrap/>
            <w:vAlign w:val="center"/>
            <w:hideMark/>
          </w:tcPr>
          <w:p w14:paraId="610EE48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115,020</w:t>
            </w:r>
          </w:p>
        </w:tc>
        <w:tc>
          <w:tcPr>
            <w:tcW w:w="0" w:type="auto"/>
            <w:noWrap/>
            <w:vAlign w:val="center"/>
            <w:hideMark/>
          </w:tcPr>
          <w:p w14:paraId="1362F2E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4019543.57</w:t>
            </w:r>
          </w:p>
        </w:tc>
        <w:tc>
          <w:tcPr>
            <w:tcW w:w="0" w:type="auto"/>
            <w:noWrap/>
            <w:vAlign w:val="center"/>
            <w:hideMark/>
          </w:tcPr>
          <w:p w14:paraId="560C6CA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1456000</w:t>
            </w:r>
          </w:p>
        </w:tc>
        <w:tc>
          <w:tcPr>
            <w:tcW w:w="0" w:type="auto"/>
            <w:vAlign w:val="center"/>
            <w:hideMark/>
          </w:tcPr>
          <w:p w14:paraId="35B1A82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10.83</w:t>
            </w:r>
          </w:p>
        </w:tc>
        <w:tc>
          <w:tcPr>
            <w:tcW w:w="0" w:type="auto"/>
            <w:vAlign w:val="center"/>
            <w:hideMark/>
          </w:tcPr>
          <w:p w14:paraId="7B8D87D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w:t>
            </w:r>
          </w:p>
        </w:tc>
        <w:tc>
          <w:tcPr>
            <w:tcW w:w="0" w:type="auto"/>
            <w:noWrap/>
            <w:vAlign w:val="center"/>
            <w:hideMark/>
          </w:tcPr>
          <w:p w14:paraId="7FA0ED2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77476.48</w:t>
            </w:r>
          </w:p>
        </w:tc>
        <w:tc>
          <w:tcPr>
            <w:tcW w:w="0" w:type="auto"/>
            <w:noWrap/>
            <w:vAlign w:val="center"/>
            <w:hideMark/>
          </w:tcPr>
          <w:p w14:paraId="5BB6542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6.4</w:t>
            </w:r>
          </w:p>
        </w:tc>
      </w:tr>
      <w:tr w:rsidR="00EA38DE" w:rsidRPr="00EA38DE" w14:paraId="0A0129FD" w14:textId="77777777" w:rsidTr="009501B5">
        <w:trPr>
          <w:trHeight w:val="144"/>
        </w:trPr>
        <w:tc>
          <w:tcPr>
            <w:tcW w:w="0" w:type="auto"/>
            <w:noWrap/>
            <w:vAlign w:val="center"/>
            <w:hideMark/>
          </w:tcPr>
          <w:p w14:paraId="1C7F44B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2012</w:t>
            </w:r>
          </w:p>
        </w:tc>
        <w:tc>
          <w:tcPr>
            <w:tcW w:w="0" w:type="auto"/>
            <w:noWrap/>
            <w:vAlign w:val="center"/>
            <w:hideMark/>
          </w:tcPr>
          <w:p w14:paraId="597C4AF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856614</w:t>
            </w:r>
          </w:p>
        </w:tc>
        <w:tc>
          <w:tcPr>
            <w:tcW w:w="0" w:type="auto"/>
            <w:noWrap/>
            <w:vAlign w:val="center"/>
            <w:hideMark/>
          </w:tcPr>
          <w:p w14:paraId="1053E24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221128</w:t>
            </w:r>
          </w:p>
        </w:tc>
        <w:tc>
          <w:tcPr>
            <w:tcW w:w="0" w:type="auto"/>
            <w:noWrap/>
            <w:vAlign w:val="center"/>
            <w:hideMark/>
          </w:tcPr>
          <w:p w14:paraId="7D1DB39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635486</w:t>
            </w:r>
          </w:p>
        </w:tc>
        <w:tc>
          <w:tcPr>
            <w:tcW w:w="0" w:type="auto"/>
            <w:noWrap/>
            <w:vAlign w:val="center"/>
            <w:hideMark/>
          </w:tcPr>
          <w:p w14:paraId="7780496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136,010</w:t>
            </w:r>
          </w:p>
        </w:tc>
        <w:tc>
          <w:tcPr>
            <w:tcW w:w="0" w:type="auto"/>
            <w:noWrap/>
            <w:vAlign w:val="center"/>
            <w:hideMark/>
          </w:tcPr>
          <w:p w14:paraId="0F8BE2B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4073421.81</w:t>
            </w:r>
          </w:p>
        </w:tc>
        <w:tc>
          <w:tcPr>
            <w:tcW w:w="0" w:type="auto"/>
            <w:noWrap/>
            <w:vAlign w:val="center"/>
            <w:hideMark/>
          </w:tcPr>
          <w:p w14:paraId="0484225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1583460</w:t>
            </w:r>
          </w:p>
        </w:tc>
        <w:tc>
          <w:tcPr>
            <w:tcW w:w="0" w:type="auto"/>
            <w:vAlign w:val="center"/>
            <w:hideMark/>
          </w:tcPr>
          <w:p w14:paraId="5C25A05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12.22</w:t>
            </w:r>
          </w:p>
        </w:tc>
        <w:tc>
          <w:tcPr>
            <w:tcW w:w="0" w:type="auto"/>
            <w:vAlign w:val="center"/>
            <w:hideMark/>
          </w:tcPr>
          <w:p w14:paraId="2A843F4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4.2</w:t>
            </w:r>
          </w:p>
        </w:tc>
        <w:tc>
          <w:tcPr>
            <w:tcW w:w="0" w:type="auto"/>
            <w:noWrap/>
            <w:vAlign w:val="center"/>
            <w:hideMark/>
          </w:tcPr>
          <w:p w14:paraId="2E7C90A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79576.56</w:t>
            </w:r>
          </w:p>
        </w:tc>
        <w:tc>
          <w:tcPr>
            <w:tcW w:w="0" w:type="auto"/>
            <w:noWrap/>
            <w:vAlign w:val="center"/>
            <w:hideMark/>
          </w:tcPr>
          <w:p w14:paraId="7BC6859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6.48</w:t>
            </w:r>
          </w:p>
        </w:tc>
      </w:tr>
      <w:tr w:rsidR="00EA38DE" w:rsidRPr="00EA38DE" w14:paraId="3D9F7A50" w14:textId="77777777" w:rsidTr="009501B5">
        <w:trPr>
          <w:trHeight w:val="144"/>
        </w:trPr>
        <w:tc>
          <w:tcPr>
            <w:tcW w:w="0" w:type="auto"/>
            <w:noWrap/>
            <w:vAlign w:val="center"/>
            <w:hideMark/>
          </w:tcPr>
          <w:p w14:paraId="69B480E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2013</w:t>
            </w:r>
          </w:p>
        </w:tc>
        <w:tc>
          <w:tcPr>
            <w:tcW w:w="0" w:type="auto"/>
            <w:noWrap/>
            <w:vAlign w:val="center"/>
            <w:hideMark/>
          </w:tcPr>
          <w:p w14:paraId="4CC1643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922652</w:t>
            </w:r>
          </w:p>
        </w:tc>
        <w:tc>
          <w:tcPr>
            <w:tcW w:w="0" w:type="auto"/>
            <w:noWrap/>
            <w:vAlign w:val="center"/>
            <w:hideMark/>
          </w:tcPr>
          <w:p w14:paraId="322EBDC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253898</w:t>
            </w:r>
          </w:p>
        </w:tc>
        <w:tc>
          <w:tcPr>
            <w:tcW w:w="0" w:type="auto"/>
            <w:noWrap/>
            <w:vAlign w:val="center"/>
            <w:hideMark/>
          </w:tcPr>
          <w:p w14:paraId="4633DB7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668754</w:t>
            </w:r>
          </w:p>
        </w:tc>
        <w:tc>
          <w:tcPr>
            <w:tcW w:w="0" w:type="auto"/>
            <w:noWrap/>
            <w:vAlign w:val="center"/>
            <w:hideMark/>
          </w:tcPr>
          <w:p w14:paraId="4E77C32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157,310</w:t>
            </w:r>
          </w:p>
        </w:tc>
        <w:tc>
          <w:tcPr>
            <w:tcW w:w="0" w:type="auto"/>
            <w:noWrap/>
            <w:vAlign w:val="center"/>
            <w:hideMark/>
          </w:tcPr>
          <w:p w14:paraId="6386248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4127300.04</w:t>
            </w:r>
          </w:p>
        </w:tc>
        <w:tc>
          <w:tcPr>
            <w:tcW w:w="0" w:type="auto"/>
            <w:noWrap/>
            <w:vAlign w:val="center"/>
            <w:hideMark/>
          </w:tcPr>
          <w:p w14:paraId="2C3430D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1696000</w:t>
            </w:r>
          </w:p>
        </w:tc>
        <w:tc>
          <w:tcPr>
            <w:tcW w:w="0" w:type="auto"/>
            <w:vAlign w:val="center"/>
            <w:hideMark/>
          </w:tcPr>
          <w:p w14:paraId="6941EA1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8.5</w:t>
            </w:r>
          </w:p>
        </w:tc>
        <w:tc>
          <w:tcPr>
            <w:tcW w:w="0" w:type="auto"/>
            <w:vAlign w:val="center"/>
            <w:hideMark/>
          </w:tcPr>
          <w:p w14:paraId="20BD58B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-0.4</w:t>
            </w:r>
          </w:p>
        </w:tc>
        <w:tc>
          <w:tcPr>
            <w:tcW w:w="0" w:type="auto"/>
            <w:noWrap/>
            <w:vAlign w:val="center"/>
            <w:hideMark/>
          </w:tcPr>
          <w:p w14:paraId="1B01CD8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81609.8</w:t>
            </w:r>
          </w:p>
        </w:tc>
        <w:tc>
          <w:tcPr>
            <w:tcW w:w="0" w:type="auto"/>
            <w:noWrap/>
            <w:vAlign w:val="center"/>
            <w:hideMark/>
          </w:tcPr>
          <w:p w14:paraId="2F35CA5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6.57</w:t>
            </w:r>
          </w:p>
        </w:tc>
      </w:tr>
      <w:tr w:rsidR="00EA38DE" w:rsidRPr="00EA38DE" w14:paraId="46FB0BB0" w14:textId="77777777" w:rsidTr="009501B5">
        <w:trPr>
          <w:trHeight w:val="144"/>
        </w:trPr>
        <w:tc>
          <w:tcPr>
            <w:tcW w:w="0" w:type="auto"/>
            <w:noWrap/>
            <w:vAlign w:val="center"/>
            <w:hideMark/>
          </w:tcPr>
          <w:p w14:paraId="2A2436B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2014</w:t>
            </w:r>
          </w:p>
        </w:tc>
        <w:tc>
          <w:tcPr>
            <w:tcW w:w="0" w:type="auto"/>
            <w:noWrap/>
            <w:vAlign w:val="center"/>
            <w:hideMark/>
          </w:tcPr>
          <w:p w14:paraId="4A52DFC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1000061</w:t>
            </w:r>
          </w:p>
        </w:tc>
        <w:tc>
          <w:tcPr>
            <w:tcW w:w="0" w:type="auto"/>
            <w:noWrap/>
            <w:vAlign w:val="center"/>
            <w:hideMark/>
          </w:tcPr>
          <w:p w14:paraId="6860512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278706</w:t>
            </w:r>
          </w:p>
        </w:tc>
        <w:tc>
          <w:tcPr>
            <w:tcW w:w="0" w:type="auto"/>
            <w:noWrap/>
            <w:vAlign w:val="center"/>
            <w:hideMark/>
          </w:tcPr>
          <w:p w14:paraId="5215256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721355</w:t>
            </w:r>
          </w:p>
        </w:tc>
        <w:tc>
          <w:tcPr>
            <w:tcW w:w="0" w:type="auto"/>
            <w:noWrap/>
            <w:vAlign w:val="center"/>
            <w:hideMark/>
          </w:tcPr>
          <w:p w14:paraId="1049703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172,800</w:t>
            </w:r>
          </w:p>
        </w:tc>
        <w:tc>
          <w:tcPr>
            <w:tcW w:w="0" w:type="auto"/>
            <w:noWrap/>
            <w:vAlign w:val="center"/>
            <w:hideMark/>
          </w:tcPr>
          <w:p w14:paraId="6C618DA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4181178.28</w:t>
            </w:r>
          </w:p>
        </w:tc>
        <w:tc>
          <w:tcPr>
            <w:tcW w:w="0" w:type="auto"/>
            <w:noWrap/>
            <w:vAlign w:val="center"/>
            <w:hideMark/>
          </w:tcPr>
          <w:p w14:paraId="7583D33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1867409</w:t>
            </w:r>
          </w:p>
        </w:tc>
        <w:tc>
          <w:tcPr>
            <w:tcW w:w="0" w:type="auto"/>
            <w:vAlign w:val="center"/>
            <w:hideMark/>
          </w:tcPr>
          <w:p w14:paraId="5D4B1B4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8.05</w:t>
            </w:r>
          </w:p>
        </w:tc>
        <w:tc>
          <w:tcPr>
            <w:tcW w:w="0" w:type="auto"/>
            <w:vAlign w:val="center"/>
            <w:hideMark/>
          </w:tcPr>
          <w:p w14:paraId="2562707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0.9</w:t>
            </w:r>
          </w:p>
        </w:tc>
        <w:tc>
          <w:tcPr>
            <w:tcW w:w="0" w:type="auto"/>
            <w:noWrap/>
            <w:vAlign w:val="center"/>
            <w:hideMark/>
          </w:tcPr>
          <w:p w14:paraId="4C80B6B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83690.1</w:t>
            </w:r>
          </w:p>
        </w:tc>
        <w:tc>
          <w:tcPr>
            <w:tcW w:w="0" w:type="auto"/>
            <w:noWrap/>
            <w:vAlign w:val="center"/>
            <w:hideMark/>
          </w:tcPr>
          <w:p w14:paraId="00EE09C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5.8</w:t>
            </w:r>
          </w:p>
        </w:tc>
      </w:tr>
      <w:tr w:rsidR="00EA38DE" w:rsidRPr="00EA38DE" w14:paraId="03A9B614" w14:textId="77777777" w:rsidTr="009501B5">
        <w:trPr>
          <w:trHeight w:val="144"/>
        </w:trPr>
        <w:tc>
          <w:tcPr>
            <w:tcW w:w="0" w:type="auto"/>
            <w:noWrap/>
            <w:vAlign w:val="center"/>
            <w:hideMark/>
          </w:tcPr>
          <w:p w14:paraId="27FC2F5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2015</w:t>
            </w:r>
          </w:p>
        </w:tc>
        <w:tc>
          <w:tcPr>
            <w:tcW w:w="0" w:type="auto"/>
            <w:noWrap/>
            <w:vAlign w:val="center"/>
            <w:hideMark/>
          </w:tcPr>
          <w:p w14:paraId="10B0D7B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1073059</w:t>
            </w:r>
          </w:p>
        </w:tc>
        <w:tc>
          <w:tcPr>
            <w:tcW w:w="0" w:type="auto"/>
            <w:noWrap/>
            <w:vAlign w:val="center"/>
            <w:hideMark/>
          </w:tcPr>
          <w:p w14:paraId="6B50BA1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313231</w:t>
            </w:r>
          </w:p>
        </w:tc>
        <w:tc>
          <w:tcPr>
            <w:tcW w:w="0" w:type="auto"/>
            <w:noWrap/>
            <w:vAlign w:val="center"/>
            <w:hideMark/>
          </w:tcPr>
          <w:p w14:paraId="13009F3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759828</w:t>
            </w:r>
          </w:p>
        </w:tc>
        <w:tc>
          <w:tcPr>
            <w:tcW w:w="0" w:type="auto"/>
            <w:noWrap/>
            <w:vAlign w:val="center"/>
            <w:hideMark/>
          </w:tcPr>
          <w:p w14:paraId="19E8A8C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177,200</w:t>
            </w:r>
          </w:p>
        </w:tc>
        <w:tc>
          <w:tcPr>
            <w:tcW w:w="0" w:type="auto"/>
            <w:noWrap/>
            <w:vAlign w:val="center"/>
            <w:hideMark/>
          </w:tcPr>
          <w:p w14:paraId="0D9F525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4235056.51</w:t>
            </w:r>
          </w:p>
        </w:tc>
        <w:tc>
          <w:tcPr>
            <w:tcW w:w="0" w:type="auto"/>
            <w:noWrap/>
            <w:vAlign w:val="center"/>
            <w:hideMark/>
          </w:tcPr>
          <w:p w14:paraId="342716C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1544183</w:t>
            </w:r>
          </w:p>
        </w:tc>
        <w:tc>
          <w:tcPr>
            <w:tcW w:w="0" w:type="auto"/>
            <w:vAlign w:val="center"/>
            <w:hideMark/>
          </w:tcPr>
          <w:p w14:paraId="5AA24A4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9.01</w:t>
            </w:r>
          </w:p>
        </w:tc>
        <w:tc>
          <w:tcPr>
            <w:tcW w:w="0" w:type="auto"/>
            <w:vAlign w:val="center"/>
            <w:hideMark/>
          </w:tcPr>
          <w:p w14:paraId="1F0777A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38.8</w:t>
            </w:r>
          </w:p>
        </w:tc>
        <w:tc>
          <w:tcPr>
            <w:tcW w:w="0" w:type="auto"/>
            <w:noWrap/>
            <w:vAlign w:val="center"/>
            <w:hideMark/>
          </w:tcPr>
          <w:p w14:paraId="7C862BE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85977.64</w:t>
            </w:r>
          </w:p>
        </w:tc>
        <w:tc>
          <w:tcPr>
            <w:tcW w:w="0" w:type="auto"/>
            <w:noWrap/>
            <w:vAlign w:val="center"/>
            <w:hideMark/>
          </w:tcPr>
          <w:p w14:paraId="424F9F9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5.59</w:t>
            </w:r>
          </w:p>
        </w:tc>
      </w:tr>
      <w:tr w:rsidR="00EA38DE" w:rsidRPr="00EA38DE" w14:paraId="06D354AC" w14:textId="77777777" w:rsidTr="009501B5">
        <w:trPr>
          <w:trHeight w:val="144"/>
        </w:trPr>
        <w:tc>
          <w:tcPr>
            <w:tcW w:w="0" w:type="auto"/>
            <w:noWrap/>
            <w:vAlign w:val="center"/>
            <w:hideMark/>
          </w:tcPr>
          <w:p w14:paraId="20BAD16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2016</w:t>
            </w:r>
          </w:p>
        </w:tc>
        <w:tc>
          <w:tcPr>
            <w:tcW w:w="0" w:type="auto"/>
            <w:noWrap/>
            <w:vAlign w:val="center"/>
            <w:hideMark/>
          </w:tcPr>
          <w:p w14:paraId="3A00B98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1027058</w:t>
            </w:r>
          </w:p>
        </w:tc>
        <w:tc>
          <w:tcPr>
            <w:tcW w:w="0" w:type="auto"/>
            <w:noWrap/>
            <w:vAlign w:val="center"/>
            <w:hideMark/>
          </w:tcPr>
          <w:p w14:paraId="48DA711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316727</w:t>
            </w:r>
          </w:p>
        </w:tc>
        <w:tc>
          <w:tcPr>
            <w:tcW w:w="0" w:type="auto"/>
            <w:noWrap/>
            <w:vAlign w:val="center"/>
            <w:hideMark/>
          </w:tcPr>
          <w:p w14:paraId="7F30912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710331</w:t>
            </w:r>
          </w:p>
        </w:tc>
        <w:tc>
          <w:tcPr>
            <w:tcW w:w="0" w:type="auto"/>
            <w:noWrap/>
            <w:vAlign w:val="center"/>
            <w:hideMark/>
          </w:tcPr>
          <w:p w14:paraId="053CBE2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182,420</w:t>
            </w:r>
          </w:p>
        </w:tc>
        <w:tc>
          <w:tcPr>
            <w:tcW w:w="0" w:type="auto"/>
            <w:noWrap/>
            <w:vAlign w:val="center"/>
            <w:hideMark/>
          </w:tcPr>
          <w:p w14:paraId="0657171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4687446.95</w:t>
            </w:r>
          </w:p>
        </w:tc>
        <w:tc>
          <w:tcPr>
            <w:tcW w:w="0" w:type="auto"/>
            <w:noWrap/>
            <w:vAlign w:val="center"/>
            <w:hideMark/>
          </w:tcPr>
          <w:p w14:paraId="561C8C3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1272000</w:t>
            </w:r>
          </w:p>
        </w:tc>
        <w:tc>
          <w:tcPr>
            <w:tcW w:w="0" w:type="auto"/>
            <w:vAlign w:val="center"/>
            <w:hideMark/>
          </w:tcPr>
          <w:p w14:paraId="203B034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15.7</w:t>
            </w:r>
          </w:p>
        </w:tc>
        <w:tc>
          <w:tcPr>
            <w:tcW w:w="0" w:type="auto"/>
            <w:vAlign w:val="center"/>
            <w:hideMark/>
          </w:tcPr>
          <w:p w14:paraId="12FA701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118</w:t>
            </w:r>
          </w:p>
        </w:tc>
        <w:tc>
          <w:tcPr>
            <w:tcW w:w="0" w:type="auto"/>
            <w:noWrap/>
            <w:vAlign w:val="center"/>
            <w:hideMark/>
          </w:tcPr>
          <w:p w14:paraId="2CAB41B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88619.38</w:t>
            </w:r>
          </w:p>
        </w:tc>
        <w:tc>
          <w:tcPr>
            <w:tcW w:w="0" w:type="auto"/>
            <w:noWrap/>
            <w:vAlign w:val="center"/>
            <w:hideMark/>
          </w:tcPr>
          <w:p w14:paraId="410563D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5.57</w:t>
            </w:r>
          </w:p>
        </w:tc>
      </w:tr>
      <w:tr w:rsidR="00EA38DE" w:rsidRPr="00EA38DE" w14:paraId="17702484" w14:textId="77777777" w:rsidTr="009501B5">
        <w:trPr>
          <w:trHeight w:val="144"/>
        </w:trPr>
        <w:tc>
          <w:tcPr>
            <w:tcW w:w="0" w:type="auto"/>
            <w:noWrap/>
            <w:vAlign w:val="center"/>
            <w:hideMark/>
          </w:tcPr>
          <w:p w14:paraId="7463F4B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2017</w:t>
            </w:r>
          </w:p>
        </w:tc>
        <w:tc>
          <w:tcPr>
            <w:tcW w:w="0" w:type="auto"/>
            <w:noWrap/>
            <w:vAlign w:val="center"/>
            <w:hideMark/>
          </w:tcPr>
          <w:p w14:paraId="39B107F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1041498</w:t>
            </w:r>
          </w:p>
        </w:tc>
        <w:tc>
          <w:tcPr>
            <w:tcW w:w="0" w:type="auto"/>
            <w:noWrap/>
            <w:vAlign w:val="center"/>
            <w:hideMark/>
          </w:tcPr>
          <w:p w14:paraId="578AB08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306767</w:t>
            </w:r>
          </w:p>
        </w:tc>
        <w:tc>
          <w:tcPr>
            <w:tcW w:w="0" w:type="auto"/>
            <w:noWrap/>
            <w:vAlign w:val="center"/>
            <w:hideMark/>
          </w:tcPr>
          <w:p w14:paraId="7EA3B85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734731</w:t>
            </w:r>
          </w:p>
        </w:tc>
        <w:tc>
          <w:tcPr>
            <w:tcW w:w="0" w:type="auto"/>
            <w:noWrap/>
            <w:vAlign w:val="center"/>
            <w:hideMark/>
          </w:tcPr>
          <w:p w14:paraId="69E38E0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265,600</w:t>
            </w:r>
          </w:p>
        </w:tc>
        <w:tc>
          <w:tcPr>
            <w:tcW w:w="0" w:type="auto"/>
            <w:noWrap/>
            <w:vAlign w:val="center"/>
            <w:hideMark/>
          </w:tcPr>
          <w:p w14:paraId="59CCE48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3507969.36</w:t>
            </w:r>
          </w:p>
        </w:tc>
        <w:tc>
          <w:tcPr>
            <w:tcW w:w="0" w:type="auto"/>
            <w:noWrap/>
            <w:vAlign w:val="center"/>
            <w:hideMark/>
          </w:tcPr>
          <w:p w14:paraId="2468198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1408000</w:t>
            </w:r>
          </w:p>
        </w:tc>
        <w:tc>
          <w:tcPr>
            <w:tcW w:w="0" w:type="auto"/>
            <w:vAlign w:val="center"/>
            <w:hideMark/>
          </w:tcPr>
          <w:p w14:paraId="48A783D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16.5</w:t>
            </w:r>
          </w:p>
        </w:tc>
        <w:tc>
          <w:tcPr>
            <w:tcW w:w="0" w:type="auto"/>
            <w:vAlign w:val="center"/>
            <w:hideMark/>
          </w:tcPr>
          <w:p w14:paraId="5D79B35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45</w:t>
            </w:r>
          </w:p>
        </w:tc>
        <w:tc>
          <w:tcPr>
            <w:tcW w:w="0" w:type="auto"/>
            <w:noWrap/>
            <w:vAlign w:val="center"/>
            <w:hideMark/>
          </w:tcPr>
          <w:p w14:paraId="20E2AB9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91313.51</w:t>
            </w:r>
          </w:p>
        </w:tc>
        <w:tc>
          <w:tcPr>
            <w:tcW w:w="0" w:type="auto"/>
            <w:noWrap/>
            <w:vAlign w:val="center"/>
            <w:hideMark/>
          </w:tcPr>
          <w:p w14:paraId="32DE5BA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5.76</w:t>
            </w:r>
          </w:p>
        </w:tc>
      </w:tr>
      <w:tr w:rsidR="00EA38DE" w:rsidRPr="00EA38DE" w14:paraId="7620F2A0" w14:textId="77777777" w:rsidTr="009501B5">
        <w:trPr>
          <w:trHeight w:val="144"/>
        </w:trPr>
        <w:tc>
          <w:tcPr>
            <w:tcW w:w="0" w:type="auto"/>
            <w:noWrap/>
            <w:vAlign w:val="center"/>
            <w:hideMark/>
          </w:tcPr>
          <w:p w14:paraId="44358A8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2018</w:t>
            </w:r>
          </w:p>
        </w:tc>
        <w:tc>
          <w:tcPr>
            <w:tcW w:w="0" w:type="auto"/>
            <w:noWrap/>
            <w:vAlign w:val="center"/>
            <w:hideMark/>
          </w:tcPr>
          <w:p w14:paraId="5511690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1212475</w:t>
            </w:r>
          </w:p>
        </w:tc>
        <w:tc>
          <w:tcPr>
            <w:tcW w:w="0" w:type="auto"/>
            <w:noWrap/>
            <w:vAlign w:val="center"/>
            <w:hideMark/>
          </w:tcPr>
          <w:p w14:paraId="17F77D5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296191</w:t>
            </w:r>
          </w:p>
        </w:tc>
        <w:tc>
          <w:tcPr>
            <w:tcW w:w="0" w:type="auto"/>
            <w:noWrap/>
            <w:vAlign w:val="center"/>
            <w:hideMark/>
          </w:tcPr>
          <w:p w14:paraId="0C909B9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916284</w:t>
            </w:r>
          </w:p>
        </w:tc>
        <w:tc>
          <w:tcPr>
            <w:tcW w:w="0" w:type="auto"/>
            <w:noWrap/>
            <w:vAlign w:val="center"/>
            <w:hideMark/>
          </w:tcPr>
          <w:p w14:paraId="22ACFA8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270,560</w:t>
            </w:r>
          </w:p>
        </w:tc>
        <w:tc>
          <w:tcPr>
            <w:tcW w:w="0" w:type="auto"/>
            <w:noWrap/>
            <w:vAlign w:val="center"/>
            <w:hideMark/>
          </w:tcPr>
          <w:p w14:paraId="611388E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4919395.56</w:t>
            </w:r>
          </w:p>
        </w:tc>
        <w:tc>
          <w:tcPr>
            <w:tcW w:w="0" w:type="auto"/>
            <w:noWrap/>
            <w:vAlign w:val="center"/>
            <w:hideMark/>
          </w:tcPr>
          <w:p w14:paraId="45789FF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1560000</w:t>
            </w:r>
          </w:p>
        </w:tc>
        <w:tc>
          <w:tcPr>
            <w:tcW w:w="0" w:type="auto"/>
            <w:vAlign w:val="center"/>
            <w:hideMark/>
          </w:tcPr>
          <w:p w14:paraId="3F9CFB6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12.1</w:t>
            </w:r>
          </w:p>
        </w:tc>
        <w:tc>
          <w:tcPr>
            <w:tcW w:w="0" w:type="auto"/>
            <w:vAlign w:val="center"/>
            <w:hideMark/>
          </w:tcPr>
          <w:p w14:paraId="04666FC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0</w:t>
            </w:r>
          </w:p>
        </w:tc>
        <w:tc>
          <w:tcPr>
            <w:tcW w:w="0" w:type="auto"/>
            <w:noWrap/>
            <w:vAlign w:val="center"/>
            <w:hideMark/>
          </w:tcPr>
          <w:p w14:paraId="68D9C27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93991.72</w:t>
            </w:r>
          </w:p>
        </w:tc>
        <w:tc>
          <w:tcPr>
            <w:tcW w:w="0" w:type="auto"/>
            <w:noWrap/>
            <w:vAlign w:val="center"/>
            <w:hideMark/>
          </w:tcPr>
          <w:p w14:paraId="0506EF8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6.01</w:t>
            </w:r>
          </w:p>
        </w:tc>
      </w:tr>
      <w:tr w:rsidR="00EA38DE" w:rsidRPr="00EA38DE" w14:paraId="500E7273" w14:textId="77777777" w:rsidTr="009501B5">
        <w:trPr>
          <w:trHeight w:val="144"/>
        </w:trPr>
        <w:tc>
          <w:tcPr>
            <w:tcW w:w="0" w:type="auto"/>
            <w:noWrap/>
            <w:vAlign w:val="center"/>
            <w:hideMark/>
          </w:tcPr>
          <w:p w14:paraId="6908CE5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2019</w:t>
            </w:r>
          </w:p>
        </w:tc>
        <w:tc>
          <w:tcPr>
            <w:tcW w:w="0" w:type="auto"/>
            <w:noWrap/>
            <w:vAlign w:val="center"/>
            <w:hideMark/>
          </w:tcPr>
          <w:p w14:paraId="11E2023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1169478</w:t>
            </w:r>
          </w:p>
        </w:tc>
        <w:tc>
          <w:tcPr>
            <w:tcW w:w="0" w:type="auto"/>
            <w:noWrap/>
            <w:vAlign w:val="center"/>
            <w:hideMark/>
          </w:tcPr>
          <w:p w14:paraId="267C649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291323</w:t>
            </w:r>
          </w:p>
        </w:tc>
        <w:tc>
          <w:tcPr>
            <w:tcW w:w="0" w:type="auto"/>
            <w:noWrap/>
            <w:vAlign w:val="center"/>
            <w:hideMark/>
          </w:tcPr>
          <w:p w14:paraId="0D2C599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878155</w:t>
            </w:r>
          </w:p>
        </w:tc>
        <w:tc>
          <w:tcPr>
            <w:tcW w:w="0" w:type="auto"/>
            <w:noWrap/>
            <w:vAlign w:val="center"/>
            <w:hideMark/>
          </w:tcPr>
          <w:p w14:paraId="7976A49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277,680</w:t>
            </w:r>
          </w:p>
        </w:tc>
        <w:tc>
          <w:tcPr>
            <w:tcW w:w="0" w:type="auto"/>
            <w:noWrap/>
            <w:vAlign w:val="center"/>
            <w:hideMark/>
          </w:tcPr>
          <w:p w14:paraId="579421E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6388843.78</w:t>
            </w:r>
          </w:p>
        </w:tc>
        <w:tc>
          <w:tcPr>
            <w:tcW w:w="0" w:type="auto"/>
            <w:noWrap/>
            <w:vAlign w:val="center"/>
            <w:hideMark/>
          </w:tcPr>
          <w:p w14:paraId="68E62D1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1627142</w:t>
            </w:r>
          </w:p>
        </w:tc>
        <w:tc>
          <w:tcPr>
            <w:tcW w:w="0" w:type="auto"/>
            <w:vAlign w:val="center"/>
            <w:hideMark/>
          </w:tcPr>
          <w:p w14:paraId="615C4A0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11.4</w:t>
            </w:r>
          </w:p>
        </w:tc>
        <w:tc>
          <w:tcPr>
            <w:tcW w:w="0" w:type="auto"/>
            <w:vAlign w:val="center"/>
            <w:hideMark/>
          </w:tcPr>
          <w:p w14:paraId="2C8FFE3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w:t>
            </w:r>
          </w:p>
        </w:tc>
        <w:tc>
          <w:tcPr>
            <w:tcW w:w="0" w:type="auto"/>
            <w:noWrap/>
            <w:vAlign w:val="center"/>
            <w:hideMark/>
          </w:tcPr>
          <w:p w14:paraId="2B18C63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96681.96</w:t>
            </w:r>
          </w:p>
        </w:tc>
        <w:tc>
          <w:tcPr>
            <w:tcW w:w="0" w:type="auto"/>
            <w:noWrap/>
            <w:vAlign w:val="center"/>
            <w:hideMark/>
          </w:tcPr>
          <w:p w14:paraId="70783EC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6.03</w:t>
            </w:r>
          </w:p>
        </w:tc>
      </w:tr>
      <w:tr w:rsidR="00EA38DE" w:rsidRPr="00EA38DE" w14:paraId="5C92FDD4" w14:textId="77777777" w:rsidTr="009501B5">
        <w:trPr>
          <w:trHeight w:val="144"/>
        </w:trPr>
        <w:tc>
          <w:tcPr>
            <w:tcW w:w="0" w:type="auto"/>
            <w:noWrap/>
            <w:vAlign w:val="center"/>
            <w:hideMark/>
          </w:tcPr>
          <w:p w14:paraId="55498B4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2020</w:t>
            </w:r>
          </w:p>
        </w:tc>
        <w:tc>
          <w:tcPr>
            <w:tcW w:w="0" w:type="auto"/>
            <w:noWrap/>
            <w:vAlign w:val="center"/>
            <w:hideMark/>
          </w:tcPr>
          <w:p w14:paraId="01720DE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1114556</w:t>
            </w:r>
          </w:p>
        </w:tc>
        <w:tc>
          <w:tcPr>
            <w:tcW w:w="0" w:type="auto"/>
            <w:noWrap/>
            <w:vAlign w:val="center"/>
            <w:hideMark/>
          </w:tcPr>
          <w:p w14:paraId="0F8BECE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289543</w:t>
            </w:r>
          </w:p>
        </w:tc>
        <w:tc>
          <w:tcPr>
            <w:tcW w:w="0" w:type="auto"/>
            <w:noWrap/>
            <w:vAlign w:val="center"/>
            <w:hideMark/>
          </w:tcPr>
          <w:p w14:paraId="060B0953"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825013</w:t>
            </w:r>
          </w:p>
        </w:tc>
        <w:tc>
          <w:tcPr>
            <w:tcW w:w="0" w:type="auto"/>
            <w:noWrap/>
            <w:vAlign w:val="center"/>
            <w:hideMark/>
          </w:tcPr>
          <w:p w14:paraId="707159C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317,000</w:t>
            </w:r>
          </w:p>
        </w:tc>
        <w:tc>
          <w:tcPr>
            <w:tcW w:w="0" w:type="auto"/>
            <w:noWrap/>
            <w:vAlign w:val="center"/>
            <w:hideMark/>
          </w:tcPr>
          <w:p w14:paraId="478D23D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8311870.76</w:t>
            </w:r>
          </w:p>
        </w:tc>
        <w:tc>
          <w:tcPr>
            <w:tcW w:w="0" w:type="auto"/>
            <w:noWrap/>
            <w:vAlign w:val="center"/>
            <w:hideMark/>
          </w:tcPr>
          <w:p w14:paraId="0CA4750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1548622</w:t>
            </w:r>
          </w:p>
        </w:tc>
        <w:tc>
          <w:tcPr>
            <w:tcW w:w="0" w:type="auto"/>
            <w:vAlign w:val="center"/>
            <w:hideMark/>
          </w:tcPr>
          <w:p w14:paraId="1C2A4E6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13.25</w:t>
            </w:r>
          </w:p>
        </w:tc>
        <w:tc>
          <w:tcPr>
            <w:tcW w:w="0" w:type="auto"/>
            <w:vAlign w:val="center"/>
            <w:hideMark/>
          </w:tcPr>
          <w:p w14:paraId="1E0FB75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56</w:t>
            </w:r>
          </w:p>
        </w:tc>
        <w:tc>
          <w:tcPr>
            <w:tcW w:w="0" w:type="auto"/>
            <w:noWrap/>
            <w:vAlign w:val="center"/>
            <w:hideMark/>
          </w:tcPr>
          <w:p w14:paraId="5BF9553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99696.28</w:t>
            </w:r>
          </w:p>
        </w:tc>
        <w:tc>
          <w:tcPr>
            <w:tcW w:w="0" w:type="auto"/>
            <w:noWrap/>
            <w:vAlign w:val="center"/>
            <w:hideMark/>
          </w:tcPr>
          <w:p w14:paraId="07477CF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4.51</w:t>
            </w:r>
          </w:p>
        </w:tc>
      </w:tr>
      <w:tr w:rsidR="00EA38DE" w:rsidRPr="00EA38DE" w14:paraId="5E018F6F" w14:textId="77777777" w:rsidTr="009501B5">
        <w:trPr>
          <w:trHeight w:val="144"/>
        </w:trPr>
        <w:tc>
          <w:tcPr>
            <w:tcW w:w="0" w:type="auto"/>
            <w:noWrap/>
            <w:vAlign w:val="center"/>
            <w:hideMark/>
          </w:tcPr>
          <w:p w14:paraId="0E209AE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2021</w:t>
            </w:r>
          </w:p>
        </w:tc>
        <w:tc>
          <w:tcPr>
            <w:tcW w:w="0" w:type="auto"/>
            <w:noWrap/>
            <w:vAlign w:val="center"/>
            <w:hideMark/>
          </w:tcPr>
          <w:p w14:paraId="13E2CD6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1044812</w:t>
            </w:r>
          </w:p>
        </w:tc>
        <w:tc>
          <w:tcPr>
            <w:tcW w:w="0" w:type="auto"/>
            <w:noWrap/>
            <w:vAlign w:val="center"/>
            <w:hideMark/>
          </w:tcPr>
          <w:p w14:paraId="7EEDF70C"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261711</w:t>
            </w:r>
          </w:p>
        </w:tc>
        <w:tc>
          <w:tcPr>
            <w:tcW w:w="0" w:type="auto"/>
            <w:noWrap/>
            <w:vAlign w:val="center"/>
            <w:hideMark/>
          </w:tcPr>
          <w:p w14:paraId="0A2B8E6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783102</w:t>
            </w:r>
          </w:p>
        </w:tc>
        <w:tc>
          <w:tcPr>
            <w:tcW w:w="0" w:type="auto"/>
            <w:noWrap/>
            <w:vAlign w:val="center"/>
            <w:hideMark/>
          </w:tcPr>
          <w:p w14:paraId="4402055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256,280</w:t>
            </w:r>
          </w:p>
        </w:tc>
        <w:tc>
          <w:tcPr>
            <w:tcW w:w="0" w:type="auto"/>
            <w:noWrap/>
            <w:vAlign w:val="center"/>
            <w:hideMark/>
          </w:tcPr>
          <w:p w14:paraId="1C94B0B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8030351.17</w:t>
            </w:r>
          </w:p>
        </w:tc>
        <w:tc>
          <w:tcPr>
            <w:tcW w:w="0" w:type="auto"/>
            <w:noWrap/>
            <w:vAlign w:val="center"/>
            <w:hideMark/>
          </w:tcPr>
          <w:p w14:paraId="0F4CB7A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1566109</w:t>
            </w:r>
          </w:p>
        </w:tc>
        <w:tc>
          <w:tcPr>
            <w:tcW w:w="0" w:type="auto"/>
            <w:vAlign w:val="center"/>
            <w:hideMark/>
          </w:tcPr>
          <w:p w14:paraId="0D2E1A3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16.95</w:t>
            </w:r>
          </w:p>
        </w:tc>
        <w:tc>
          <w:tcPr>
            <w:tcW w:w="0" w:type="auto"/>
            <w:vAlign w:val="center"/>
            <w:hideMark/>
          </w:tcPr>
          <w:p w14:paraId="3CB1AC8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84.47</w:t>
            </w:r>
          </w:p>
        </w:tc>
        <w:tc>
          <w:tcPr>
            <w:tcW w:w="0" w:type="auto"/>
            <w:noWrap/>
            <w:vAlign w:val="center"/>
            <w:hideMark/>
          </w:tcPr>
          <w:p w14:paraId="0735192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102509</w:t>
            </w:r>
          </w:p>
        </w:tc>
        <w:tc>
          <w:tcPr>
            <w:tcW w:w="0" w:type="auto"/>
            <w:noWrap/>
            <w:vAlign w:val="center"/>
            <w:hideMark/>
          </w:tcPr>
          <w:p w14:paraId="1B13B48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5.53</w:t>
            </w:r>
          </w:p>
        </w:tc>
      </w:tr>
      <w:tr w:rsidR="00EA38DE" w:rsidRPr="00EA38DE" w14:paraId="02F18B69" w14:textId="77777777" w:rsidTr="009501B5">
        <w:trPr>
          <w:trHeight w:val="144"/>
        </w:trPr>
        <w:tc>
          <w:tcPr>
            <w:tcW w:w="0" w:type="auto"/>
            <w:noWrap/>
            <w:vAlign w:val="center"/>
            <w:hideMark/>
          </w:tcPr>
          <w:p w14:paraId="7CE880D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2022</w:t>
            </w:r>
          </w:p>
        </w:tc>
        <w:tc>
          <w:tcPr>
            <w:tcW w:w="0" w:type="auto"/>
            <w:noWrap/>
            <w:vAlign w:val="center"/>
            <w:hideMark/>
          </w:tcPr>
          <w:p w14:paraId="7EA3D16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1080855</w:t>
            </w:r>
          </w:p>
        </w:tc>
        <w:tc>
          <w:tcPr>
            <w:tcW w:w="0" w:type="auto"/>
            <w:noWrap/>
            <w:vAlign w:val="center"/>
            <w:hideMark/>
          </w:tcPr>
          <w:p w14:paraId="6DA5753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275645</w:t>
            </w:r>
          </w:p>
        </w:tc>
        <w:tc>
          <w:tcPr>
            <w:tcW w:w="0" w:type="auto"/>
            <w:noWrap/>
            <w:vAlign w:val="center"/>
            <w:hideMark/>
          </w:tcPr>
          <w:p w14:paraId="7F8DE71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805210</w:t>
            </w:r>
          </w:p>
        </w:tc>
        <w:tc>
          <w:tcPr>
            <w:tcW w:w="0" w:type="auto"/>
            <w:noWrap/>
            <w:vAlign w:val="center"/>
            <w:hideMark/>
          </w:tcPr>
          <w:p w14:paraId="01E734C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361,000</w:t>
            </w:r>
          </w:p>
        </w:tc>
        <w:tc>
          <w:tcPr>
            <w:tcW w:w="0" w:type="auto"/>
            <w:noWrap/>
            <w:vAlign w:val="center"/>
            <w:hideMark/>
          </w:tcPr>
          <w:p w14:paraId="1DE14F0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9233880.29</w:t>
            </w:r>
          </w:p>
        </w:tc>
        <w:tc>
          <w:tcPr>
            <w:tcW w:w="0" w:type="auto"/>
            <w:noWrap/>
            <w:vAlign w:val="center"/>
            <w:hideMark/>
          </w:tcPr>
          <w:p w14:paraId="67A27080"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1566109</w:t>
            </w:r>
          </w:p>
        </w:tc>
        <w:tc>
          <w:tcPr>
            <w:tcW w:w="0" w:type="auto"/>
            <w:vAlign w:val="center"/>
            <w:hideMark/>
          </w:tcPr>
          <w:p w14:paraId="5DC2D9F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18.85</w:t>
            </w:r>
          </w:p>
        </w:tc>
        <w:tc>
          <w:tcPr>
            <w:tcW w:w="0" w:type="auto"/>
            <w:vAlign w:val="center"/>
            <w:hideMark/>
          </w:tcPr>
          <w:p w14:paraId="1731593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-29.64</w:t>
            </w:r>
          </w:p>
        </w:tc>
        <w:tc>
          <w:tcPr>
            <w:tcW w:w="0" w:type="auto"/>
            <w:noWrap/>
            <w:vAlign w:val="center"/>
            <w:hideMark/>
          </w:tcPr>
          <w:p w14:paraId="5B383D1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105432.6</w:t>
            </w:r>
          </w:p>
        </w:tc>
        <w:tc>
          <w:tcPr>
            <w:tcW w:w="0" w:type="auto"/>
            <w:noWrap/>
            <w:vAlign w:val="center"/>
            <w:hideMark/>
          </w:tcPr>
          <w:p w14:paraId="178C785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3.49</w:t>
            </w:r>
          </w:p>
        </w:tc>
      </w:tr>
      <w:tr w:rsidR="00EA38DE" w:rsidRPr="00EA38DE" w14:paraId="245D1DB4" w14:textId="77777777" w:rsidTr="009501B5">
        <w:trPr>
          <w:trHeight w:val="144"/>
        </w:trPr>
        <w:tc>
          <w:tcPr>
            <w:tcW w:w="0" w:type="auto"/>
            <w:noWrap/>
            <w:vAlign w:val="center"/>
            <w:hideMark/>
          </w:tcPr>
          <w:p w14:paraId="077DDA8B"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2023</w:t>
            </w:r>
          </w:p>
        </w:tc>
        <w:tc>
          <w:tcPr>
            <w:tcW w:w="0" w:type="auto"/>
            <w:noWrap/>
            <w:vAlign w:val="center"/>
            <w:hideMark/>
          </w:tcPr>
          <w:p w14:paraId="0235BE1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1043230</w:t>
            </w:r>
          </w:p>
        </w:tc>
        <w:tc>
          <w:tcPr>
            <w:tcW w:w="0" w:type="auto"/>
            <w:noWrap/>
            <w:vAlign w:val="center"/>
            <w:hideMark/>
          </w:tcPr>
          <w:p w14:paraId="62CA870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259106</w:t>
            </w:r>
          </w:p>
        </w:tc>
        <w:tc>
          <w:tcPr>
            <w:tcW w:w="0" w:type="auto"/>
            <w:noWrap/>
            <w:vAlign w:val="center"/>
            <w:hideMark/>
          </w:tcPr>
          <w:p w14:paraId="0EAA42AF"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784124</w:t>
            </w:r>
          </w:p>
        </w:tc>
        <w:tc>
          <w:tcPr>
            <w:tcW w:w="0" w:type="auto"/>
            <w:noWrap/>
            <w:vAlign w:val="center"/>
            <w:hideMark/>
          </w:tcPr>
          <w:p w14:paraId="34CCE6D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501,000</w:t>
            </w:r>
          </w:p>
        </w:tc>
        <w:tc>
          <w:tcPr>
            <w:tcW w:w="0" w:type="auto"/>
            <w:noWrap/>
            <w:vAlign w:val="center"/>
            <w:hideMark/>
          </w:tcPr>
          <w:p w14:paraId="33C00FC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10165185.25</w:t>
            </w:r>
          </w:p>
        </w:tc>
        <w:tc>
          <w:tcPr>
            <w:tcW w:w="0" w:type="auto"/>
            <w:noWrap/>
            <w:vAlign w:val="center"/>
            <w:hideMark/>
          </w:tcPr>
          <w:p w14:paraId="6A2A5168"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1599705</w:t>
            </w:r>
          </w:p>
        </w:tc>
        <w:tc>
          <w:tcPr>
            <w:tcW w:w="0" w:type="auto"/>
            <w:vAlign w:val="center"/>
            <w:hideMark/>
          </w:tcPr>
          <w:p w14:paraId="7481F63E"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24.66</w:t>
            </w:r>
          </w:p>
        </w:tc>
        <w:tc>
          <w:tcPr>
            <w:tcW w:w="0" w:type="auto"/>
            <w:vAlign w:val="center"/>
            <w:hideMark/>
          </w:tcPr>
          <w:p w14:paraId="38D0A534"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44.87</w:t>
            </w:r>
          </w:p>
        </w:tc>
        <w:tc>
          <w:tcPr>
            <w:tcW w:w="0" w:type="auto"/>
            <w:noWrap/>
            <w:vAlign w:val="center"/>
            <w:hideMark/>
          </w:tcPr>
          <w:p w14:paraId="375E9F52"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110183.3</w:t>
            </w:r>
          </w:p>
        </w:tc>
        <w:tc>
          <w:tcPr>
            <w:tcW w:w="0" w:type="auto"/>
            <w:noWrap/>
            <w:vAlign w:val="center"/>
            <w:hideMark/>
          </w:tcPr>
          <w:p w14:paraId="4412E80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4.43</w:t>
            </w:r>
          </w:p>
        </w:tc>
      </w:tr>
      <w:tr w:rsidR="00EA38DE" w:rsidRPr="00EA38DE" w14:paraId="1BD89F97" w14:textId="77777777" w:rsidTr="009501B5">
        <w:trPr>
          <w:trHeight w:val="144"/>
        </w:trPr>
        <w:tc>
          <w:tcPr>
            <w:tcW w:w="0" w:type="auto"/>
            <w:noWrap/>
            <w:vAlign w:val="center"/>
            <w:hideMark/>
          </w:tcPr>
          <w:p w14:paraId="23495A3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2024</w:t>
            </w:r>
          </w:p>
        </w:tc>
        <w:tc>
          <w:tcPr>
            <w:tcW w:w="0" w:type="auto"/>
            <w:noWrap/>
            <w:vAlign w:val="center"/>
            <w:hideMark/>
          </w:tcPr>
          <w:p w14:paraId="50167899"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1036752</w:t>
            </w:r>
          </w:p>
        </w:tc>
        <w:tc>
          <w:tcPr>
            <w:tcW w:w="0" w:type="auto"/>
            <w:noWrap/>
            <w:vAlign w:val="center"/>
            <w:hideMark/>
          </w:tcPr>
          <w:p w14:paraId="091D5B2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253384</w:t>
            </w:r>
          </w:p>
        </w:tc>
        <w:tc>
          <w:tcPr>
            <w:tcW w:w="0" w:type="auto"/>
            <w:noWrap/>
            <w:vAlign w:val="center"/>
            <w:hideMark/>
          </w:tcPr>
          <w:p w14:paraId="463EAB4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746733</w:t>
            </w:r>
          </w:p>
        </w:tc>
        <w:tc>
          <w:tcPr>
            <w:tcW w:w="0" w:type="auto"/>
            <w:noWrap/>
            <w:vAlign w:val="center"/>
            <w:hideMark/>
          </w:tcPr>
          <w:p w14:paraId="6D3DA0E7"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758,260</w:t>
            </w:r>
          </w:p>
        </w:tc>
        <w:tc>
          <w:tcPr>
            <w:tcW w:w="0" w:type="auto"/>
            <w:noWrap/>
            <w:vAlign w:val="center"/>
            <w:hideMark/>
          </w:tcPr>
          <w:p w14:paraId="70529D26"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11784483.38</w:t>
            </w:r>
          </w:p>
        </w:tc>
        <w:tc>
          <w:tcPr>
            <w:tcW w:w="0" w:type="auto"/>
            <w:noWrap/>
            <w:vAlign w:val="center"/>
            <w:hideMark/>
          </w:tcPr>
          <w:p w14:paraId="2C63B5EA"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1589455</w:t>
            </w:r>
          </w:p>
        </w:tc>
        <w:tc>
          <w:tcPr>
            <w:tcW w:w="0" w:type="auto"/>
            <w:noWrap/>
            <w:vAlign w:val="center"/>
            <w:hideMark/>
          </w:tcPr>
          <w:p w14:paraId="08469645"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32.5</w:t>
            </w:r>
          </w:p>
        </w:tc>
        <w:tc>
          <w:tcPr>
            <w:tcW w:w="0" w:type="auto"/>
            <w:noWrap/>
            <w:vAlign w:val="center"/>
            <w:hideMark/>
          </w:tcPr>
          <w:p w14:paraId="16FF9AC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1023</w:t>
            </w:r>
          </w:p>
        </w:tc>
        <w:tc>
          <w:tcPr>
            <w:tcW w:w="0" w:type="auto"/>
            <w:noWrap/>
            <w:vAlign w:val="center"/>
            <w:hideMark/>
          </w:tcPr>
          <w:p w14:paraId="66E08EBD"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127371</w:t>
            </w:r>
          </w:p>
        </w:tc>
        <w:tc>
          <w:tcPr>
            <w:tcW w:w="0" w:type="auto"/>
            <w:noWrap/>
            <w:vAlign w:val="center"/>
            <w:hideMark/>
          </w:tcPr>
          <w:p w14:paraId="4FD0E471" w14:textId="77777777" w:rsidR="003C6B00" w:rsidRPr="00EA38DE" w:rsidRDefault="003C6B00" w:rsidP="009501B5">
            <w:pPr>
              <w:spacing w:after="0" w:line="240" w:lineRule="auto"/>
              <w:jc w:val="center"/>
              <w:rPr>
                <w:rFonts w:eastAsia="Times New Roman" w:cstheme="minorHAnsi"/>
                <w:sz w:val="18"/>
                <w:szCs w:val="18"/>
              </w:rPr>
            </w:pPr>
            <w:r w:rsidRPr="00EA38DE">
              <w:rPr>
                <w:rFonts w:eastAsia="Times New Roman" w:cstheme="minorHAnsi"/>
                <w:sz w:val="18"/>
                <w:szCs w:val="18"/>
              </w:rPr>
              <w:t>5.48</w:t>
            </w:r>
          </w:p>
        </w:tc>
      </w:tr>
    </w:tbl>
    <w:p w14:paraId="606F23D8" w14:textId="31E797C6" w:rsidR="003C6B00" w:rsidRPr="00B0791D" w:rsidRDefault="00B36689" w:rsidP="003C6B00">
      <w:pPr>
        <w:rPr>
          <w:rFonts w:ascii="Times New Roman" w:hAnsi="Times New Roman" w:cs="Times New Roman"/>
          <w:sz w:val="24"/>
          <w:szCs w:val="24"/>
        </w:rPr>
      </w:pPr>
      <w:r w:rsidRPr="00EA38DE">
        <w:rPr>
          <w:rFonts w:ascii="Times New Roman" w:hAnsi="Times New Roman" w:cs="Times New Roman"/>
          <w:b/>
          <w:bCs/>
          <w:sz w:val="24"/>
          <w:szCs w:val="24"/>
        </w:rPr>
        <w:t>Source</w:t>
      </w:r>
      <w:r w:rsidR="00BD0191">
        <w:rPr>
          <w:rFonts w:ascii="Times New Roman" w:hAnsi="Times New Roman" w:cs="Times New Roman"/>
          <w:b/>
          <w:bCs/>
          <w:sz w:val="24"/>
          <w:szCs w:val="24"/>
        </w:rPr>
        <w:t>s</w:t>
      </w:r>
      <w:r w:rsidRPr="00EA38DE">
        <w:rPr>
          <w:rFonts w:ascii="Times New Roman" w:hAnsi="Times New Roman" w:cs="Times New Roman"/>
          <w:b/>
          <w:bCs/>
          <w:sz w:val="24"/>
          <w:szCs w:val="24"/>
        </w:rPr>
        <w:t xml:space="preserve">: </w:t>
      </w:r>
      <w:r w:rsidRPr="00B0791D">
        <w:rPr>
          <w:rFonts w:ascii="Times New Roman" w:hAnsi="Times New Roman" w:cs="Times New Roman"/>
          <w:sz w:val="24"/>
          <w:szCs w:val="24"/>
        </w:rPr>
        <w:t xml:space="preserve">World </w:t>
      </w:r>
      <w:r w:rsidR="00750308" w:rsidRPr="00B0791D">
        <w:rPr>
          <w:rFonts w:ascii="Times New Roman" w:hAnsi="Times New Roman" w:cs="Times New Roman"/>
          <w:sz w:val="24"/>
          <w:szCs w:val="24"/>
        </w:rPr>
        <w:t>Bank Data</w:t>
      </w:r>
      <w:r w:rsidR="00D47B31" w:rsidRPr="00B0791D">
        <w:rPr>
          <w:rFonts w:ascii="Times New Roman" w:hAnsi="Times New Roman" w:cs="Times New Roman"/>
          <w:sz w:val="24"/>
          <w:szCs w:val="24"/>
        </w:rPr>
        <w:t>,</w:t>
      </w:r>
      <w:r w:rsidR="00BD0191" w:rsidRPr="00B0791D">
        <w:rPr>
          <w:rFonts w:ascii="Times New Roman" w:hAnsi="Times New Roman" w:cs="Times New Roman"/>
          <w:sz w:val="24"/>
          <w:szCs w:val="24"/>
        </w:rPr>
        <w:t xml:space="preserve"> (2024);</w:t>
      </w:r>
      <w:r w:rsidR="007539AC" w:rsidRPr="00B0791D">
        <w:rPr>
          <w:rFonts w:ascii="Times New Roman" w:hAnsi="Times New Roman" w:cs="Times New Roman"/>
          <w:sz w:val="24"/>
          <w:szCs w:val="24"/>
        </w:rPr>
        <w:t xml:space="preserve"> C</w:t>
      </w:r>
      <w:r w:rsidR="00B0791D" w:rsidRPr="00B0791D">
        <w:rPr>
          <w:rFonts w:ascii="Times New Roman" w:hAnsi="Times New Roman" w:cs="Times New Roman"/>
          <w:sz w:val="24"/>
          <w:szCs w:val="24"/>
        </w:rPr>
        <w:t xml:space="preserve">entral </w:t>
      </w:r>
      <w:r w:rsidR="007539AC" w:rsidRPr="00B0791D">
        <w:rPr>
          <w:rFonts w:ascii="Times New Roman" w:hAnsi="Times New Roman" w:cs="Times New Roman"/>
          <w:sz w:val="24"/>
          <w:szCs w:val="24"/>
        </w:rPr>
        <w:t>B</w:t>
      </w:r>
      <w:r w:rsidR="00B0791D" w:rsidRPr="00B0791D">
        <w:rPr>
          <w:rFonts w:ascii="Times New Roman" w:hAnsi="Times New Roman" w:cs="Times New Roman"/>
          <w:sz w:val="24"/>
          <w:szCs w:val="24"/>
        </w:rPr>
        <w:t xml:space="preserve">ank of </w:t>
      </w:r>
      <w:r w:rsidR="007539AC" w:rsidRPr="00B0791D">
        <w:rPr>
          <w:rFonts w:ascii="Times New Roman" w:hAnsi="Times New Roman" w:cs="Times New Roman"/>
          <w:sz w:val="24"/>
          <w:szCs w:val="24"/>
        </w:rPr>
        <w:t>N</w:t>
      </w:r>
      <w:r w:rsidR="00B0791D" w:rsidRPr="00B0791D">
        <w:rPr>
          <w:rFonts w:ascii="Times New Roman" w:hAnsi="Times New Roman" w:cs="Times New Roman"/>
          <w:sz w:val="24"/>
          <w:szCs w:val="24"/>
        </w:rPr>
        <w:t xml:space="preserve">igeria (CBN, </w:t>
      </w:r>
      <w:r w:rsidRPr="00B0791D">
        <w:rPr>
          <w:rFonts w:ascii="Times New Roman" w:hAnsi="Times New Roman" w:cs="Times New Roman"/>
          <w:sz w:val="24"/>
          <w:szCs w:val="24"/>
        </w:rPr>
        <w:t>2024</w:t>
      </w:r>
      <w:r w:rsidR="007539AC" w:rsidRPr="00B0791D">
        <w:rPr>
          <w:rFonts w:ascii="Times New Roman" w:hAnsi="Times New Roman" w:cs="Times New Roman"/>
          <w:sz w:val="24"/>
          <w:szCs w:val="24"/>
        </w:rPr>
        <w:t>)</w:t>
      </w:r>
    </w:p>
    <w:p w14:paraId="38B3DF18" w14:textId="77777777" w:rsidR="002D2A60" w:rsidRPr="00B0791D" w:rsidRDefault="002D2A60" w:rsidP="003C6B00"/>
    <w:p w14:paraId="1188F046" w14:textId="77777777" w:rsidR="002D2A60" w:rsidRPr="00EA38DE" w:rsidRDefault="002D2A60" w:rsidP="003C6B00"/>
    <w:p w14:paraId="515C56DC" w14:textId="77777777" w:rsidR="002D2A60" w:rsidRPr="00EA38DE" w:rsidRDefault="002D2A60" w:rsidP="003C6B00"/>
    <w:p w14:paraId="7D542EB5" w14:textId="77777777" w:rsidR="002D2A60" w:rsidRPr="00EA38DE" w:rsidRDefault="002D2A60" w:rsidP="003C6B00"/>
    <w:p w14:paraId="4E023771" w14:textId="77777777" w:rsidR="002D2A60" w:rsidRPr="00EA38DE" w:rsidRDefault="002D2A60" w:rsidP="003C6B00"/>
    <w:p w14:paraId="4B1FFDFA" w14:textId="77777777" w:rsidR="002D2A60" w:rsidRPr="00EA38DE" w:rsidRDefault="002D2A60" w:rsidP="003C6B00"/>
    <w:p w14:paraId="39F51AD0" w14:textId="33A2BE3F" w:rsidR="002D2A60" w:rsidRPr="00EA38DE" w:rsidRDefault="00F72D9A" w:rsidP="00F72D9A">
      <w:pPr>
        <w:jc w:val="both"/>
        <w:rPr>
          <w:rFonts w:ascii="Times New Roman" w:eastAsia="Times New Roman" w:hAnsi="Times New Roman" w:cs="Times New Roman"/>
          <w:spacing w:val="-6"/>
          <w:sz w:val="26"/>
          <w:szCs w:val="24"/>
        </w:rPr>
      </w:pPr>
      <w:r w:rsidRPr="00EA38DE">
        <w:rPr>
          <w:rFonts w:ascii="Times New Roman" w:hAnsi="Times New Roman" w:cs="Times New Roman"/>
          <w:b/>
          <w:bCs/>
          <w:sz w:val="24"/>
        </w:rPr>
        <w:t xml:space="preserve">Appendix </w:t>
      </w:r>
      <w:r w:rsidR="002D2A60" w:rsidRPr="00EA38DE">
        <w:rPr>
          <w:rFonts w:ascii="Times New Roman" w:hAnsi="Times New Roman" w:cs="Times New Roman"/>
          <w:b/>
          <w:bCs/>
          <w:sz w:val="24"/>
        </w:rPr>
        <w:t>II</w:t>
      </w:r>
    </w:p>
    <w:p w14:paraId="6523B187" w14:textId="07C35614" w:rsidR="003C6B00" w:rsidRPr="00EA38DE" w:rsidRDefault="002D2A60" w:rsidP="003C6B00">
      <w:pPr>
        <w:rPr>
          <w:rFonts w:ascii="Times New Roman" w:eastAsia="Times New Roman" w:hAnsi="Times New Roman" w:cs="Times New Roman"/>
          <w:b/>
          <w:bCs/>
          <w:spacing w:val="-6"/>
          <w:sz w:val="24"/>
          <w:szCs w:val="24"/>
        </w:rPr>
      </w:pPr>
      <w:r w:rsidRPr="00EA38DE">
        <w:rPr>
          <w:rFonts w:ascii="Times New Roman" w:eastAsia="Times New Roman" w:hAnsi="Times New Roman" w:cs="Times New Roman"/>
          <w:b/>
          <w:bCs/>
          <w:spacing w:val="-6"/>
          <w:sz w:val="24"/>
          <w:szCs w:val="24"/>
        </w:rPr>
        <w:t>Econometric E-Views version 13 Result Printout</w:t>
      </w:r>
    </w:p>
    <w:p w14:paraId="29829B32" w14:textId="77777777" w:rsidR="00C26BF7" w:rsidRPr="00EA38DE" w:rsidRDefault="00C26BF7" w:rsidP="003C6B00">
      <w:pPr>
        <w:rPr>
          <w:rFonts w:ascii="Times New Roman" w:eastAsia="Times New Roman" w:hAnsi="Times New Roman" w:cs="Times New Roman"/>
          <w:b/>
          <w:bCs/>
          <w:spacing w:val="-6"/>
          <w:sz w:val="24"/>
          <w:szCs w:val="24"/>
        </w:rPr>
      </w:pPr>
    </w:p>
    <w:p w14:paraId="1C3168EE" w14:textId="77777777" w:rsidR="00C26BF7" w:rsidRPr="00EA38DE" w:rsidRDefault="00C26BF7" w:rsidP="003C6B00">
      <w:pPr>
        <w:rPr>
          <w:b/>
          <w:bCs/>
        </w:rPr>
      </w:pP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48A621DF" w14:textId="77777777" w:rsidTr="009501B5">
        <w:trPr>
          <w:trHeight w:val="220"/>
        </w:trPr>
        <w:tc>
          <w:tcPr>
            <w:tcW w:w="5270" w:type="dxa"/>
            <w:gridSpan w:val="4"/>
            <w:tcBorders>
              <w:top w:val="nil"/>
              <w:left w:val="nil"/>
              <w:bottom w:val="nil"/>
              <w:right w:val="nil"/>
            </w:tcBorders>
            <w:vAlign w:val="bottom"/>
          </w:tcPr>
          <w:p w14:paraId="255E6B1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LEXRT</w:t>
            </w:r>
          </w:p>
        </w:tc>
        <w:tc>
          <w:tcPr>
            <w:tcW w:w="950" w:type="dxa"/>
            <w:tcBorders>
              <w:top w:val="nil"/>
              <w:left w:val="nil"/>
              <w:bottom w:val="nil"/>
              <w:right w:val="nil"/>
            </w:tcBorders>
            <w:vAlign w:val="bottom"/>
          </w:tcPr>
          <w:p w14:paraId="323F7C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84BA098" w14:textId="77777777" w:rsidTr="009501B5">
        <w:trPr>
          <w:trHeight w:val="220"/>
        </w:trPr>
        <w:tc>
          <w:tcPr>
            <w:tcW w:w="6220" w:type="dxa"/>
            <w:gridSpan w:val="5"/>
            <w:tcBorders>
              <w:top w:val="nil"/>
              <w:left w:val="nil"/>
              <w:bottom w:val="nil"/>
              <w:right w:val="nil"/>
            </w:tcBorders>
            <w:vAlign w:val="bottom"/>
          </w:tcPr>
          <w:p w14:paraId="286E3DF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Method: ML ARCH - Normal distribution (BFGS / Marquardt steps)</w:t>
            </w:r>
          </w:p>
        </w:tc>
      </w:tr>
      <w:tr w:rsidR="00EA38DE" w:rsidRPr="00EA38DE" w14:paraId="3E6B087D" w14:textId="77777777" w:rsidTr="009501B5">
        <w:trPr>
          <w:trHeight w:val="220"/>
        </w:trPr>
        <w:tc>
          <w:tcPr>
            <w:tcW w:w="5270" w:type="dxa"/>
            <w:gridSpan w:val="4"/>
            <w:tcBorders>
              <w:top w:val="nil"/>
              <w:left w:val="nil"/>
              <w:bottom w:val="nil"/>
              <w:right w:val="nil"/>
            </w:tcBorders>
            <w:vAlign w:val="bottom"/>
          </w:tcPr>
          <w:p w14:paraId="785CB0B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07/27/25   Time: 17:08</w:t>
            </w:r>
          </w:p>
        </w:tc>
        <w:tc>
          <w:tcPr>
            <w:tcW w:w="950" w:type="dxa"/>
            <w:tcBorders>
              <w:top w:val="nil"/>
              <w:left w:val="nil"/>
              <w:bottom w:val="nil"/>
              <w:right w:val="nil"/>
            </w:tcBorders>
            <w:vAlign w:val="bottom"/>
          </w:tcPr>
          <w:p w14:paraId="16F48A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91EBA49" w14:textId="77777777" w:rsidTr="009501B5">
        <w:trPr>
          <w:trHeight w:val="220"/>
        </w:trPr>
        <w:tc>
          <w:tcPr>
            <w:tcW w:w="5270" w:type="dxa"/>
            <w:gridSpan w:val="4"/>
            <w:tcBorders>
              <w:top w:val="nil"/>
              <w:left w:val="nil"/>
              <w:bottom w:val="nil"/>
              <w:right w:val="nil"/>
            </w:tcBorders>
            <w:vAlign w:val="bottom"/>
          </w:tcPr>
          <w:p w14:paraId="2B316CB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(adjusted): 1986 2023</w:t>
            </w:r>
          </w:p>
        </w:tc>
        <w:tc>
          <w:tcPr>
            <w:tcW w:w="950" w:type="dxa"/>
            <w:tcBorders>
              <w:top w:val="nil"/>
              <w:left w:val="nil"/>
              <w:bottom w:val="nil"/>
              <w:right w:val="nil"/>
            </w:tcBorders>
            <w:vAlign w:val="bottom"/>
          </w:tcPr>
          <w:p w14:paraId="22238E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C466366" w14:textId="77777777" w:rsidTr="009501B5">
        <w:trPr>
          <w:trHeight w:val="220"/>
        </w:trPr>
        <w:tc>
          <w:tcPr>
            <w:tcW w:w="6220" w:type="dxa"/>
            <w:gridSpan w:val="5"/>
            <w:tcBorders>
              <w:top w:val="nil"/>
              <w:left w:val="nil"/>
              <w:bottom w:val="nil"/>
              <w:right w:val="nil"/>
            </w:tcBorders>
            <w:vAlign w:val="bottom"/>
          </w:tcPr>
          <w:p w14:paraId="3ADD710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38 after adjustments</w:t>
            </w:r>
          </w:p>
        </w:tc>
      </w:tr>
      <w:tr w:rsidR="00EA38DE" w:rsidRPr="00EA38DE" w14:paraId="6AC2615C" w14:textId="77777777" w:rsidTr="009501B5">
        <w:trPr>
          <w:trHeight w:val="220"/>
        </w:trPr>
        <w:tc>
          <w:tcPr>
            <w:tcW w:w="6220" w:type="dxa"/>
            <w:gridSpan w:val="5"/>
            <w:tcBorders>
              <w:top w:val="nil"/>
              <w:left w:val="nil"/>
              <w:bottom w:val="nil"/>
              <w:right w:val="nil"/>
            </w:tcBorders>
            <w:vAlign w:val="bottom"/>
          </w:tcPr>
          <w:p w14:paraId="136026E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Failure to improve likelihood (non-zero gradients) after 26 iterations</w:t>
            </w:r>
          </w:p>
        </w:tc>
      </w:tr>
      <w:tr w:rsidR="00EA38DE" w:rsidRPr="00EA38DE" w14:paraId="1CE6285B" w14:textId="77777777" w:rsidTr="009501B5">
        <w:trPr>
          <w:trHeight w:val="220"/>
        </w:trPr>
        <w:tc>
          <w:tcPr>
            <w:tcW w:w="6220" w:type="dxa"/>
            <w:gridSpan w:val="5"/>
            <w:tcBorders>
              <w:top w:val="nil"/>
              <w:left w:val="nil"/>
              <w:bottom w:val="nil"/>
              <w:right w:val="nil"/>
            </w:tcBorders>
            <w:vAlign w:val="bottom"/>
          </w:tcPr>
          <w:p w14:paraId="3E1DEBA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Coefficient covariance computed using outer product of gradients</w:t>
            </w:r>
          </w:p>
        </w:tc>
      </w:tr>
      <w:tr w:rsidR="00EA38DE" w:rsidRPr="00EA38DE" w14:paraId="547F93BA" w14:textId="77777777" w:rsidTr="009501B5">
        <w:trPr>
          <w:trHeight w:val="220"/>
        </w:trPr>
        <w:tc>
          <w:tcPr>
            <w:tcW w:w="6220" w:type="dxa"/>
            <w:gridSpan w:val="5"/>
            <w:tcBorders>
              <w:top w:val="nil"/>
              <w:left w:val="nil"/>
              <w:bottom w:val="nil"/>
              <w:right w:val="nil"/>
            </w:tcBorders>
            <w:vAlign w:val="bottom"/>
          </w:tcPr>
          <w:p w14:paraId="44A6F7D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Presample variance: backcast (parameter = 0.7)</w:t>
            </w:r>
          </w:p>
        </w:tc>
      </w:tr>
      <w:tr w:rsidR="00EA38DE" w:rsidRPr="00EA38DE" w14:paraId="3CF780D0" w14:textId="77777777" w:rsidTr="009501B5">
        <w:trPr>
          <w:trHeight w:val="220"/>
        </w:trPr>
        <w:tc>
          <w:tcPr>
            <w:tcW w:w="6220" w:type="dxa"/>
            <w:gridSpan w:val="5"/>
            <w:tcBorders>
              <w:top w:val="nil"/>
              <w:left w:val="nil"/>
              <w:bottom w:val="nil"/>
              <w:right w:val="nil"/>
            </w:tcBorders>
            <w:vAlign w:val="bottom"/>
          </w:tcPr>
          <w:p w14:paraId="3D533A7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LOG(GARCH) = C(3) + C(4)*ABS(RESID(-1)/@SQRT(GARCH(-1))) +</w:t>
            </w:r>
          </w:p>
        </w:tc>
      </w:tr>
      <w:tr w:rsidR="00EA38DE" w:rsidRPr="00EA38DE" w14:paraId="1866EC37" w14:textId="77777777" w:rsidTr="009501B5">
        <w:trPr>
          <w:trHeight w:val="220"/>
        </w:trPr>
        <w:tc>
          <w:tcPr>
            <w:tcW w:w="6220" w:type="dxa"/>
            <w:gridSpan w:val="5"/>
            <w:tcBorders>
              <w:top w:val="nil"/>
              <w:left w:val="nil"/>
              <w:bottom w:val="nil"/>
              <w:right w:val="nil"/>
            </w:tcBorders>
            <w:vAlign w:val="bottom"/>
          </w:tcPr>
          <w:p w14:paraId="7E15764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C(5)*RESID(-1)/@SQRT(GARCH(-1)) + C(6)*LOG(GARCH(-1))</w:t>
            </w:r>
          </w:p>
        </w:tc>
      </w:tr>
      <w:tr w:rsidR="00EA38DE" w:rsidRPr="00EA38DE" w14:paraId="4E007563" w14:textId="77777777" w:rsidTr="009501B5">
        <w:trPr>
          <w:trHeight w:hRule="exact" w:val="88"/>
        </w:trPr>
        <w:tc>
          <w:tcPr>
            <w:tcW w:w="1920" w:type="dxa"/>
            <w:tcBorders>
              <w:top w:val="nil"/>
              <w:left w:val="nil"/>
              <w:bottom w:val="double" w:sz="6" w:space="2" w:color="auto"/>
              <w:right w:val="nil"/>
            </w:tcBorders>
            <w:vAlign w:val="bottom"/>
          </w:tcPr>
          <w:p w14:paraId="3F80C7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A7F05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608B8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7914E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C7420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78F105F" w14:textId="77777777" w:rsidTr="009501B5">
        <w:trPr>
          <w:trHeight w:hRule="exact" w:val="132"/>
        </w:trPr>
        <w:tc>
          <w:tcPr>
            <w:tcW w:w="1920" w:type="dxa"/>
            <w:tcBorders>
              <w:top w:val="nil"/>
              <w:left w:val="nil"/>
              <w:bottom w:val="nil"/>
              <w:right w:val="nil"/>
            </w:tcBorders>
            <w:vAlign w:val="bottom"/>
          </w:tcPr>
          <w:p w14:paraId="02A43F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21347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8BB8B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DF0BD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79559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4E09935" w14:textId="77777777" w:rsidTr="009501B5">
        <w:trPr>
          <w:trHeight w:val="220"/>
        </w:trPr>
        <w:tc>
          <w:tcPr>
            <w:tcW w:w="1920" w:type="dxa"/>
            <w:tcBorders>
              <w:top w:val="nil"/>
              <w:left w:val="nil"/>
              <w:bottom w:val="nil"/>
              <w:right w:val="nil"/>
            </w:tcBorders>
            <w:vAlign w:val="bottom"/>
          </w:tcPr>
          <w:p w14:paraId="2673F7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49FC5D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71AE0FD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3DA2AB0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z-Statistic</w:t>
            </w:r>
          </w:p>
        </w:tc>
        <w:tc>
          <w:tcPr>
            <w:tcW w:w="950" w:type="dxa"/>
            <w:tcBorders>
              <w:top w:val="nil"/>
              <w:left w:val="nil"/>
              <w:bottom w:val="nil"/>
              <w:right w:val="nil"/>
            </w:tcBorders>
            <w:vAlign w:val="bottom"/>
          </w:tcPr>
          <w:p w14:paraId="248747F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01971636" w14:textId="77777777" w:rsidTr="009501B5">
        <w:trPr>
          <w:trHeight w:hRule="exact" w:val="88"/>
        </w:trPr>
        <w:tc>
          <w:tcPr>
            <w:tcW w:w="1920" w:type="dxa"/>
            <w:tcBorders>
              <w:top w:val="nil"/>
              <w:left w:val="nil"/>
              <w:bottom w:val="double" w:sz="6" w:space="2" w:color="auto"/>
              <w:right w:val="nil"/>
            </w:tcBorders>
            <w:vAlign w:val="bottom"/>
          </w:tcPr>
          <w:p w14:paraId="676275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737E5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67F3C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A4A9F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BC7F8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EE74D79" w14:textId="77777777" w:rsidTr="009501B5">
        <w:trPr>
          <w:trHeight w:hRule="exact" w:val="132"/>
        </w:trPr>
        <w:tc>
          <w:tcPr>
            <w:tcW w:w="1920" w:type="dxa"/>
            <w:tcBorders>
              <w:top w:val="nil"/>
              <w:left w:val="nil"/>
              <w:bottom w:val="nil"/>
              <w:right w:val="nil"/>
            </w:tcBorders>
            <w:vAlign w:val="bottom"/>
          </w:tcPr>
          <w:p w14:paraId="1C3BD9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F02B3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5BA4E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772E0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D1663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94193D8" w14:textId="77777777" w:rsidTr="009501B5">
        <w:trPr>
          <w:trHeight w:val="220"/>
        </w:trPr>
        <w:tc>
          <w:tcPr>
            <w:tcW w:w="1920" w:type="dxa"/>
            <w:tcBorders>
              <w:top w:val="nil"/>
              <w:left w:val="nil"/>
              <w:bottom w:val="nil"/>
              <w:right w:val="nil"/>
            </w:tcBorders>
            <w:vAlign w:val="bottom"/>
          </w:tcPr>
          <w:p w14:paraId="3A9407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5BF1A7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0.497995</w:t>
            </w:r>
          </w:p>
        </w:tc>
        <w:tc>
          <w:tcPr>
            <w:tcW w:w="1150" w:type="dxa"/>
            <w:tcBorders>
              <w:top w:val="nil"/>
              <w:left w:val="nil"/>
              <w:bottom w:val="nil"/>
              <w:right w:val="nil"/>
            </w:tcBorders>
            <w:vAlign w:val="bottom"/>
          </w:tcPr>
          <w:p w14:paraId="60B4A59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0.149812</w:t>
            </w:r>
          </w:p>
        </w:tc>
        <w:tc>
          <w:tcPr>
            <w:tcW w:w="1150" w:type="dxa"/>
            <w:tcBorders>
              <w:top w:val="nil"/>
              <w:left w:val="nil"/>
              <w:bottom w:val="nil"/>
              <w:right w:val="nil"/>
            </w:tcBorders>
            <w:vAlign w:val="bottom"/>
          </w:tcPr>
          <w:p w14:paraId="0D4120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3.324129</w:t>
            </w:r>
          </w:p>
        </w:tc>
        <w:tc>
          <w:tcPr>
            <w:tcW w:w="950" w:type="dxa"/>
            <w:tcBorders>
              <w:top w:val="nil"/>
              <w:left w:val="nil"/>
              <w:bottom w:val="nil"/>
              <w:right w:val="nil"/>
            </w:tcBorders>
            <w:vAlign w:val="bottom"/>
          </w:tcPr>
          <w:p w14:paraId="167BDFB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0.0009</w:t>
            </w:r>
          </w:p>
        </w:tc>
      </w:tr>
      <w:tr w:rsidR="00EA38DE" w:rsidRPr="00EA38DE" w14:paraId="0826E98C" w14:textId="77777777" w:rsidTr="009501B5">
        <w:trPr>
          <w:trHeight w:val="220"/>
        </w:trPr>
        <w:tc>
          <w:tcPr>
            <w:tcW w:w="1920" w:type="dxa"/>
            <w:tcBorders>
              <w:top w:val="nil"/>
              <w:left w:val="nil"/>
              <w:bottom w:val="nil"/>
              <w:right w:val="nil"/>
            </w:tcBorders>
            <w:vAlign w:val="bottom"/>
          </w:tcPr>
          <w:p w14:paraId="53D199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LEXRT(-1)</w:t>
            </w:r>
          </w:p>
        </w:tc>
        <w:tc>
          <w:tcPr>
            <w:tcW w:w="1050" w:type="dxa"/>
            <w:tcBorders>
              <w:top w:val="nil"/>
              <w:left w:val="nil"/>
              <w:bottom w:val="nil"/>
              <w:right w:val="nil"/>
            </w:tcBorders>
            <w:vAlign w:val="bottom"/>
          </w:tcPr>
          <w:p w14:paraId="2B01D51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0.905756</w:t>
            </w:r>
          </w:p>
        </w:tc>
        <w:tc>
          <w:tcPr>
            <w:tcW w:w="1150" w:type="dxa"/>
            <w:tcBorders>
              <w:top w:val="nil"/>
              <w:left w:val="nil"/>
              <w:bottom w:val="nil"/>
              <w:right w:val="nil"/>
            </w:tcBorders>
            <w:vAlign w:val="bottom"/>
          </w:tcPr>
          <w:p w14:paraId="0057EF1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0.029437</w:t>
            </w:r>
          </w:p>
        </w:tc>
        <w:tc>
          <w:tcPr>
            <w:tcW w:w="1150" w:type="dxa"/>
            <w:tcBorders>
              <w:top w:val="nil"/>
              <w:left w:val="nil"/>
              <w:bottom w:val="nil"/>
              <w:right w:val="nil"/>
            </w:tcBorders>
            <w:vAlign w:val="bottom"/>
          </w:tcPr>
          <w:p w14:paraId="487C90E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30.76890</w:t>
            </w:r>
          </w:p>
        </w:tc>
        <w:tc>
          <w:tcPr>
            <w:tcW w:w="950" w:type="dxa"/>
            <w:tcBorders>
              <w:top w:val="nil"/>
              <w:left w:val="nil"/>
              <w:bottom w:val="nil"/>
              <w:right w:val="nil"/>
            </w:tcBorders>
            <w:vAlign w:val="bottom"/>
          </w:tcPr>
          <w:p w14:paraId="6DD10E8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21E5FE6E" w14:textId="77777777" w:rsidTr="009501B5">
        <w:trPr>
          <w:trHeight w:hRule="exact" w:val="88"/>
        </w:trPr>
        <w:tc>
          <w:tcPr>
            <w:tcW w:w="1920" w:type="dxa"/>
            <w:tcBorders>
              <w:top w:val="nil"/>
              <w:left w:val="nil"/>
              <w:bottom w:val="double" w:sz="6" w:space="2" w:color="auto"/>
              <w:right w:val="nil"/>
            </w:tcBorders>
            <w:vAlign w:val="bottom"/>
          </w:tcPr>
          <w:p w14:paraId="57DA62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00641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B0CDB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73DF5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F0871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FBE7340" w14:textId="77777777" w:rsidTr="009501B5">
        <w:trPr>
          <w:trHeight w:hRule="exact" w:val="132"/>
        </w:trPr>
        <w:tc>
          <w:tcPr>
            <w:tcW w:w="1920" w:type="dxa"/>
            <w:tcBorders>
              <w:top w:val="nil"/>
              <w:left w:val="nil"/>
              <w:bottom w:val="nil"/>
              <w:right w:val="nil"/>
            </w:tcBorders>
            <w:vAlign w:val="bottom"/>
          </w:tcPr>
          <w:p w14:paraId="0F5E7B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6AF31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9FD1F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EA1C6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F54B5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AAE4051" w14:textId="77777777" w:rsidTr="009501B5">
        <w:trPr>
          <w:trHeight w:val="220"/>
        </w:trPr>
        <w:tc>
          <w:tcPr>
            <w:tcW w:w="1920" w:type="dxa"/>
            <w:tcBorders>
              <w:top w:val="nil"/>
              <w:left w:val="nil"/>
              <w:bottom w:val="nil"/>
              <w:right w:val="nil"/>
            </w:tcBorders>
            <w:vAlign w:val="bottom"/>
          </w:tcPr>
          <w:p w14:paraId="185816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2200" w:type="dxa"/>
            <w:gridSpan w:val="2"/>
            <w:tcBorders>
              <w:top w:val="nil"/>
              <w:left w:val="nil"/>
              <w:bottom w:val="nil"/>
              <w:right w:val="nil"/>
            </w:tcBorders>
            <w:vAlign w:val="bottom"/>
          </w:tcPr>
          <w:p w14:paraId="065676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Variance Equation</w:t>
            </w:r>
          </w:p>
        </w:tc>
        <w:tc>
          <w:tcPr>
            <w:tcW w:w="1150" w:type="dxa"/>
            <w:tcBorders>
              <w:top w:val="nil"/>
              <w:left w:val="nil"/>
              <w:bottom w:val="nil"/>
              <w:right w:val="nil"/>
            </w:tcBorders>
            <w:vAlign w:val="bottom"/>
          </w:tcPr>
          <w:p w14:paraId="3E1131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4A360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7F58B9" w14:textId="77777777" w:rsidTr="009501B5">
        <w:trPr>
          <w:trHeight w:hRule="exact" w:val="88"/>
        </w:trPr>
        <w:tc>
          <w:tcPr>
            <w:tcW w:w="1920" w:type="dxa"/>
            <w:tcBorders>
              <w:top w:val="nil"/>
              <w:left w:val="nil"/>
              <w:bottom w:val="double" w:sz="6" w:space="2" w:color="auto"/>
              <w:right w:val="nil"/>
            </w:tcBorders>
            <w:vAlign w:val="bottom"/>
          </w:tcPr>
          <w:p w14:paraId="09E661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63E2C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A41C1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7BC3A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B17DC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74737AC" w14:textId="77777777" w:rsidTr="009501B5">
        <w:trPr>
          <w:trHeight w:hRule="exact" w:val="132"/>
        </w:trPr>
        <w:tc>
          <w:tcPr>
            <w:tcW w:w="1920" w:type="dxa"/>
            <w:tcBorders>
              <w:top w:val="nil"/>
              <w:left w:val="nil"/>
              <w:bottom w:val="nil"/>
              <w:right w:val="nil"/>
            </w:tcBorders>
            <w:vAlign w:val="bottom"/>
          </w:tcPr>
          <w:p w14:paraId="197BBB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ADE89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63C52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32660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251CD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BF7A798" w14:textId="77777777" w:rsidTr="009501B5">
        <w:trPr>
          <w:trHeight w:val="220"/>
        </w:trPr>
        <w:tc>
          <w:tcPr>
            <w:tcW w:w="1920" w:type="dxa"/>
            <w:tcBorders>
              <w:top w:val="nil"/>
              <w:left w:val="nil"/>
              <w:bottom w:val="nil"/>
              <w:right w:val="nil"/>
            </w:tcBorders>
            <w:vAlign w:val="bottom"/>
          </w:tcPr>
          <w:p w14:paraId="222F83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C(3)</w:t>
            </w:r>
          </w:p>
        </w:tc>
        <w:tc>
          <w:tcPr>
            <w:tcW w:w="1050" w:type="dxa"/>
            <w:tcBorders>
              <w:top w:val="nil"/>
              <w:left w:val="nil"/>
              <w:bottom w:val="nil"/>
              <w:right w:val="nil"/>
            </w:tcBorders>
            <w:vAlign w:val="bottom"/>
          </w:tcPr>
          <w:p w14:paraId="13DD30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-1.784196</w:t>
            </w:r>
          </w:p>
        </w:tc>
        <w:tc>
          <w:tcPr>
            <w:tcW w:w="1150" w:type="dxa"/>
            <w:tcBorders>
              <w:top w:val="nil"/>
              <w:left w:val="nil"/>
              <w:bottom w:val="nil"/>
              <w:right w:val="nil"/>
            </w:tcBorders>
            <w:vAlign w:val="bottom"/>
          </w:tcPr>
          <w:p w14:paraId="279CF4C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0.878653</w:t>
            </w:r>
          </w:p>
        </w:tc>
        <w:tc>
          <w:tcPr>
            <w:tcW w:w="1150" w:type="dxa"/>
            <w:tcBorders>
              <w:top w:val="nil"/>
              <w:left w:val="nil"/>
              <w:bottom w:val="nil"/>
              <w:right w:val="nil"/>
            </w:tcBorders>
            <w:vAlign w:val="bottom"/>
          </w:tcPr>
          <w:p w14:paraId="4B6768C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-2.123114</w:t>
            </w:r>
          </w:p>
        </w:tc>
        <w:tc>
          <w:tcPr>
            <w:tcW w:w="950" w:type="dxa"/>
            <w:tcBorders>
              <w:top w:val="nil"/>
              <w:left w:val="nil"/>
              <w:bottom w:val="nil"/>
              <w:right w:val="nil"/>
            </w:tcBorders>
            <w:vAlign w:val="bottom"/>
          </w:tcPr>
          <w:p w14:paraId="592BAF7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0.0383</w:t>
            </w:r>
          </w:p>
        </w:tc>
      </w:tr>
      <w:tr w:rsidR="00EA38DE" w:rsidRPr="00EA38DE" w14:paraId="557704A9" w14:textId="77777777" w:rsidTr="009501B5">
        <w:trPr>
          <w:trHeight w:val="220"/>
        </w:trPr>
        <w:tc>
          <w:tcPr>
            <w:tcW w:w="1920" w:type="dxa"/>
            <w:tcBorders>
              <w:top w:val="nil"/>
              <w:left w:val="nil"/>
              <w:bottom w:val="nil"/>
              <w:right w:val="nil"/>
            </w:tcBorders>
            <w:vAlign w:val="bottom"/>
          </w:tcPr>
          <w:p w14:paraId="66E56E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C(4)</w:t>
            </w:r>
          </w:p>
        </w:tc>
        <w:tc>
          <w:tcPr>
            <w:tcW w:w="1050" w:type="dxa"/>
            <w:tcBorders>
              <w:top w:val="nil"/>
              <w:left w:val="nil"/>
              <w:bottom w:val="nil"/>
              <w:right w:val="nil"/>
            </w:tcBorders>
            <w:vAlign w:val="bottom"/>
          </w:tcPr>
          <w:p w14:paraId="0ADF30E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1.437447</w:t>
            </w:r>
          </w:p>
        </w:tc>
        <w:tc>
          <w:tcPr>
            <w:tcW w:w="1150" w:type="dxa"/>
            <w:tcBorders>
              <w:top w:val="nil"/>
              <w:left w:val="nil"/>
              <w:bottom w:val="nil"/>
              <w:right w:val="nil"/>
            </w:tcBorders>
            <w:vAlign w:val="bottom"/>
          </w:tcPr>
          <w:p w14:paraId="2F64F89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0.121318</w:t>
            </w:r>
          </w:p>
        </w:tc>
        <w:tc>
          <w:tcPr>
            <w:tcW w:w="1150" w:type="dxa"/>
            <w:tcBorders>
              <w:top w:val="nil"/>
              <w:left w:val="nil"/>
              <w:bottom w:val="nil"/>
              <w:right w:val="nil"/>
            </w:tcBorders>
            <w:vAlign w:val="bottom"/>
          </w:tcPr>
          <w:p w14:paraId="4FA0D84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2.150172</w:t>
            </w:r>
          </w:p>
        </w:tc>
        <w:tc>
          <w:tcPr>
            <w:tcW w:w="950" w:type="dxa"/>
            <w:tcBorders>
              <w:top w:val="nil"/>
              <w:left w:val="nil"/>
              <w:bottom w:val="nil"/>
              <w:right w:val="nil"/>
            </w:tcBorders>
            <w:vAlign w:val="bottom"/>
          </w:tcPr>
          <w:p w14:paraId="6895CA1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0.0301</w:t>
            </w:r>
          </w:p>
        </w:tc>
      </w:tr>
      <w:tr w:rsidR="00EA38DE" w:rsidRPr="00EA38DE" w14:paraId="1D76F461" w14:textId="77777777" w:rsidTr="009501B5">
        <w:trPr>
          <w:trHeight w:val="220"/>
        </w:trPr>
        <w:tc>
          <w:tcPr>
            <w:tcW w:w="1920" w:type="dxa"/>
            <w:tcBorders>
              <w:top w:val="nil"/>
              <w:left w:val="nil"/>
              <w:bottom w:val="nil"/>
              <w:right w:val="nil"/>
            </w:tcBorders>
            <w:vAlign w:val="bottom"/>
          </w:tcPr>
          <w:p w14:paraId="51FAB0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C(5)</w:t>
            </w:r>
          </w:p>
        </w:tc>
        <w:tc>
          <w:tcPr>
            <w:tcW w:w="1050" w:type="dxa"/>
            <w:tcBorders>
              <w:top w:val="nil"/>
              <w:left w:val="nil"/>
              <w:bottom w:val="nil"/>
              <w:right w:val="nil"/>
            </w:tcBorders>
            <w:vAlign w:val="bottom"/>
          </w:tcPr>
          <w:p w14:paraId="195591F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-0.684577</w:t>
            </w:r>
          </w:p>
        </w:tc>
        <w:tc>
          <w:tcPr>
            <w:tcW w:w="1150" w:type="dxa"/>
            <w:tcBorders>
              <w:top w:val="nil"/>
              <w:left w:val="nil"/>
              <w:bottom w:val="nil"/>
              <w:right w:val="nil"/>
            </w:tcBorders>
            <w:vAlign w:val="bottom"/>
          </w:tcPr>
          <w:p w14:paraId="02CD3C9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0.603598</w:t>
            </w:r>
          </w:p>
        </w:tc>
        <w:tc>
          <w:tcPr>
            <w:tcW w:w="1150" w:type="dxa"/>
            <w:tcBorders>
              <w:top w:val="nil"/>
              <w:left w:val="nil"/>
              <w:bottom w:val="nil"/>
              <w:right w:val="nil"/>
            </w:tcBorders>
            <w:vAlign w:val="bottom"/>
          </w:tcPr>
          <w:p w14:paraId="16997B5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-1.134159</w:t>
            </w:r>
          </w:p>
        </w:tc>
        <w:tc>
          <w:tcPr>
            <w:tcW w:w="950" w:type="dxa"/>
            <w:tcBorders>
              <w:top w:val="nil"/>
              <w:left w:val="nil"/>
              <w:bottom w:val="nil"/>
              <w:right w:val="nil"/>
            </w:tcBorders>
            <w:vAlign w:val="bottom"/>
          </w:tcPr>
          <w:p w14:paraId="191D8B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0.2567</w:t>
            </w:r>
          </w:p>
        </w:tc>
      </w:tr>
      <w:tr w:rsidR="00EA38DE" w:rsidRPr="00EA38DE" w14:paraId="31E60C5F" w14:textId="77777777" w:rsidTr="009501B5">
        <w:trPr>
          <w:trHeight w:val="220"/>
        </w:trPr>
        <w:tc>
          <w:tcPr>
            <w:tcW w:w="1920" w:type="dxa"/>
            <w:tcBorders>
              <w:top w:val="nil"/>
              <w:left w:val="nil"/>
              <w:bottom w:val="nil"/>
              <w:right w:val="nil"/>
            </w:tcBorders>
            <w:vAlign w:val="bottom"/>
          </w:tcPr>
          <w:p w14:paraId="7789DF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C(6)</w:t>
            </w:r>
          </w:p>
        </w:tc>
        <w:tc>
          <w:tcPr>
            <w:tcW w:w="1050" w:type="dxa"/>
            <w:tcBorders>
              <w:top w:val="nil"/>
              <w:left w:val="nil"/>
              <w:bottom w:val="nil"/>
              <w:right w:val="nil"/>
            </w:tcBorders>
            <w:vAlign w:val="bottom"/>
          </w:tcPr>
          <w:p w14:paraId="7F3F60F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0.668429</w:t>
            </w:r>
          </w:p>
        </w:tc>
        <w:tc>
          <w:tcPr>
            <w:tcW w:w="1150" w:type="dxa"/>
            <w:tcBorders>
              <w:top w:val="nil"/>
              <w:left w:val="nil"/>
              <w:bottom w:val="nil"/>
              <w:right w:val="nil"/>
            </w:tcBorders>
            <w:vAlign w:val="bottom"/>
          </w:tcPr>
          <w:p w14:paraId="3D78FDF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0.282570</w:t>
            </w:r>
          </w:p>
        </w:tc>
        <w:tc>
          <w:tcPr>
            <w:tcW w:w="1150" w:type="dxa"/>
            <w:tcBorders>
              <w:top w:val="nil"/>
              <w:left w:val="nil"/>
              <w:bottom w:val="nil"/>
              <w:right w:val="nil"/>
            </w:tcBorders>
            <w:vAlign w:val="bottom"/>
          </w:tcPr>
          <w:p w14:paraId="65B3B2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2.365534</w:t>
            </w:r>
          </w:p>
        </w:tc>
        <w:tc>
          <w:tcPr>
            <w:tcW w:w="950" w:type="dxa"/>
            <w:tcBorders>
              <w:top w:val="nil"/>
              <w:left w:val="nil"/>
              <w:bottom w:val="nil"/>
              <w:right w:val="nil"/>
            </w:tcBorders>
            <w:vAlign w:val="bottom"/>
          </w:tcPr>
          <w:p w14:paraId="39DEC2D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0.0180</w:t>
            </w:r>
          </w:p>
        </w:tc>
      </w:tr>
      <w:tr w:rsidR="00EA38DE" w:rsidRPr="00EA38DE" w14:paraId="0727AF67" w14:textId="77777777" w:rsidTr="009501B5">
        <w:trPr>
          <w:trHeight w:hRule="exact" w:val="88"/>
        </w:trPr>
        <w:tc>
          <w:tcPr>
            <w:tcW w:w="1920" w:type="dxa"/>
            <w:tcBorders>
              <w:top w:val="nil"/>
              <w:left w:val="nil"/>
              <w:bottom w:val="double" w:sz="6" w:space="2" w:color="auto"/>
              <w:right w:val="nil"/>
            </w:tcBorders>
            <w:vAlign w:val="bottom"/>
          </w:tcPr>
          <w:p w14:paraId="617576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26010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A6502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2BE3E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ED1F1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E4B1736" w14:textId="77777777" w:rsidTr="009501B5">
        <w:trPr>
          <w:trHeight w:hRule="exact" w:val="132"/>
        </w:trPr>
        <w:tc>
          <w:tcPr>
            <w:tcW w:w="1920" w:type="dxa"/>
            <w:tcBorders>
              <w:top w:val="nil"/>
              <w:left w:val="nil"/>
              <w:bottom w:val="nil"/>
              <w:right w:val="nil"/>
            </w:tcBorders>
            <w:vAlign w:val="bottom"/>
          </w:tcPr>
          <w:p w14:paraId="1880BC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DDD17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5E350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C9024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0C706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D1D82C5" w14:textId="77777777" w:rsidTr="009501B5">
        <w:trPr>
          <w:trHeight w:val="220"/>
        </w:trPr>
        <w:tc>
          <w:tcPr>
            <w:tcW w:w="1920" w:type="dxa"/>
            <w:tcBorders>
              <w:top w:val="nil"/>
              <w:left w:val="nil"/>
              <w:bottom w:val="nil"/>
              <w:right w:val="nil"/>
            </w:tcBorders>
            <w:vAlign w:val="bottom"/>
          </w:tcPr>
          <w:p w14:paraId="51C66A2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43E24E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0.967771</w:t>
            </w:r>
          </w:p>
        </w:tc>
        <w:tc>
          <w:tcPr>
            <w:tcW w:w="2300" w:type="dxa"/>
            <w:gridSpan w:val="2"/>
            <w:tcBorders>
              <w:top w:val="nil"/>
              <w:left w:val="nil"/>
              <w:bottom w:val="nil"/>
              <w:right w:val="nil"/>
            </w:tcBorders>
            <w:vAlign w:val="bottom"/>
          </w:tcPr>
          <w:p w14:paraId="5BED4E65"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39E54F3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4.253968</w:t>
            </w:r>
          </w:p>
        </w:tc>
      </w:tr>
      <w:tr w:rsidR="00EA38DE" w:rsidRPr="00EA38DE" w14:paraId="3F60709A" w14:textId="77777777" w:rsidTr="009501B5">
        <w:trPr>
          <w:trHeight w:val="220"/>
        </w:trPr>
        <w:tc>
          <w:tcPr>
            <w:tcW w:w="1920" w:type="dxa"/>
            <w:tcBorders>
              <w:top w:val="nil"/>
              <w:left w:val="nil"/>
              <w:bottom w:val="nil"/>
              <w:right w:val="nil"/>
            </w:tcBorders>
            <w:vAlign w:val="bottom"/>
          </w:tcPr>
          <w:p w14:paraId="602E8E7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751C4F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0.966876</w:t>
            </w:r>
          </w:p>
        </w:tc>
        <w:tc>
          <w:tcPr>
            <w:tcW w:w="2300" w:type="dxa"/>
            <w:gridSpan w:val="2"/>
            <w:tcBorders>
              <w:top w:val="nil"/>
              <w:left w:val="nil"/>
              <w:bottom w:val="nil"/>
              <w:right w:val="nil"/>
            </w:tcBorders>
            <w:vAlign w:val="bottom"/>
          </w:tcPr>
          <w:p w14:paraId="5A1C637E"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0E21BD1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1.495285</w:t>
            </w:r>
          </w:p>
        </w:tc>
      </w:tr>
      <w:tr w:rsidR="00EA38DE" w:rsidRPr="00EA38DE" w14:paraId="25271F34" w14:textId="77777777" w:rsidTr="009501B5">
        <w:trPr>
          <w:trHeight w:val="220"/>
        </w:trPr>
        <w:tc>
          <w:tcPr>
            <w:tcW w:w="1920" w:type="dxa"/>
            <w:tcBorders>
              <w:top w:val="nil"/>
              <w:left w:val="nil"/>
              <w:bottom w:val="nil"/>
              <w:right w:val="nil"/>
            </w:tcBorders>
            <w:vAlign w:val="bottom"/>
          </w:tcPr>
          <w:p w14:paraId="71CC9BD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51833D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0.272142</w:t>
            </w:r>
          </w:p>
        </w:tc>
        <w:tc>
          <w:tcPr>
            <w:tcW w:w="2300" w:type="dxa"/>
            <w:gridSpan w:val="2"/>
            <w:tcBorders>
              <w:top w:val="nil"/>
              <w:left w:val="nil"/>
              <w:bottom w:val="nil"/>
              <w:right w:val="nil"/>
            </w:tcBorders>
            <w:vAlign w:val="bottom"/>
          </w:tcPr>
          <w:p w14:paraId="32CA1389"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0D5C334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0.132344</w:t>
            </w:r>
          </w:p>
        </w:tc>
      </w:tr>
      <w:tr w:rsidR="00EA38DE" w:rsidRPr="00EA38DE" w14:paraId="77C6F375" w14:textId="77777777" w:rsidTr="009501B5">
        <w:trPr>
          <w:trHeight w:val="220"/>
        </w:trPr>
        <w:tc>
          <w:tcPr>
            <w:tcW w:w="1920" w:type="dxa"/>
            <w:tcBorders>
              <w:top w:val="nil"/>
              <w:left w:val="nil"/>
              <w:bottom w:val="nil"/>
              <w:right w:val="nil"/>
            </w:tcBorders>
            <w:vAlign w:val="bottom"/>
          </w:tcPr>
          <w:p w14:paraId="68E4D88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2E533CD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2.666206</w:t>
            </w:r>
          </w:p>
        </w:tc>
        <w:tc>
          <w:tcPr>
            <w:tcW w:w="2300" w:type="dxa"/>
            <w:gridSpan w:val="2"/>
            <w:tcBorders>
              <w:top w:val="nil"/>
              <w:left w:val="nil"/>
              <w:bottom w:val="nil"/>
              <w:right w:val="nil"/>
            </w:tcBorders>
            <w:vAlign w:val="bottom"/>
          </w:tcPr>
          <w:p w14:paraId="4A5295E5"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5D4D41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0.390910</w:t>
            </w:r>
          </w:p>
        </w:tc>
      </w:tr>
      <w:tr w:rsidR="00EA38DE" w:rsidRPr="00EA38DE" w14:paraId="47C4AEAE" w14:textId="77777777" w:rsidTr="009501B5">
        <w:trPr>
          <w:trHeight w:val="220"/>
        </w:trPr>
        <w:tc>
          <w:tcPr>
            <w:tcW w:w="1920" w:type="dxa"/>
            <w:tcBorders>
              <w:top w:val="nil"/>
              <w:left w:val="nil"/>
              <w:bottom w:val="nil"/>
              <w:right w:val="nil"/>
            </w:tcBorders>
            <w:vAlign w:val="bottom"/>
          </w:tcPr>
          <w:p w14:paraId="2676C31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35283A3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3.485464</w:t>
            </w:r>
          </w:p>
        </w:tc>
        <w:tc>
          <w:tcPr>
            <w:tcW w:w="2300" w:type="dxa"/>
            <w:gridSpan w:val="2"/>
            <w:tcBorders>
              <w:top w:val="nil"/>
              <w:left w:val="nil"/>
              <w:bottom w:val="nil"/>
              <w:right w:val="nil"/>
            </w:tcBorders>
            <w:vAlign w:val="bottom"/>
          </w:tcPr>
          <w:p w14:paraId="634EA539"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5B2579F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0.224340</w:t>
            </w:r>
          </w:p>
        </w:tc>
      </w:tr>
      <w:tr w:rsidR="00EA38DE" w:rsidRPr="00EA38DE" w14:paraId="0B28AE86" w14:textId="77777777" w:rsidTr="009501B5">
        <w:trPr>
          <w:trHeight w:val="220"/>
        </w:trPr>
        <w:tc>
          <w:tcPr>
            <w:tcW w:w="1920" w:type="dxa"/>
            <w:tcBorders>
              <w:top w:val="nil"/>
              <w:left w:val="nil"/>
              <w:bottom w:val="nil"/>
              <w:right w:val="nil"/>
            </w:tcBorders>
            <w:vAlign w:val="bottom"/>
          </w:tcPr>
          <w:p w14:paraId="5F6E1AA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1E0189E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1.837666</w:t>
            </w:r>
          </w:p>
        </w:tc>
        <w:tc>
          <w:tcPr>
            <w:tcW w:w="1150" w:type="dxa"/>
            <w:tcBorders>
              <w:top w:val="nil"/>
              <w:left w:val="nil"/>
              <w:bottom w:val="nil"/>
              <w:right w:val="nil"/>
            </w:tcBorders>
            <w:vAlign w:val="bottom"/>
          </w:tcPr>
          <w:p w14:paraId="3C135754"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4D09FC25"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131AEDFD"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6F32C174" w14:textId="77777777" w:rsidTr="009501B5">
        <w:trPr>
          <w:trHeight w:hRule="exact" w:val="88"/>
        </w:trPr>
        <w:tc>
          <w:tcPr>
            <w:tcW w:w="1920" w:type="dxa"/>
            <w:tcBorders>
              <w:top w:val="nil"/>
              <w:left w:val="nil"/>
              <w:bottom w:val="double" w:sz="6" w:space="0" w:color="auto"/>
              <w:right w:val="nil"/>
            </w:tcBorders>
            <w:vAlign w:val="bottom"/>
          </w:tcPr>
          <w:p w14:paraId="32BBF3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6F6E69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9C23E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BDAB4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0058F1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2F061B" w:rsidRPr="00EA38DE" w14:paraId="1CC317E6" w14:textId="77777777" w:rsidTr="009501B5">
        <w:trPr>
          <w:trHeight w:hRule="exact" w:val="132"/>
        </w:trPr>
        <w:tc>
          <w:tcPr>
            <w:tcW w:w="1920" w:type="dxa"/>
            <w:tcBorders>
              <w:top w:val="nil"/>
              <w:left w:val="nil"/>
              <w:bottom w:val="nil"/>
              <w:right w:val="nil"/>
            </w:tcBorders>
            <w:vAlign w:val="bottom"/>
          </w:tcPr>
          <w:p w14:paraId="09347D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DC6F5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4D62E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7BF68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522A2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0378A521" w14:textId="77777777" w:rsidR="003C6B00" w:rsidRPr="00EA38DE" w:rsidRDefault="003C6B00" w:rsidP="003C6B00"/>
    <w:p w14:paraId="46639CE8" w14:textId="77777777" w:rsidR="003C6B00" w:rsidRPr="00EA38DE" w:rsidRDefault="003C6B00" w:rsidP="003C6B00"/>
    <w:p w14:paraId="768759C7" w14:textId="77777777" w:rsidR="003C6B00" w:rsidRPr="00EA38DE" w:rsidRDefault="003C6B00" w:rsidP="003C6B00"/>
    <w:p w14:paraId="418C1DE8" w14:textId="77777777" w:rsidR="003C6B00" w:rsidRPr="00EA38DE" w:rsidRDefault="003C6B00" w:rsidP="003C6B00"/>
    <w:p w14:paraId="37641570" w14:textId="77777777" w:rsidR="003C6B00" w:rsidRPr="00EA38DE" w:rsidRDefault="003C6B00" w:rsidP="003C6B00"/>
    <w:p w14:paraId="15974075" w14:textId="77777777" w:rsidR="003C6B00" w:rsidRPr="00EA38DE" w:rsidRDefault="003C6B00" w:rsidP="003C6B00"/>
    <w:p w14:paraId="66908904" w14:textId="77777777" w:rsidR="003C6B00" w:rsidRPr="00EA38DE" w:rsidRDefault="003C6B00" w:rsidP="003C6B00"/>
    <w:p w14:paraId="51E5475A" w14:textId="77777777" w:rsidR="003C6B00" w:rsidRPr="00EA38DE" w:rsidRDefault="003C6B00" w:rsidP="003C6B00"/>
    <w:p w14:paraId="1EB5E0F5" w14:textId="77777777" w:rsidR="003C6B00" w:rsidRPr="00EA38DE" w:rsidRDefault="003C6B00" w:rsidP="003C6B00"/>
    <w:p w14:paraId="2C52830B" w14:textId="77777777" w:rsidR="002F061B" w:rsidRPr="00EA38DE" w:rsidRDefault="002F061B" w:rsidP="003C6B00"/>
    <w:p w14:paraId="4283E4DB"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7561EFF5" w14:textId="77777777" w:rsidTr="009501B5">
        <w:trPr>
          <w:trHeight w:val="220"/>
        </w:trPr>
        <w:tc>
          <w:tcPr>
            <w:tcW w:w="6420" w:type="dxa"/>
            <w:gridSpan w:val="5"/>
            <w:tcBorders>
              <w:top w:val="nil"/>
              <w:left w:val="nil"/>
              <w:bottom w:val="nil"/>
              <w:right w:val="nil"/>
            </w:tcBorders>
            <w:vAlign w:val="bottom"/>
          </w:tcPr>
          <w:p w14:paraId="58EF74D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Long Run Form and Bounds Test</w:t>
            </w:r>
          </w:p>
        </w:tc>
      </w:tr>
      <w:tr w:rsidR="00EA38DE" w:rsidRPr="00EA38DE" w14:paraId="2146BBF2" w14:textId="77777777" w:rsidTr="009501B5">
        <w:trPr>
          <w:trHeight w:val="220"/>
        </w:trPr>
        <w:tc>
          <w:tcPr>
            <w:tcW w:w="5470" w:type="dxa"/>
            <w:gridSpan w:val="4"/>
            <w:tcBorders>
              <w:top w:val="nil"/>
              <w:left w:val="nil"/>
              <w:bottom w:val="nil"/>
              <w:right w:val="nil"/>
            </w:tcBorders>
            <w:vAlign w:val="bottom"/>
          </w:tcPr>
          <w:p w14:paraId="493F8F6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D(LCTP)</w:t>
            </w:r>
          </w:p>
        </w:tc>
        <w:tc>
          <w:tcPr>
            <w:tcW w:w="950" w:type="dxa"/>
            <w:tcBorders>
              <w:top w:val="nil"/>
              <w:left w:val="nil"/>
              <w:bottom w:val="nil"/>
              <w:right w:val="nil"/>
            </w:tcBorders>
            <w:vAlign w:val="bottom"/>
          </w:tcPr>
          <w:p w14:paraId="266C3C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049836E" w14:textId="77777777" w:rsidTr="009501B5">
        <w:trPr>
          <w:trHeight w:val="220"/>
        </w:trPr>
        <w:tc>
          <w:tcPr>
            <w:tcW w:w="6420" w:type="dxa"/>
            <w:gridSpan w:val="5"/>
            <w:tcBorders>
              <w:top w:val="nil"/>
              <w:left w:val="nil"/>
              <w:bottom w:val="nil"/>
              <w:right w:val="nil"/>
            </w:tcBorders>
            <w:vAlign w:val="bottom"/>
          </w:tcPr>
          <w:p w14:paraId="31A4F4A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0, 0, 0, 1, 2)</w:t>
            </w:r>
          </w:p>
        </w:tc>
      </w:tr>
      <w:tr w:rsidR="00EA38DE" w:rsidRPr="00EA38DE" w14:paraId="29736215" w14:textId="77777777" w:rsidTr="009501B5">
        <w:trPr>
          <w:trHeight w:val="220"/>
        </w:trPr>
        <w:tc>
          <w:tcPr>
            <w:tcW w:w="6420" w:type="dxa"/>
            <w:gridSpan w:val="5"/>
            <w:tcBorders>
              <w:top w:val="nil"/>
              <w:left w:val="nil"/>
              <w:bottom w:val="nil"/>
              <w:right w:val="nil"/>
            </w:tcBorders>
            <w:vAlign w:val="bottom"/>
          </w:tcPr>
          <w:p w14:paraId="3F43DC9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3B79655C" w14:textId="77777777" w:rsidTr="009501B5">
        <w:trPr>
          <w:trHeight w:val="220"/>
        </w:trPr>
        <w:tc>
          <w:tcPr>
            <w:tcW w:w="5470" w:type="dxa"/>
            <w:gridSpan w:val="4"/>
            <w:tcBorders>
              <w:top w:val="nil"/>
              <w:left w:val="nil"/>
              <w:bottom w:val="nil"/>
              <w:right w:val="nil"/>
            </w:tcBorders>
            <w:vAlign w:val="bottom"/>
          </w:tcPr>
          <w:p w14:paraId="4A867A7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09:06</w:t>
            </w:r>
          </w:p>
        </w:tc>
        <w:tc>
          <w:tcPr>
            <w:tcW w:w="950" w:type="dxa"/>
            <w:tcBorders>
              <w:top w:val="nil"/>
              <w:left w:val="nil"/>
              <w:bottom w:val="nil"/>
              <w:right w:val="nil"/>
            </w:tcBorders>
            <w:vAlign w:val="bottom"/>
          </w:tcPr>
          <w:p w14:paraId="241457C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F72C505" w14:textId="77777777" w:rsidTr="009501B5">
        <w:trPr>
          <w:trHeight w:val="220"/>
        </w:trPr>
        <w:tc>
          <w:tcPr>
            <w:tcW w:w="4320" w:type="dxa"/>
            <w:gridSpan w:val="3"/>
            <w:tcBorders>
              <w:top w:val="nil"/>
              <w:left w:val="nil"/>
              <w:bottom w:val="nil"/>
              <w:right w:val="nil"/>
            </w:tcBorders>
            <w:vAlign w:val="bottom"/>
          </w:tcPr>
          <w:p w14:paraId="3B32470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12DA96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6DBF5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9A9D773" w14:textId="77777777" w:rsidTr="009501B5">
        <w:trPr>
          <w:trHeight w:val="220"/>
        </w:trPr>
        <w:tc>
          <w:tcPr>
            <w:tcW w:w="5470" w:type="dxa"/>
            <w:gridSpan w:val="4"/>
            <w:tcBorders>
              <w:top w:val="nil"/>
              <w:left w:val="nil"/>
              <w:bottom w:val="nil"/>
              <w:right w:val="nil"/>
            </w:tcBorders>
            <w:vAlign w:val="bottom"/>
          </w:tcPr>
          <w:p w14:paraId="10FD261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33</w:t>
            </w:r>
          </w:p>
        </w:tc>
        <w:tc>
          <w:tcPr>
            <w:tcW w:w="950" w:type="dxa"/>
            <w:tcBorders>
              <w:top w:val="nil"/>
              <w:left w:val="nil"/>
              <w:bottom w:val="nil"/>
              <w:right w:val="nil"/>
            </w:tcBorders>
            <w:vAlign w:val="bottom"/>
          </w:tcPr>
          <w:p w14:paraId="5AAAE8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785966A" w14:textId="77777777" w:rsidTr="009501B5">
        <w:trPr>
          <w:trHeight w:hRule="exact" w:val="88"/>
        </w:trPr>
        <w:tc>
          <w:tcPr>
            <w:tcW w:w="2120" w:type="dxa"/>
            <w:tcBorders>
              <w:top w:val="nil"/>
              <w:left w:val="nil"/>
              <w:bottom w:val="double" w:sz="6" w:space="2" w:color="auto"/>
              <w:right w:val="nil"/>
            </w:tcBorders>
            <w:vAlign w:val="bottom"/>
          </w:tcPr>
          <w:p w14:paraId="33BB34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FDA68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8E1E1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C8AE9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82250E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9F838AF" w14:textId="77777777" w:rsidTr="009501B5">
        <w:trPr>
          <w:trHeight w:hRule="exact" w:val="132"/>
        </w:trPr>
        <w:tc>
          <w:tcPr>
            <w:tcW w:w="2120" w:type="dxa"/>
            <w:tcBorders>
              <w:top w:val="nil"/>
              <w:left w:val="nil"/>
              <w:bottom w:val="nil"/>
              <w:right w:val="nil"/>
            </w:tcBorders>
            <w:vAlign w:val="bottom"/>
          </w:tcPr>
          <w:p w14:paraId="7AE82F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87B0C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39655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9526A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9CE49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3CC82A0" w14:textId="77777777" w:rsidTr="009501B5">
        <w:trPr>
          <w:trHeight w:val="220"/>
        </w:trPr>
        <w:tc>
          <w:tcPr>
            <w:tcW w:w="6420" w:type="dxa"/>
            <w:gridSpan w:val="5"/>
            <w:tcBorders>
              <w:top w:val="nil"/>
              <w:left w:val="nil"/>
              <w:bottom w:val="nil"/>
              <w:right w:val="nil"/>
            </w:tcBorders>
            <w:vAlign w:val="bottom"/>
          </w:tcPr>
          <w:p w14:paraId="52A375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46542942" w14:textId="77777777" w:rsidTr="009501B5">
        <w:trPr>
          <w:trHeight w:hRule="exact" w:val="88"/>
        </w:trPr>
        <w:tc>
          <w:tcPr>
            <w:tcW w:w="2120" w:type="dxa"/>
            <w:tcBorders>
              <w:top w:val="nil"/>
              <w:left w:val="nil"/>
              <w:bottom w:val="double" w:sz="6" w:space="2" w:color="auto"/>
              <w:right w:val="nil"/>
            </w:tcBorders>
            <w:vAlign w:val="bottom"/>
          </w:tcPr>
          <w:p w14:paraId="37BC17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5CF3E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AA255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B5B2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580B9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848DA50" w14:textId="77777777" w:rsidTr="009501B5">
        <w:trPr>
          <w:trHeight w:hRule="exact" w:val="132"/>
        </w:trPr>
        <w:tc>
          <w:tcPr>
            <w:tcW w:w="2120" w:type="dxa"/>
            <w:tcBorders>
              <w:top w:val="nil"/>
              <w:left w:val="nil"/>
              <w:bottom w:val="nil"/>
              <w:right w:val="nil"/>
            </w:tcBorders>
            <w:vAlign w:val="bottom"/>
          </w:tcPr>
          <w:p w14:paraId="25BFB3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65CC0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F51C1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E742F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A479C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67A9DC3" w14:textId="77777777" w:rsidTr="009501B5">
        <w:trPr>
          <w:trHeight w:val="220"/>
        </w:trPr>
        <w:tc>
          <w:tcPr>
            <w:tcW w:w="2120" w:type="dxa"/>
            <w:tcBorders>
              <w:top w:val="nil"/>
              <w:left w:val="nil"/>
              <w:bottom w:val="nil"/>
              <w:right w:val="nil"/>
            </w:tcBorders>
            <w:vAlign w:val="bottom"/>
          </w:tcPr>
          <w:p w14:paraId="4DEC0B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37A537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36E051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56ACE6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421A4FF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7562C18E" w14:textId="77777777" w:rsidTr="009501B5">
        <w:trPr>
          <w:trHeight w:hRule="exact" w:val="88"/>
        </w:trPr>
        <w:tc>
          <w:tcPr>
            <w:tcW w:w="2120" w:type="dxa"/>
            <w:tcBorders>
              <w:top w:val="nil"/>
              <w:left w:val="nil"/>
              <w:bottom w:val="double" w:sz="6" w:space="2" w:color="auto"/>
              <w:right w:val="nil"/>
            </w:tcBorders>
            <w:vAlign w:val="bottom"/>
          </w:tcPr>
          <w:p w14:paraId="2902EB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022A6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C5142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46324D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A8903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8675081" w14:textId="77777777" w:rsidTr="009501B5">
        <w:trPr>
          <w:trHeight w:hRule="exact" w:val="132"/>
        </w:trPr>
        <w:tc>
          <w:tcPr>
            <w:tcW w:w="2120" w:type="dxa"/>
            <w:tcBorders>
              <w:top w:val="nil"/>
              <w:left w:val="nil"/>
              <w:bottom w:val="nil"/>
              <w:right w:val="nil"/>
            </w:tcBorders>
            <w:vAlign w:val="bottom"/>
          </w:tcPr>
          <w:p w14:paraId="68A863E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F0CEC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E0BA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165AB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45E15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EAA8EA7" w14:textId="77777777" w:rsidTr="009501B5">
        <w:trPr>
          <w:trHeight w:val="220"/>
        </w:trPr>
        <w:tc>
          <w:tcPr>
            <w:tcW w:w="2120" w:type="dxa"/>
            <w:tcBorders>
              <w:top w:val="nil"/>
              <w:left w:val="nil"/>
              <w:bottom w:val="nil"/>
              <w:right w:val="nil"/>
            </w:tcBorders>
            <w:vAlign w:val="bottom"/>
          </w:tcPr>
          <w:p w14:paraId="0E8841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1C364CE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-1.647903</w:t>
            </w:r>
          </w:p>
        </w:tc>
        <w:tc>
          <w:tcPr>
            <w:tcW w:w="1150" w:type="dxa"/>
            <w:tcBorders>
              <w:top w:val="nil"/>
              <w:left w:val="nil"/>
              <w:bottom w:val="nil"/>
              <w:right w:val="nil"/>
            </w:tcBorders>
            <w:vAlign w:val="bottom"/>
          </w:tcPr>
          <w:p w14:paraId="6A31E8B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1.631830</w:t>
            </w:r>
          </w:p>
        </w:tc>
        <w:tc>
          <w:tcPr>
            <w:tcW w:w="1150" w:type="dxa"/>
            <w:tcBorders>
              <w:top w:val="nil"/>
              <w:left w:val="nil"/>
              <w:bottom w:val="nil"/>
              <w:right w:val="nil"/>
            </w:tcBorders>
            <w:vAlign w:val="bottom"/>
          </w:tcPr>
          <w:p w14:paraId="17B91B9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-1.009849</w:t>
            </w:r>
          </w:p>
        </w:tc>
        <w:tc>
          <w:tcPr>
            <w:tcW w:w="950" w:type="dxa"/>
            <w:tcBorders>
              <w:top w:val="nil"/>
              <w:left w:val="nil"/>
              <w:bottom w:val="nil"/>
              <w:right w:val="nil"/>
            </w:tcBorders>
            <w:vAlign w:val="bottom"/>
          </w:tcPr>
          <w:p w14:paraId="3364D7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0.3231</w:t>
            </w:r>
          </w:p>
        </w:tc>
      </w:tr>
      <w:tr w:rsidR="00EA38DE" w:rsidRPr="00EA38DE" w14:paraId="1EC22999" w14:textId="77777777" w:rsidTr="009501B5">
        <w:trPr>
          <w:trHeight w:val="220"/>
        </w:trPr>
        <w:tc>
          <w:tcPr>
            <w:tcW w:w="2120" w:type="dxa"/>
            <w:tcBorders>
              <w:top w:val="nil"/>
              <w:left w:val="nil"/>
              <w:bottom w:val="nil"/>
              <w:right w:val="nil"/>
            </w:tcBorders>
            <w:vAlign w:val="bottom"/>
          </w:tcPr>
          <w:p w14:paraId="302F6C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LCTP(-1)*</w:t>
            </w:r>
          </w:p>
        </w:tc>
        <w:tc>
          <w:tcPr>
            <w:tcW w:w="1050" w:type="dxa"/>
            <w:tcBorders>
              <w:top w:val="nil"/>
              <w:left w:val="nil"/>
              <w:bottom w:val="nil"/>
              <w:right w:val="nil"/>
            </w:tcBorders>
            <w:vAlign w:val="bottom"/>
          </w:tcPr>
          <w:p w14:paraId="266C7BB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-0.490033</w:t>
            </w:r>
          </w:p>
        </w:tc>
        <w:tc>
          <w:tcPr>
            <w:tcW w:w="1150" w:type="dxa"/>
            <w:tcBorders>
              <w:top w:val="nil"/>
              <w:left w:val="nil"/>
              <w:bottom w:val="nil"/>
              <w:right w:val="nil"/>
            </w:tcBorders>
            <w:vAlign w:val="bottom"/>
          </w:tcPr>
          <w:p w14:paraId="2AD2CD2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0.135684</w:t>
            </w:r>
          </w:p>
        </w:tc>
        <w:tc>
          <w:tcPr>
            <w:tcW w:w="1150" w:type="dxa"/>
            <w:tcBorders>
              <w:top w:val="nil"/>
              <w:left w:val="nil"/>
              <w:bottom w:val="nil"/>
              <w:right w:val="nil"/>
            </w:tcBorders>
            <w:vAlign w:val="bottom"/>
          </w:tcPr>
          <w:p w14:paraId="741561C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-3.611573</w:t>
            </w:r>
          </w:p>
        </w:tc>
        <w:tc>
          <w:tcPr>
            <w:tcW w:w="950" w:type="dxa"/>
            <w:tcBorders>
              <w:top w:val="nil"/>
              <w:left w:val="nil"/>
              <w:bottom w:val="nil"/>
              <w:right w:val="nil"/>
            </w:tcBorders>
            <w:vAlign w:val="bottom"/>
          </w:tcPr>
          <w:p w14:paraId="7354FED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0.0015</w:t>
            </w:r>
          </w:p>
        </w:tc>
      </w:tr>
      <w:tr w:rsidR="00EA38DE" w:rsidRPr="00EA38DE" w14:paraId="5215B1F4" w14:textId="77777777" w:rsidTr="009501B5">
        <w:trPr>
          <w:trHeight w:val="220"/>
        </w:trPr>
        <w:tc>
          <w:tcPr>
            <w:tcW w:w="2120" w:type="dxa"/>
            <w:tcBorders>
              <w:top w:val="nil"/>
              <w:left w:val="nil"/>
              <w:bottom w:val="nil"/>
              <w:right w:val="nil"/>
            </w:tcBorders>
            <w:vAlign w:val="bottom"/>
          </w:tcPr>
          <w:p w14:paraId="19C286C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EXRTF**</w:t>
            </w:r>
          </w:p>
        </w:tc>
        <w:tc>
          <w:tcPr>
            <w:tcW w:w="1050" w:type="dxa"/>
            <w:tcBorders>
              <w:top w:val="nil"/>
              <w:left w:val="nil"/>
              <w:bottom w:val="nil"/>
              <w:right w:val="nil"/>
            </w:tcBorders>
            <w:vAlign w:val="bottom"/>
          </w:tcPr>
          <w:p w14:paraId="56BA7D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-0.000315</w:t>
            </w:r>
          </w:p>
        </w:tc>
        <w:tc>
          <w:tcPr>
            <w:tcW w:w="1150" w:type="dxa"/>
            <w:tcBorders>
              <w:top w:val="nil"/>
              <w:left w:val="nil"/>
              <w:bottom w:val="nil"/>
              <w:right w:val="nil"/>
            </w:tcBorders>
            <w:vAlign w:val="bottom"/>
          </w:tcPr>
          <w:p w14:paraId="4B7A048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0.000152</w:t>
            </w:r>
          </w:p>
        </w:tc>
        <w:tc>
          <w:tcPr>
            <w:tcW w:w="1150" w:type="dxa"/>
            <w:tcBorders>
              <w:top w:val="nil"/>
              <w:left w:val="nil"/>
              <w:bottom w:val="nil"/>
              <w:right w:val="nil"/>
            </w:tcBorders>
            <w:vAlign w:val="bottom"/>
          </w:tcPr>
          <w:p w14:paraId="230DB3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-2.071063</w:t>
            </w:r>
          </w:p>
        </w:tc>
        <w:tc>
          <w:tcPr>
            <w:tcW w:w="950" w:type="dxa"/>
            <w:tcBorders>
              <w:top w:val="nil"/>
              <w:left w:val="nil"/>
              <w:bottom w:val="nil"/>
              <w:right w:val="nil"/>
            </w:tcBorders>
            <w:vAlign w:val="bottom"/>
          </w:tcPr>
          <w:p w14:paraId="5FBC33A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0.0498</w:t>
            </w:r>
          </w:p>
        </w:tc>
      </w:tr>
      <w:tr w:rsidR="00EA38DE" w:rsidRPr="00EA38DE" w14:paraId="51400DB1" w14:textId="77777777" w:rsidTr="009501B5">
        <w:trPr>
          <w:trHeight w:val="220"/>
        </w:trPr>
        <w:tc>
          <w:tcPr>
            <w:tcW w:w="2120" w:type="dxa"/>
            <w:tcBorders>
              <w:top w:val="nil"/>
              <w:left w:val="nil"/>
              <w:bottom w:val="nil"/>
              <w:right w:val="nil"/>
            </w:tcBorders>
            <w:vAlign w:val="bottom"/>
          </w:tcPr>
          <w:p w14:paraId="2558D1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5B608ED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0.000410</w:t>
            </w:r>
          </w:p>
        </w:tc>
        <w:tc>
          <w:tcPr>
            <w:tcW w:w="1150" w:type="dxa"/>
            <w:tcBorders>
              <w:top w:val="nil"/>
              <w:left w:val="nil"/>
              <w:bottom w:val="nil"/>
              <w:right w:val="nil"/>
            </w:tcBorders>
            <w:vAlign w:val="bottom"/>
          </w:tcPr>
          <w:p w14:paraId="2255B5D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0.001736</w:t>
            </w:r>
          </w:p>
        </w:tc>
        <w:tc>
          <w:tcPr>
            <w:tcW w:w="1150" w:type="dxa"/>
            <w:tcBorders>
              <w:top w:val="nil"/>
              <w:left w:val="nil"/>
              <w:bottom w:val="nil"/>
              <w:right w:val="nil"/>
            </w:tcBorders>
            <w:vAlign w:val="bottom"/>
          </w:tcPr>
          <w:p w14:paraId="4D2DAEC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0.235898</w:t>
            </w:r>
          </w:p>
        </w:tc>
        <w:tc>
          <w:tcPr>
            <w:tcW w:w="950" w:type="dxa"/>
            <w:tcBorders>
              <w:top w:val="nil"/>
              <w:left w:val="nil"/>
              <w:bottom w:val="nil"/>
              <w:right w:val="nil"/>
            </w:tcBorders>
            <w:vAlign w:val="bottom"/>
          </w:tcPr>
          <w:p w14:paraId="6C95FE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0.8156</w:t>
            </w:r>
          </w:p>
        </w:tc>
      </w:tr>
      <w:tr w:rsidR="00EA38DE" w:rsidRPr="00EA38DE" w14:paraId="5F819414" w14:textId="77777777" w:rsidTr="009501B5">
        <w:trPr>
          <w:trHeight w:val="220"/>
        </w:trPr>
        <w:tc>
          <w:tcPr>
            <w:tcW w:w="2120" w:type="dxa"/>
            <w:tcBorders>
              <w:top w:val="nil"/>
              <w:left w:val="nil"/>
              <w:bottom w:val="nil"/>
              <w:right w:val="nil"/>
            </w:tcBorders>
            <w:vAlign w:val="bottom"/>
          </w:tcPr>
          <w:p w14:paraId="215A188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186C4C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0.775010</w:t>
            </w:r>
          </w:p>
        </w:tc>
        <w:tc>
          <w:tcPr>
            <w:tcW w:w="1150" w:type="dxa"/>
            <w:tcBorders>
              <w:top w:val="nil"/>
              <w:left w:val="nil"/>
              <w:bottom w:val="nil"/>
              <w:right w:val="nil"/>
            </w:tcBorders>
            <w:vAlign w:val="bottom"/>
          </w:tcPr>
          <w:p w14:paraId="0DCA8F0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0.228069</w:t>
            </w:r>
          </w:p>
        </w:tc>
        <w:tc>
          <w:tcPr>
            <w:tcW w:w="1150" w:type="dxa"/>
            <w:tcBorders>
              <w:top w:val="nil"/>
              <w:left w:val="nil"/>
              <w:bottom w:val="nil"/>
              <w:right w:val="nil"/>
            </w:tcBorders>
            <w:vAlign w:val="bottom"/>
          </w:tcPr>
          <w:p w14:paraId="2EDD57A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3.398136</w:t>
            </w:r>
          </w:p>
        </w:tc>
        <w:tc>
          <w:tcPr>
            <w:tcW w:w="950" w:type="dxa"/>
            <w:tcBorders>
              <w:top w:val="nil"/>
              <w:left w:val="nil"/>
              <w:bottom w:val="nil"/>
              <w:right w:val="nil"/>
            </w:tcBorders>
            <w:vAlign w:val="bottom"/>
          </w:tcPr>
          <w:p w14:paraId="7C79962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0.0025</w:t>
            </w:r>
          </w:p>
        </w:tc>
      </w:tr>
      <w:tr w:rsidR="00EA38DE" w:rsidRPr="00EA38DE" w14:paraId="5CB3DCD4" w14:textId="77777777" w:rsidTr="009501B5">
        <w:trPr>
          <w:trHeight w:val="220"/>
        </w:trPr>
        <w:tc>
          <w:tcPr>
            <w:tcW w:w="2120" w:type="dxa"/>
            <w:tcBorders>
              <w:top w:val="nil"/>
              <w:left w:val="nil"/>
              <w:bottom w:val="nil"/>
              <w:right w:val="nil"/>
            </w:tcBorders>
            <w:vAlign w:val="bottom"/>
          </w:tcPr>
          <w:p w14:paraId="091ABB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LGR(-1)</w:t>
            </w:r>
          </w:p>
        </w:tc>
        <w:tc>
          <w:tcPr>
            <w:tcW w:w="1050" w:type="dxa"/>
            <w:tcBorders>
              <w:top w:val="nil"/>
              <w:left w:val="nil"/>
              <w:bottom w:val="nil"/>
              <w:right w:val="nil"/>
            </w:tcBorders>
            <w:vAlign w:val="bottom"/>
          </w:tcPr>
          <w:p w14:paraId="619EB1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-0.156312</w:t>
            </w:r>
          </w:p>
        </w:tc>
        <w:tc>
          <w:tcPr>
            <w:tcW w:w="1150" w:type="dxa"/>
            <w:tcBorders>
              <w:top w:val="nil"/>
              <w:left w:val="nil"/>
              <w:bottom w:val="nil"/>
              <w:right w:val="nil"/>
            </w:tcBorders>
            <w:vAlign w:val="bottom"/>
          </w:tcPr>
          <w:p w14:paraId="2014997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0.091432</w:t>
            </w:r>
          </w:p>
        </w:tc>
        <w:tc>
          <w:tcPr>
            <w:tcW w:w="1150" w:type="dxa"/>
            <w:tcBorders>
              <w:top w:val="nil"/>
              <w:left w:val="nil"/>
              <w:bottom w:val="nil"/>
              <w:right w:val="nil"/>
            </w:tcBorders>
            <w:vAlign w:val="bottom"/>
          </w:tcPr>
          <w:p w14:paraId="515037D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-1.709593</w:t>
            </w:r>
          </w:p>
        </w:tc>
        <w:tc>
          <w:tcPr>
            <w:tcW w:w="950" w:type="dxa"/>
            <w:tcBorders>
              <w:top w:val="nil"/>
              <w:left w:val="nil"/>
              <w:bottom w:val="nil"/>
              <w:right w:val="nil"/>
            </w:tcBorders>
            <w:vAlign w:val="bottom"/>
          </w:tcPr>
          <w:p w14:paraId="0D7BAD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0.1008</w:t>
            </w:r>
          </w:p>
        </w:tc>
      </w:tr>
      <w:tr w:rsidR="00EA38DE" w:rsidRPr="00EA38DE" w14:paraId="201072B3" w14:textId="77777777" w:rsidTr="009501B5">
        <w:trPr>
          <w:trHeight w:val="220"/>
        </w:trPr>
        <w:tc>
          <w:tcPr>
            <w:tcW w:w="2120" w:type="dxa"/>
            <w:tcBorders>
              <w:top w:val="nil"/>
              <w:left w:val="nil"/>
              <w:bottom w:val="nil"/>
              <w:right w:val="nil"/>
            </w:tcBorders>
            <w:vAlign w:val="bottom"/>
          </w:tcPr>
          <w:p w14:paraId="7B2B8E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TRF(-1)</w:t>
            </w:r>
          </w:p>
        </w:tc>
        <w:tc>
          <w:tcPr>
            <w:tcW w:w="1050" w:type="dxa"/>
            <w:tcBorders>
              <w:top w:val="nil"/>
              <w:left w:val="nil"/>
              <w:bottom w:val="nil"/>
              <w:right w:val="nil"/>
            </w:tcBorders>
            <w:vAlign w:val="bottom"/>
          </w:tcPr>
          <w:p w14:paraId="5115FE3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0.067848</w:t>
            </w:r>
          </w:p>
        </w:tc>
        <w:tc>
          <w:tcPr>
            <w:tcW w:w="1150" w:type="dxa"/>
            <w:tcBorders>
              <w:top w:val="nil"/>
              <w:left w:val="nil"/>
              <w:bottom w:val="nil"/>
              <w:right w:val="nil"/>
            </w:tcBorders>
            <w:vAlign w:val="bottom"/>
          </w:tcPr>
          <w:p w14:paraId="53C797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0.027934</w:t>
            </w:r>
          </w:p>
        </w:tc>
        <w:tc>
          <w:tcPr>
            <w:tcW w:w="1150" w:type="dxa"/>
            <w:tcBorders>
              <w:top w:val="nil"/>
              <w:left w:val="nil"/>
              <w:bottom w:val="nil"/>
              <w:right w:val="nil"/>
            </w:tcBorders>
            <w:vAlign w:val="bottom"/>
          </w:tcPr>
          <w:p w14:paraId="2B1BF4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2.428846</w:t>
            </w:r>
          </w:p>
        </w:tc>
        <w:tc>
          <w:tcPr>
            <w:tcW w:w="950" w:type="dxa"/>
            <w:tcBorders>
              <w:top w:val="nil"/>
              <w:left w:val="nil"/>
              <w:bottom w:val="nil"/>
              <w:right w:val="nil"/>
            </w:tcBorders>
            <w:vAlign w:val="bottom"/>
          </w:tcPr>
          <w:p w14:paraId="6A8C366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0.0234</w:t>
            </w:r>
          </w:p>
        </w:tc>
      </w:tr>
      <w:tr w:rsidR="00EA38DE" w:rsidRPr="00EA38DE" w14:paraId="34691D23" w14:textId="77777777" w:rsidTr="009501B5">
        <w:trPr>
          <w:trHeight w:val="220"/>
        </w:trPr>
        <w:tc>
          <w:tcPr>
            <w:tcW w:w="2120" w:type="dxa"/>
            <w:tcBorders>
              <w:top w:val="nil"/>
              <w:left w:val="nil"/>
              <w:bottom w:val="nil"/>
              <w:right w:val="nil"/>
            </w:tcBorders>
            <w:vAlign w:val="bottom"/>
          </w:tcPr>
          <w:p w14:paraId="320D0F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3A2AA03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0.080396</w:t>
            </w:r>
          </w:p>
        </w:tc>
        <w:tc>
          <w:tcPr>
            <w:tcW w:w="1150" w:type="dxa"/>
            <w:tcBorders>
              <w:top w:val="nil"/>
              <w:left w:val="nil"/>
              <w:bottom w:val="nil"/>
              <w:right w:val="nil"/>
            </w:tcBorders>
            <w:vAlign w:val="bottom"/>
          </w:tcPr>
          <w:p w14:paraId="105159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0.034418</w:t>
            </w:r>
          </w:p>
        </w:tc>
        <w:tc>
          <w:tcPr>
            <w:tcW w:w="1150" w:type="dxa"/>
            <w:tcBorders>
              <w:top w:val="nil"/>
              <w:left w:val="nil"/>
              <w:bottom w:val="nil"/>
              <w:right w:val="nil"/>
            </w:tcBorders>
            <w:vAlign w:val="bottom"/>
          </w:tcPr>
          <w:p w14:paraId="1BD94B4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2.335841</w:t>
            </w:r>
          </w:p>
        </w:tc>
        <w:tc>
          <w:tcPr>
            <w:tcW w:w="950" w:type="dxa"/>
            <w:tcBorders>
              <w:top w:val="nil"/>
              <w:left w:val="nil"/>
              <w:bottom w:val="nil"/>
              <w:right w:val="nil"/>
            </w:tcBorders>
            <w:vAlign w:val="bottom"/>
          </w:tcPr>
          <w:p w14:paraId="7A29E5F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0.0286</w:t>
            </w:r>
          </w:p>
        </w:tc>
      </w:tr>
      <w:tr w:rsidR="00EA38DE" w:rsidRPr="00EA38DE" w14:paraId="719E805B" w14:textId="77777777" w:rsidTr="009501B5">
        <w:trPr>
          <w:trHeight w:val="220"/>
        </w:trPr>
        <w:tc>
          <w:tcPr>
            <w:tcW w:w="2120" w:type="dxa"/>
            <w:tcBorders>
              <w:top w:val="nil"/>
              <w:left w:val="nil"/>
              <w:bottom w:val="nil"/>
              <w:right w:val="nil"/>
            </w:tcBorders>
            <w:vAlign w:val="bottom"/>
          </w:tcPr>
          <w:p w14:paraId="3F8F95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D(TRF(-1))</w:t>
            </w:r>
          </w:p>
        </w:tc>
        <w:tc>
          <w:tcPr>
            <w:tcW w:w="1050" w:type="dxa"/>
            <w:tcBorders>
              <w:top w:val="nil"/>
              <w:left w:val="nil"/>
              <w:bottom w:val="nil"/>
              <w:right w:val="nil"/>
            </w:tcBorders>
            <w:vAlign w:val="bottom"/>
          </w:tcPr>
          <w:p w14:paraId="02752A7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0.059294</w:t>
            </w:r>
          </w:p>
        </w:tc>
        <w:tc>
          <w:tcPr>
            <w:tcW w:w="1150" w:type="dxa"/>
            <w:tcBorders>
              <w:top w:val="nil"/>
              <w:left w:val="nil"/>
              <w:bottom w:val="nil"/>
              <w:right w:val="nil"/>
            </w:tcBorders>
            <w:vAlign w:val="bottom"/>
          </w:tcPr>
          <w:p w14:paraId="63E9B4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0.035546</w:t>
            </w:r>
          </w:p>
        </w:tc>
        <w:tc>
          <w:tcPr>
            <w:tcW w:w="1150" w:type="dxa"/>
            <w:tcBorders>
              <w:top w:val="nil"/>
              <w:left w:val="nil"/>
              <w:bottom w:val="nil"/>
              <w:right w:val="nil"/>
            </w:tcBorders>
            <w:vAlign w:val="bottom"/>
          </w:tcPr>
          <w:p w14:paraId="17BB73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1.668102</w:t>
            </w:r>
          </w:p>
        </w:tc>
        <w:tc>
          <w:tcPr>
            <w:tcW w:w="950" w:type="dxa"/>
            <w:tcBorders>
              <w:top w:val="nil"/>
              <w:left w:val="nil"/>
              <w:bottom w:val="nil"/>
              <w:right w:val="nil"/>
            </w:tcBorders>
            <w:vAlign w:val="bottom"/>
          </w:tcPr>
          <w:p w14:paraId="0D542F1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0.1089</w:t>
            </w:r>
          </w:p>
        </w:tc>
      </w:tr>
      <w:tr w:rsidR="00EA38DE" w:rsidRPr="00EA38DE" w14:paraId="33A5A8C6" w14:textId="77777777" w:rsidTr="009501B5">
        <w:trPr>
          <w:trHeight w:hRule="exact" w:val="88"/>
        </w:trPr>
        <w:tc>
          <w:tcPr>
            <w:tcW w:w="2120" w:type="dxa"/>
            <w:tcBorders>
              <w:top w:val="nil"/>
              <w:left w:val="nil"/>
              <w:bottom w:val="double" w:sz="6" w:space="2" w:color="auto"/>
              <w:right w:val="nil"/>
            </w:tcBorders>
            <w:vAlign w:val="bottom"/>
          </w:tcPr>
          <w:p w14:paraId="68AF13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F8A0E4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E536C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17829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9CE8A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BBEA92F" w14:textId="77777777" w:rsidTr="009501B5">
        <w:trPr>
          <w:trHeight w:hRule="exact" w:val="132"/>
        </w:trPr>
        <w:tc>
          <w:tcPr>
            <w:tcW w:w="2120" w:type="dxa"/>
            <w:tcBorders>
              <w:top w:val="nil"/>
              <w:left w:val="nil"/>
              <w:bottom w:val="nil"/>
              <w:right w:val="nil"/>
            </w:tcBorders>
            <w:vAlign w:val="bottom"/>
          </w:tcPr>
          <w:p w14:paraId="754889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AC438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4AA12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B8CAC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EB047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8715F67" w14:textId="77777777" w:rsidTr="009501B5">
        <w:trPr>
          <w:trHeight w:val="220"/>
        </w:trPr>
        <w:tc>
          <w:tcPr>
            <w:tcW w:w="6420" w:type="dxa"/>
            <w:gridSpan w:val="5"/>
            <w:tcBorders>
              <w:top w:val="nil"/>
              <w:left w:val="nil"/>
              <w:bottom w:val="nil"/>
              <w:right w:val="nil"/>
            </w:tcBorders>
            <w:vAlign w:val="bottom"/>
          </w:tcPr>
          <w:p w14:paraId="6C6D4EB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0D0649E4" w14:textId="77777777" w:rsidTr="009501B5">
        <w:trPr>
          <w:trHeight w:val="220"/>
        </w:trPr>
        <w:tc>
          <w:tcPr>
            <w:tcW w:w="6420" w:type="dxa"/>
            <w:gridSpan w:val="5"/>
            <w:tcBorders>
              <w:top w:val="nil"/>
              <w:left w:val="nil"/>
              <w:bottom w:val="nil"/>
              <w:right w:val="nil"/>
            </w:tcBorders>
            <w:vAlign w:val="bottom"/>
          </w:tcPr>
          <w:p w14:paraId="7065D0C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Variable interpreted as Z = Z(-1) + D(Z).</w:t>
            </w:r>
          </w:p>
        </w:tc>
      </w:tr>
      <w:tr w:rsidR="00EA38DE" w:rsidRPr="00EA38DE" w14:paraId="57CB5A05" w14:textId="77777777" w:rsidTr="009501B5">
        <w:trPr>
          <w:trHeight w:val="220"/>
        </w:trPr>
        <w:tc>
          <w:tcPr>
            <w:tcW w:w="2120" w:type="dxa"/>
            <w:tcBorders>
              <w:top w:val="nil"/>
              <w:left w:val="nil"/>
              <w:bottom w:val="nil"/>
              <w:right w:val="nil"/>
            </w:tcBorders>
            <w:vAlign w:val="bottom"/>
          </w:tcPr>
          <w:p w14:paraId="454D78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80C54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C1DEC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306D4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82252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F338E46" w14:textId="77777777" w:rsidTr="009501B5">
        <w:trPr>
          <w:trHeight w:hRule="exact" w:val="88"/>
        </w:trPr>
        <w:tc>
          <w:tcPr>
            <w:tcW w:w="2120" w:type="dxa"/>
            <w:tcBorders>
              <w:top w:val="nil"/>
              <w:left w:val="nil"/>
              <w:bottom w:val="double" w:sz="6" w:space="2" w:color="auto"/>
              <w:right w:val="nil"/>
            </w:tcBorders>
            <w:vAlign w:val="bottom"/>
          </w:tcPr>
          <w:p w14:paraId="2F4946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91947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9C633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3B867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45F18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BBB45AF" w14:textId="77777777" w:rsidTr="009501B5">
        <w:trPr>
          <w:trHeight w:hRule="exact" w:val="132"/>
        </w:trPr>
        <w:tc>
          <w:tcPr>
            <w:tcW w:w="2120" w:type="dxa"/>
            <w:tcBorders>
              <w:top w:val="nil"/>
              <w:left w:val="nil"/>
              <w:bottom w:val="nil"/>
              <w:right w:val="nil"/>
            </w:tcBorders>
            <w:vAlign w:val="bottom"/>
          </w:tcPr>
          <w:p w14:paraId="67E5E0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8E397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E4077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A3A83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1D5A2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1BCF182" w14:textId="77777777" w:rsidTr="009501B5">
        <w:trPr>
          <w:trHeight w:val="220"/>
        </w:trPr>
        <w:tc>
          <w:tcPr>
            <w:tcW w:w="6420" w:type="dxa"/>
            <w:gridSpan w:val="5"/>
            <w:tcBorders>
              <w:top w:val="nil"/>
              <w:left w:val="nil"/>
              <w:bottom w:val="nil"/>
              <w:right w:val="nil"/>
            </w:tcBorders>
            <w:vAlign w:val="bottom"/>
          </w:tcPr>
          <w:p w14:paraId="2A6CF9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1C1A1EB4" w14:textId="77777777" w:rsidTr="009501B5">
        <w:trPr>
          <w:trHeight w:val="220"/>
        </w:trPr>
        <w:tc>
          <w:tcPr>
            <w:tcW w:w="6420" w:type="dxa"/>
            <w:gridSpan w:val="5"/>
            <w:tcBorders>
              <w:top w:val="nil"/>
              <w:left w:val="nil"/>
              <w:bottom w:val="nil"/>
              <w:right w:val="nil"/>
            </w:tcBorders>
            <w:vAlign w:val="bottom"/>
          </w:tcPr>
          <w:p w14:paraId="3889DE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41442AE0" w14:textId="77777777" w:rsidTr="009501B5">
        <w:trPr>
          <w:trHeight w:hRule="exact" w:val="88"/>
        </w:trPr>
        <w:tc>
          <w:tcPr>
            <w:tcW w:w="2120" w:type="dxa"/>
            <w:tcBorders>
              <w:top w:val="nil"/>
              <w:left w:val="nil"/>
              <w:bottom w:val="double" w:sz="6" w:space="2" w:color="auto"/>
              <w:right w:val="nil"/>
            </w:tcBorders>
            <w:vAlign w:val="bottom"/>
          </w:tcPr>
          <w:p w14:paraId="3118AD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AB253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62E1F0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268E0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C8123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178135F" w14:textId="77777777" w:rsidTr="009501B5">
        <w:trPr>
          <w:trHeight w:hRule="exact" w:val="132"/>
        </w:trPr>
        <w:tc>
          <w:tcPr>
            <w:tcW w:w="2120" w:type="dxa"/>
            <w:tcBorders>
              <w:top w:val="nil"/>
              <w:left w:val="nil"/>
              <w:bottom w:val="nil"/>
              <w:right w:val="nil"/>
            </w:tcBorders>
            <w:vAlign w:val="bottom"/>
          </w:tcPr>
          <w:p w14:paraId="6F2DB5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7A579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3DB9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5047C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83702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E04FF27" w14:textId="77777777" w:rsidTr="009501B5">
        <w:trPr>
          <w:trHeight w:val="220"/>
        </w:trPr>
        <w:tc>
          <w:tcPr>
            <w:tcW w:w="2120" w:type="dxa"/>
            <w:tcBorders>
              <w:top w:val="nil"/>
              <w:left w:val="nil"/>
              <w:bottom w:val="nil"/>
              <w:right w:val="nil"/>
            </w:tcBorders>
            <w:vAlign w:val="bottom"/>
          </w:tcPr>
          <w:p w14:paraId="468BCB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C144C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31DA16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16AE183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2FE34CC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4DA99D20" w14:textId="77777777" w:rsidTr="009501B5">
        <w:trPr>
          <w:trHeight w:hRule="exact" w:val="88"/>
        </w:trPr>
        <w:tc>
          <w:tcPr>
            <w:tcW w:w="2120" w:type="dxa"/>
            <w:tcBorders>
              <w:top w:val="nil"/>
              <w:left w:val="nil"/>
              <w:bottom w:val="double" w:sz="6" w:space="2" w:color="auto"/>
              <w:right w:val="nil"/>
            </w:tcBorders>
            <w:vAlign w:val="bottom"/>
          </w:tcPr>
          <w:p w14:paraId="60BD4F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9B268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C4F0E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FF677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D42259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F8A6A96" w14:textId="77777777" w:rsidTr="009501B5">
        <w:trPr>
          <w:trHeight w:hRule="exact" w:val="132"/>
        </w:trPr>
        <w:tc>
          <w:tcPr>
            <w:tcW w:w="2120" w:type="dxa"/>
            <w:tcBorders>
              <w:top w:val="nil"/>
              <w:left w:val="nil"/>
              <w:bottom w:val="nil"/>
              <w:right w:val="nil"/>
            </w:tcBorders>
            <w:vAlign w:val="bottom"/>
          </w:tcPr>
          <w:p w14:paraId="7EFDAB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49982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038C64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1C62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5022D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B1E1AA3" w14:textId="77777777" w:rsidTr="009501B5">
        <w:trPr>
          <w:trHeight w:val="220"/>
        </w:trPr>
        <w:tc>
          <w:tcPr>
            <w:tcW w:w="2120" w:type="dxa"/>
            <w:tcBorders>
              <w:top w:val="nil"/>
              <w:left w:val="nil"/>
              <w:bottom w:val="nil"/>
              <w:right w:val="nil"/>
            </w:tcBorders>
            <w:vAlign w:val="bottom"/>
          </w:tcPr>
          <w:p w14:paraId="0C27D2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EXRTF</w:t>
            </w:r>
          </w:p>
        </w:tc>
        <w:tc>
          <w:tcPr>
            <w:tcW w:w="1050" w:type="dxa"/>
            <w:tcBorders>
              <w:top w:val="nil"/>
              <w:left w:val="nil"/>
              <w:bottom w:val="nil"/>
              <w:right w:val="nil"/>
            </w:tcBorders>
            <w:vAlign w:val="bottom"/>
          </w:tcPr>
          <w:p w14:paraId="6EBB13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-0.643271</w:t>
            </w:r>
          </w:p>
        </w:tc>
        <w:tc>
          <w:tcPr>
            <w:tcW w:w="1150" w:type="dxa"/>
            <w:tcBorders>
              <w:top w:val="nil"/>
              <w:left w:val="nil"/>
              <w:bottom w:val="nil"/>
              <w:right w:val="nil"/>
            </w:tcBorders>
            <w:vAlign w:val="bottom"/>
          </w:tcPr>
          <w:p w14:paraId="19E9408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0.343917</w:t>
            </w:r>
          </w:p>
        </w:tc>
        <w:tc>
          <w:tcPr>
            <w:tcW w:w="1150" w:type="dxa"/>
            <w:tcBorders>
              <w:top w:val="nil"/>
              <w:left w:val="nil"/>
              <w:bottom w:val="nil"/>
              <w:right w:val="nil"/>
            </w:tcBorders>
            <w:vAlign w:val="bottom"/>
          </w:tcPr>
          <w:p w14:paraId="245CE8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-1.875272</w:t>
            </w:r>
          </w:p>
        </w:tc>
        <w:tc>
          <w:tcPr>
            <w:tcW w:w="950" w:type="dxa"/>
            <w:tcBorders>
              <w:top w:val="nil"/>
              <w:left w:val="nil"/>
              <w:bottom w:val="nil"/>
              <w:right w:val="nil"/>
            </w:tcBorders>
            <w:vAlign w:val="bottom"/>
          </w:tcPr>
          <w:p w14:paraId="1B4BEF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0.0735</w:t>
            </w:r>
          </w:p>
        </w:tc>
      </w:tr>
      <w:tr w:rsidR="00EA38DE" w:rsidRPr="00EA38DE" w14:paraId="1F7A0B4E" w14:textId="77777777" w:rsidTr="009501B5">
        <w:trPr>
          <w:trHeight w:val="220"/>
        </w:trPr>
        <w:tc>
          <w:tcPr>
            <w:tcW w:w="2120" w:type="dxa"/>
            <w:tcBorders>
              <w:top w:val="nil"/>
              <w:left w:val="nil"/>
              <w:bottom w:val="nil"/>
              <w:right w:val="nil"/>
            </w:tcBorders>
            <w:vAlign w:val="bottom"/>
          </w:tcPr>
          <w:p w14:paraId="5CF0CE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1D2B5AE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0.000836</w:t>
            </w:r>
          </w:p>
        </w:tc>
        <w:tc>
          <w:tcPr>
            <w:tcW w:w="1150" w:type="dxa"/>
            <w:tcBorders>
              <w:top w:val="nil"/>
              <w:left w:val="nil"/>
              <w:bottom w:val="nil"/>
              <w:right w:val="nil"/>
            </w:tcBorders>
            <w:vAlign w:val="bottom"/>
          </w:tcPr>
          <w:p w14:paraId="234B11B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0.003581</w:t>
            </w:r>
          </w:p>
        </w:tc>
        <w:tc>
          <w:tcPr>
            <w:tcW w:w="1150" w:type="dxa"/>
            <w:tcBorders>
              <w:top w:val="nil"/>
              <w:left w:val="nil"/>
              <w:bottom w:val="nil"/>
              <w:right w:val="nil"/>
            </w:tcBorders>
            <w:vAlign w:val="bottom"/>
          </w:tcPr>
          <w:p w14:paraId="11F312A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0.233422</w:t>
            </w:r>
          </w:p>
        </w:tc>
        <w:tc>
          <w:tcPr>
            <w:tcW w:w="950" w:type="dxa"/>
            <w:tcBorders>
              <w:top w:val="nil"/>
              <w:left w:val="nil"/>
              <w:bottom w:val="nil"/>
              <w:right w:val="nil"/>
            </w:tcBorders>
            <w:vAlign w:val="bottom"/>
          </w:tcPr>
          <w:p w14:paraId="351FC9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0.8175</w:t>
            </w:r>
          </w:p>
        </w:tc>
      </w:tr>
      <w:tr w:rsidR="00EA38DE" w:rsidRPr="00EA38DE" w14:paraId="62D783CB" w14:textId="77777777" w:rsidTr="009501B5">
        <w:trPr>
          <w:trHeight w:val="220"/>
        </w:trPr>
        <w:tc>
          <w:tcPr>
            <w:tcW w:w="2120" w:type="dxa"/>
            <w:tcBorders>
              <w:top w:val="nil"/>
              <w:left w:val="nil"/>
              <w:bottom w:val="nil"/>
              <w:right w:val="nil"/>
            </w:tcBorders>
            <w:vAlign w:val="bottom"/>
          </w:tcPr>
          <w:p w14:paraId="281066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183E30A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1.581546</w:t>
            </w:r>
          </w:p>
        </w:tc>
        <w:tc>
          <w:tcPr>
            <w:tcW w:w="1150" w:type="dxa"/>
            <w:tcBorders>
              <w:top w:val="nil"/>
              <w:left w:val="nil"/>
              <w:bottom w:val="nil"/>
              <w:right w:val="nil"/>
            </w:tcBorders>
            <w:vAlign w:val="bottom"/>
          </w:tcPr>
          <w:p w14:paraId="24DCCA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0.355301</w:t>
            </w:r>
          </w:p>
        </w:tc>
        <w:tc>
          <w:tcPr>
            <w:tcW w:w="1150" w:type="dxa"/>
            <w:tcBorders>
              <w:top w:val="nil"/>
              <w:left w:val="nil"/>
              <w:bottom w:val="nil"/>
              <w:right w:val="nil"/>
            </w:tcBorders>
            <w:vAlign w:val="bottom"/>
          </w:tcPr>
          <w:p w14:paraId="4555A40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4.451278</w:t>
            </w:r>
          </w:p>
        </w:tc>
        <w:tc>
          <w:tcPr>
            <w:tcW w:w="950" w:type="dxa"/>
            <w:tcBorders>
              <w:top w:val="nil"/>
              <w:left w:val="nil"/>
              <w:bottom w:val="nil"/>
              <w:right w:val="nil"/>
            </w:tcBorders>
            <w:vAlign w:val="bottom"/>
          </w:tcPr>
          <w:p w14:paraId="018192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6DFB7F52" w14:textId="77777777" w:rsidTr="009501B5">
        <w:trPr>
          <w:trHeight w:val="220"/>
        </w:trPr>
        <w:tc>
          <w:tcPr>
            <w:tcW w:w="2120" w:type="dxa"/>
            <w:tcBorders>
              <w:top w:val="nil"/>
              <w:left w:val="nil"/>
              <w:bottom w:val="nil"/>
              <w:right w:val="nil"/>
            </w:tcBorders>
            <w:vAlign w:val="bottom"/>
          </w:tcPr>
          <w:p w14:paraId="00E7F6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5DE5F70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0.138455</w:t>
            </w:r>
          </w:p>
        </w:tc>
        <w:tc>
          <w:tcPr>
            <w:tcW w:w="1150" w:type="dxa"/>
            <w:tcBorders>
              <w:top w:val="nil"/>
              <w:left w:val="nil"/>
              <w:bottom w:val="nil"/>
              <w:right w:val="nil"/>
            </w:tcBorders>
            <w:vAlign w:val="bottom"/>
          </w:tcPr>
          <w:p w14:paraId="5A41FD2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0.040833</w:t>
            </w:r>
          </w:p>
        </w:tc>
        <w:tc>
          <w:tcPr>
            <w:tcW w:w="1150" w:type="dxa"/>
            <w:tcBorders>
              <w:top w:val="nil"/>
              <w:left w:val="nil"/>
              <w:bottom w:val="nil"/>
              <w:right w:val="nil"/>
            </w:tcBorders>
            <w:vAlign w:val="bottom"/>
          </w:tcPr>
          <w:p w14:paraId="3099253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3.390730</w:t>
            </w:r>
          </w:p>
        </w:tc>
        <w:tc>
          <w:tcPr>
            <w:tcW w:w="950" w:type="dxa"/>
            <w:tcBorders>
              <w:top w:val="nil"/>
              <w:left w:val="nil"/>
              <w:bottom w:val="nil"/>
              <w:right w:val="nil"/>
            </w:tcBorders>
            <w:vAlign w:val="bottom"/>
          </w:tcPr>
          <w:p w14:paraId="7E35B8B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0.0025</w:t>
            </w:r>
          </w:p>
        </w:tc>
      </w:tr>
      <w:tr w:rsidR="00EA38DE" w:rsidRPr="00EA38DE" w14:paraId="6FB4F0EB" w14:textId="77777777" w:rsidTr="009501B5">
        <w:trPr>
          <w:trHeight w:val="220"/>
        </w:trPr>
        <w:tc>
          <w:tcPr>
            <w:tcW w:w="2120" w:type="dxa"/>
            <w:tcBorders>
              <w:top w:val="nil"/>
              <w:left w:val="nil"/>
              <w:bottom w:val="nil"/>
              <w:right w:val="nil"/>
            </w:tcBorders>
            <w:vAlign w:val="bottom"/>
          </w:tcPr>
          <w:p w14:paraId="645053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78B2093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-3.362837</w:t>
            </w:r>
          </w:p>
        </w:tc>
        <w:tc>
          <w:tcPr>
            <w:tcW w:w="1150" w:type="dxa"/>
            <w:tcBorders>
              <w:top w:val="nil"/>
              <w:left w:val="nil"/>
              <w:bottom w:val="nil"/>
              <w:right w:val="nil"/>
            </w:tcBorders>
            <w:vAlign w:val="bottom"/>
          </w:tcPr>
          <w:p w14:paraId="61185EB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3.482890</w:t>
            </w:r>
          </w:p>
        </w:tc>
        <w:tc>
          <w:tcPr>
            <w:tcW w:w="1150" w:type="dxa"/>
            <w:tcBorders>
              <w:top w:val="nil"/>
              <w:left w:val="nil"/>
              <w:bottom w:val="nil"/>
              <w:right w:val="nil"/>
            </w:tcBorders>
            <w:vAlign w:val="bottom"/>
          </w:tcPr>
          <w:p w14:paraId="7EF592B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-0.965531</w:t>
            </w:r>
          </w:p>
        </w:tc>
        <w:tc>
          <w:tcPr>
            <w:tcW w:w="950" w:type="dxa"/>
            <w:tcBorders>
              <w:top w:val="nil"/>
              <w:left w:val="nil"/>
              <w:bottom w:val="nil"/>
              <w:right w:val="nil"/>
            </w:tcBorders>
            <w:vAlign w:val="bottom"/>
          </w:tcPr>
          <w:p w14:paraId="2E0ACF0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0.3443</w:t>
            </w:r>
          </w:p>
        </w:tc>
      </w:tr>
      <w:tr w:rsidR="00EA38DE" w:rsidRPr="00EA38DE" w14:paraId="4B1551EE" w14:textId="77777777" w:rsidTr="009501B5">
        <w:trPr>
          <w:trHeight w:hRule="exact" w:val="88"/>
        </w:trPr>
        <w:tc>
          <w:tcPr>
            <w:tcW w:w="2120" w:type="dxa"/>
            <w:tcBorders>
              <w:top w:val="nil"/>
              <w:left w:val="nil"/>
              <w:bottom w:val="double" w:sz="6" w:space="0" w:color="auto"/>
              <w:right w:val="nil"/>
            </w:tcBorders>
            <w:vAlign w:val="bottom"/>
          </w:tcPr>
          <w:p w14:paraId="0B8B5C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7C5978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F5DDC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EEAFE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382DAB6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1C228A9" w14:textId="77777777" w:rsidTr="009501B5">
        <w:trPr>
          <w:trHeight w:hRule="exact" w:val="132"/>
        </w:trPr>
        <w:tc>
          <w:tcPr>
            <w:tcW w:w="2120" w:type="dxa"/>
            <w:tcBorders>
              <w:top w:val="nil"/>
              <w:left w:val="nil"/>
              <w:bottom w:val="nil"/>
              <w:right w:val="nil"/>
            </w:tcBorders>
            <w:vAlign w:val="bottom"/>
          </w:tcPr>
          <w:p w14:paraId="0BF4E4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CE2DF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69C78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C646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0900F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709ECDCF" w14:textId="77777777" w:rsidR="003C6B00" w:rsidRPr="00EA38DE" w:rsidRDefault="003C6B00" w:rsidP="003C6B00">
      <w:r w:rsidRPr="00EA38DE">
        <w:rPr>
          <w:rFonts w:ascii="Arial" w:hAnsi="Arial" w:cs="Arial"/>
          <w:sz w:val="18"/>
          <w:szCs w:val="18"/>
        </w:rPr>
        <w:br/>
      </w:r>
    </w:p>
    <w:p w14:paraId="174A660D" w14:textId="77777777" w:rsidR="003C6B00" w:rsidRPr="00EA38DE" w:rsidRDefault="003C6B00" w:rsidP="003C6B00"/>
    <w:p w14:paraId="1C39D146" w14:textId="77777777" w:rsidR="003C6B00" w:rsidRPr="00EA38DE" w:rsidRDefault="003C6B00" w:rsidP="003C6B00"/>
    <w:p w14:paraId="711E2805" w14:textId="77777777" w:rsidR="003C6B00" w:rsidRPr="00EA38DE" w:rsidRDefault="003C6B00" w:rsidP="003C6B00"/>
    <w:p w14:paraId="2CF22D7F" w14:textId="77777777" w:rsidR="003C6B00" w:rsidRPr="00EA38DE" w:rsidRDefault="003C6B00" w:rsidP="003C6B00"/>
    <w:p w14:paraId="61C82758" w14:textId="77777777" w:rsidR="003C6B00" w:rsidRPr="00EA38DE" w:rsidRDefault="003C6B00" w:rsidP="003C6B00"/>
    <w:p w14:paraId="569A3C60" w14:textId="77777777" w:rsidR="003C6B00" w:rsidRPr="00EA38DE" w:rsidRDefault="003C6B00" w:rsidP="003C6B00"/>
    <w:p w14:paraId="760B0DCE" w14:textId="77777777" w:rsidR="003C6B00" w:rsidRPr="00EA38DE" w:rsidRDefault="003C6B00" w:rsidP="003C6B00"/>
    <w:p w14:paraId="211D9D5C" w14:textId="77777777" w:rsidR="003C6B00" w:rsidRPr="00EA38DE" w:rsidRDefault="003C6B00" w:rsidP="003C6B00"/>
    <w:p w14:paraId="66536CB4"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651DD077" w14:textId="77777777" w:rsidTr="009501B5">
        <w:trPr>
          <w:trHeight w:val="220"/>
        </w:trPr>
        <w:tc>
          <w:tcPr>
            <w:tcW w:w="6420" w:type="dxa"/>
            <w:gridSpan w:val="5"/>
            <w:tcBorders>
              <w:top w:val="nil"/>
              <w:left w:val="nil"/>
              <w:bottom w:val="nil"/>
              <w:right w:val="nil"/>
            </w:tcBorders>
            <w:vAlign w:val="bottom"/>
          </w:tcPr>
          <w:p w14:paraId="297E15F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19CB3214" w14:textId="77777777" w:rsidTr="009501B5">
        <w:trPr>
          <w:trHeight w:val="220"/>
        </w:trPr>
        <w:tc>
          <w:tcPr>
            <w:tcW w:w="5470" w:type="dxa"/>
            <w:gridSpan w:val="4"/>
            <w:tcBorders>
              <w:top w:val="nil"/>
              <w:left w:val="nil"/>
              <w:bottom w:val="nil"/>
              <w:right w:val="nil"/>
            </w:tcBorders>
            <w:vAlign w:val="bottom"/>
          </w:tcPr>
          <w:p w14:paraId="43D34B5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D(LCTP)</w:t>
            </w:r>
          </w:p>
        </w:tc>
        <w:tc>
          <w:tcPr>
            <w:tcW w:w="950" w:type="dxa"/>
            <w:tcBorders>
              <w:top w:val="nil"/>
              <w:left w:val="nil"/>
              <w:bottom w:val="nil"/>
              <w:right w:val="nil"/>
            </w:tcBorders>
            <w:vAlign w:val="bottom"/>
          </w:tcPr>
          <w:p w14:paraId="1BFED2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87502E8" w14:textId="77777777" w:rsidTr="009501B5">
        <w:trPr>
          <w:trHeight w:val="220"/>
        </w:trPr>
        <w:tc>
          <w:tcPr>
            <w:tcW w:w="6420" w:type="dxa"/>
            <w:gridSpan w:val="5"/>
            <w:tcBorders>
              <w:top w:val="nil"/>
              <w:left w:val="nil"/>
              <w:bottom w:val="nil"/>
              <w:right w:val="nil"/>
            </w:tcBorders>
            <w:vAlign w:val="bottom"/>
          </w:tcPr>
          <w:p w14:paraId="234CE83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0, 0, 0, 1, 2)</w:t>
            </w:r>
          </w:p>
        </w:tc>
      </w:tr>
      <w:tr w:rsidR="00EA38DE" w:rsidRPr="00EA38DE" w14:paraId="6457EA55" w14:textId="77777777" w:rsidTr="009501B5">
        <w:trPr>
          <w:trHeight w:val="220"/>
        </w:trPr>
        <w:tc>
          <w:tcPr>
            <w:tcW w:w="6420" w:type="dxa"/>
            <w:gridSpan w:val="5"/>
            <w:tcBorders>
              <w:top w:val="nil"/>
              <w:left w:val="nil"/>
              <w:bottom w:val="nil"/>
              <w:right w:val="nil"/>
            </w:tcBorders>
            <w:vAlign w:val="bottom"/>
          </w:tcPr>
          <w:p w14:paraId="1BFD6D5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37CBCE6F" w14:textId="77777777" w:rsidTr="009501B5">
        <w:trPr>
          <w:trHeight w:val="220"/>
        </w:trPr>
        <w:tc>
          <w:tcPr>
            <w:tcW w:w="5470" w:type="dxa"/>
            <w:gridSpan w:val="4"/>
            <w:tcBorders>
              <w:top w:val="nil"/>
              <w:left w:val="nil"/>
              <w:bottom w:val="nil"/>
              <w:right w:val="nil"/>
            </w:tcBorders>
            <w:vAlign w:val="bottom"/>
          </w:tcPr>
          <w:p w14:paraId="1BC5AF4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09:13</w:t>
            </w:r>
          </w:p>
        </w:tc>
        <w:tc>
          <w:tcPr>
            <w:tcW w:w="950" w:type="dxa"/>
            <w:tcBorders>
              <w:top w:val="nil"/>
              <w:left w:val="nil"/>
              <w:bottom w:val="nil"/>
              <w:right w:val="nil"/>
            </w:tcBorders>
            <w:vAlign w:val="bottom"/>
          </w:tcPr>
          <w:p w14:paraId="09E1D5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D3260B5" w14:textId="77777777" w:rsidTr="009501B5">
        <w:trPr>
          <w:trHeight w:val="220"/>
        </w:trPr>
        <w:tc>
          <w:tcPr>
            <w:tcW w:w="4320" w:type="dxa"/>
            <w:gridSpan w:val="3"/>
            <w:tcBorders>
              <w:top w:val="nil"/>
              <w:left w:val="nil"/>
              <w:bottom w:val="nil"/>
              <w:right w:val="nil"/>
            </w:tcBorders>
            <w:vAlign w:val="bottom"/>
          </w:tcPr>
          <w:p w14:paraId="20BB443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4B353E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4BE22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B9E919E" w14:textId="77777777" w:rsidTr="009501B5">
        <w:trPr>
          <w:trHeight w:val="220"/>
        </w:trPr>
        <w:tc>
          <w:tcPr>
            <w:tcW w:w="5470" w:type="dxa"/>
            <w:gridSpan w:val="4"/>
            <w:tcBorders>
              <w:top w:val="nil"/>
              <w:left w:val="nil"/>
              <w:bottom w:val="nil"/>
              <w:right w:val="nil"/>
            </w:tcBorders>
            <w:vAlign w:val="bottom"/>
          </w:tcPr>
          <w:p w14:paraId="30B4CE5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33</w:t>
            </w:r>
          </w:p>
        </w:tc>
        <w:tc>
          <w:tcPr>
            <w:tcW w:w="950" w:type="dxa"/>
            <w:tcBorders>
              <w:top w:val="nil"/>
              <w:left w:val="nil"/>
              <w:bottom w:val="nil"/>
              <w:right w:val="nil"/>
            </w:tcBorders>
            <w:vAlign w:val="bottom"/>
          </w:tcPr>
          <w:p w14:paraId="235D41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EC9377E" w14:textId="77777777" w:rsidTr="009501B5">
        <w:trPr>
          <w:trHeight w:hRule="exact" w:val="88"/>
        </w:trPr>
        <w:tc>
          <w:tcPr>
            <w:tcW w:w="2120" w:type="dxa"/>
            <w:tcBorders>
              <w:top w:val="nil"/>
              <w:left w:val="nil"/>
              <w:bottom w:val="double" w:sz="6" w:space="2" w:color="auto"/>
              <w:right w:val="nil"/>
            </w:tcBorders>
            <w:vAlign w:val="bottom"/>
          </w:tcPr>
          <w:p w14:paraId="1D453D2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447EA7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5F9D2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C1730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0BC9C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8EBD2F8" w14:textId="77777777" w:rsidTr="009501B5">
        <w:trPr>
          <w:trHeight w:hRule="exact" w:val="132"/>
        </w:trPr>
        <w:tc>
          <w:tcPr>
            <w:tcW w:w="2120" w:type="dxa"/>
            <w:tcBorders>
              <w:top w:val="nil"/>
              <w:left w:val="nil"/>
              <w:bottom w:val="nil"/>
              <w:right w:val="nil"/>
            </w:tcBorders>
            <w:vAlign w:val="bottom"/>
          </w:tcPr>
          <w:p w14:paraId="3862C4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0127F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0A648E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6469D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E1724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2449865" w14:textId="77777777" w:rsidTr="009501B5">
        <w:trPr>
          <w:trHeight w:val="220"/>
        </w:trPr>
        <w:tc>
          <w:tcPr>
            <w:tcW w:w="6420" w:type="dxa"/>
            <w:gridSpan w:val="5"/>
            <w:tcBorders>
              <w:top w:val="nil"/>
              <w:left w:val="nil"/>
              <w:bottom w:val="nil"/>
              <w:right w:val="nil"/>
            </w:tcBorders>
            <w:vAlign w:val="bottom"/>
          </w:tcPr>
          <w:p w14:paraId="6A094F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6C62FE22" w14:textId="77777777" w:rsidTr="009501B5">
        <w:trPr>
          <w:trHeight w:val="220"/>
        </w:trPr>
        <w:tc>
          <w:tcPr>
            <w:tcW w:w="6420" w:type="dxa"/>
            <w:gridSpan w:val="5"/>
            <w:tcBorders>
              <w:top w:val="nil"/>
              <w:left w:val="nil"/>
              <w:bottom w:val="nil"/>
              <w:right w:val="nil"/>
            </w:tcBorders>
            <w:vAlign w:val="bottom"/>
          </w:tcPr>
          <w:p w14:paraId="1C971D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3AF360CD" w14:textId="77777777" w:rsidTr="009501B5">
        <w:trPr>
          <w:trHeight w:hRule="exact" w:val="88"/>
        </w:trPr>
        <w:tc>
          <w:tcPr>
            <w:tcW w:w="2120" w:type="dxa"/>
            <w:tcBorders>
              <w:top w:val="nil"/>
              <w:left w:val="nil"/>
              <w:bottom w:val="double" w:sz="6" w:space="2" w:color="auto"/>
              <w:right w:val="nil"/>
            </w:tcBorders>
            <w:vAlign w:val="bottom"/>
          </w:tcPr>
          <w:p w14:paraId="2CBC5F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1AF5D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FA194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4C98B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2EDE1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DEE5DA5" w14:textId="77777777" w:rsidTr="009501B5">
        <w:trPr>
          <w:trHeight w:hRule="exact" w:val="132"/>
        </w:trPr>
        <w:tc>
          <w:tcPr>
            <w:tcW w:w="2120" w:type="dxa"/>
            <w:tcBorders>
              <w:top w:val="nil"/>
              <w:left w:val="nil"/>
              <w:bottom w:val="nil"/>
              <w:right w:val="nil"/>
            </w:tcBorders>
            <w:vAlign w:val="bottom"/>
          </w:tcPr>
          <w:p w14:paraId="25D56C3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7A663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538DC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17196B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DB0AD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47C9E6A" w14:textId="77777777" w:rsidTr="009501B5">
        <w:trPr>
          <w:trHeight w:val="220"/>
        </w:trPr>
        <w:tc>
          <w:tcPr>
            <w:tcW w:w="2120" w:type="dxa"/>
            <w:tcBorders>
              <w:top w:val="nil"/>
              <w:left w:val="nil"/>
              <w:bottom w:val="nil"/>
              <w:right w:val="nil"/>
            </w:tcBorders>
            <w:vAlign w:val="bottom"/>
          </w:tcPr>
          <w:p w14:paraId="7C8B658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0AC3873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0A26733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001DD31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13385E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2971EE49" w14:textId="77777777" w:rsidTr="009501B5">
        <w:trPr>
          <w:trHeight w:hRule="exact" w:val="88"/>
        </w:trPr>
        <w:tc>
          <w:tcPr>
            <w:tcW w:w="2120" w:type="dxa"/>
            <w:tcBorders>
              <w:top w:val="nil"/>
              <w:left w:val="nil"/>
              <w:bottom w:val="double" w:sz="6" w:space="2" w:color="auto"/>
              <w:right w:val="nil"/>
            </w:tcBorders>
            <w:vAlign w:val="bottom"/>
          </w:tcPr>
          <w:p w14:paraId="6BD64F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7B7FB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8492D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A5B10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28593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FFAF66" w14:textId="77777777" w:rsidTr="009501B5">
        <w:trPr>
          <w:trHeight w:hRule="exact" w:val="132"/>
        </w:trPr>
        <w:tc>
          <w:tcPr>
            <w:tcW w:w="2120" w:type="dxa"/>
            <w:tcBorders>
              <w:top w:val="nil"/>
              <w:left w:val="nil"/>
              <w:bottom w:val="nil"/>
              <w:right w:val="nil"/>
            </w:tcBorders>
            <w:vAlign w:val="bottom"/>
          </w:tcPr>
          <w:p w14:paraId="12CF28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04464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ADE66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10C2B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AFD21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199DB2B" w14:textId="77777777" w:rsidTr="009501B5">
        <w:trPr>
          <w:trHeight w:val="220"/>
        </w:trPr>
        <w:tc>
          <w:tcPr>
            <w:tcW w:w="2120" w:type="dxa"/>
            <w:tcBorders>
              <w:top w:val="nil"/>
              <w:left w:val="nil"/>
              <w:bottom w:val="nil"/>
              <w:right w:val="nil"/>
            </w:tcBorders>
            <w:vAlign w:val="bottom"/>
          </w:tcPr>
          <w:p w14:paraId="5AF89F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0F05AAC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0.080396</w:t>
            </w:r>
          </w:p>
        </w:tc>
        <w:tc>
          <w:tcPr>
            <w:tcW w:w="1150" w:type="dxa"/>
            <w:tcBorders>
              <w:top w:val="nil"/>
              <w:left w:val="nil"/>
              <w:bottom w:val="nil"/>
              <w:right w:val="nil"/>
            </w:tcBorders>
            <w:vAlign w:val="bottom"/>
          </w:tcPr>
          <w:p w14:paraId="6775ED9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0.022040</w:t>
            </w:r>
          </w:p>
        </w:tc>
        <w:tc>
          <w:tcPr>
            <w:tcW w:w="1150" w:type="dxa"/>
            <w:tcBorders>
              <w:top w:val="nil"/>
              <w:left w:val="nil"/>
              <w:bottom w:val="nil"/>
              <w:right w:val="nil"/>
            </w:tcBorders>
            <w:vAlign w:val="bottom"/>
          </w:tcPr>
          <w:p w14:paraId="322864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3.647741</w:t>
            </w:r>
          </w:p>
        </w:tc>
        <w:tc>
          <w:tcPr>
            <w:tcW w:w="950" w:type="dxa"/>
            <w:tcBorders>
              <w:top w:val="nil"/>
              <w:left w:val="nil"/>
              <w:bottom w:val="nil"/>
              <w:right w:val="nil"/>
            </w:tcBorders>
            <w:vAlign w:val="bottom"/>
          </w:tcPr>
          <w:p w14:paraId="5292B79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0.0013</w:t>
            </w:r>
          </w:p>
        </w:tc>
      </w:tr>
      <w:tr w:rsidR="00EA38DE" w:rsidRPr="00EA38DE" w14:paraId="72D1C3BB" w14:textId="77777777" w:rsidTr="009501B5">
        <w:trPr>
          <w:trHeight w:val="220"/>
        </w:trPr>
        <w:tc>
          <w:tcPr>
            <w:tcW w:w="2120" w:type="dxa"/>
            <w:tcBorders>
              <w:top w:val="nil"/>
              <w:left w:val="nil"/>
              <w:bottom w:val="nil"/>
              <w:right w:val="nil"/>
            </w:tcBorders>
            <w:vAlign w:val="bottom"/>
          </w:tcPr>
          <w:p w14:paraId="6679ED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D(TRF(-1))</w:t>
            </w:r>
          </w:p>
        </w:tc>
        <w:tc>
          <w:tcPr>
            <w:tcW w:w="1050" w:type="dxa"/>
            <w:tcBorders>
              <w:top w:val="nil"/>
              <w:left w:val="nil"/>
              <w:bottom w:val="nil"/>
              <w:right w:val="nil"/>
            </w:tcBorders>
            <w:vAlign w:val="bottom"/>
          </w:tcPr>
          <w:p w14:paraId="6E8A725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0.059294</w:t>
            </w:r>
          </w:p>
        </w:tc>
        <w:tc>
          <w:tcPr>
            <w:tcW w:w="1150" w:type="dxa"/>
            <w:tcBorders>
              <w:top w:val="nil"/>
              <w:left w:val="nil"/>
              <w:bottom w:val="nil"/>
              <w:right w:val="nil"/>
            </w:tcBorders>
            <w:vAlign w:val="bottom"/>
          </w:tcPr>
          <w:p w14:paraId="505130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0.021747</w:t>
            </w:r>
          </w:p>
        </w:tc>
        <w:tc>
          <w:tcPr>
            <w:tcW w:w="1150" w:type="dxa"/>
            <w:tcBorders>
              <w:top w:val="nil"/>
              <w:left w:val="nil"/>
              <w:bottom w:val="nil"/>
              <w:right w:val="nil"/>
            </w:tcBorders>
            <w:vAlign w:val="bottom"/>
          </w:tcPr>
          <w:p w14:paraId="55B6B2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2.726521</w:t>
            </w:r>
          </w:p>
        </w:tc>
        <w:tc>
          <w:tcPr>
            <w:tcW w:w="950" w:type="dxa"/>
            <w:tcBorders>
              <w:top w:val="nil"/>
              <w:left w:val="nil"/>
              <w:bottom w:val="nil"/>
              <w:right w:val="nil"/>
            </w:tcBorders>
            <w:vAlign w:val="bottom"/>
          </w:tcPr>
          <w:p w14:paraId="5CEC5DA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0.0120</w:t>
            </w:r>
          </w:p>
        </w:tc>
      </w:tr>
      <w:tr w:rsidR="00EA38DE" w:rsidRPr="00EA38DE" w14:paraId="2E3B3C34" w14:textId="77777777" w:rsidTr="009501B5">
        <w:trPr>
          <w:trHeight w:val="220"/>
        </w:trPr>
        <w:tc>
          <w:tcPr>
            <w:tcW w:w="2120" w:type="dxa"/>
            <w:tcBorders>
              <w:top w:val="nil"/>
              <w:left w:val="nil"/>
              <w:bottom w:val="nil"/>
              <w:right w:val="nil"/>
            </w:tcBorders>
            <w:vAlign w:val="bottom"/>
          </w:tcPr>
          <w:p w14:paraId="744EC4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0CDA63A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-0.490033</w:t>
            </w:r>
          </w:p>
        </w:tc>
        <w:tc>
          <w:tcPr>
            <w:tcW w:w="1150" w:type="dxa"/>
            <w:tcBorders>
              <w:top w:val="nil"/>
              <w:left w:val="nil"/>
              <w:bottom w:val="nil"/>
              <w:right w:val="nil"/>
            </w:tcBorders>
            <w:vAlign w:val="bottom"/>
          </w:tcPr>
          <w:p w14:paraId="312EC22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0.084561</w:t>
            </w:r>
          </w:p>
        </w:tc>
        <w:tc>
          <w:tcPr>
            <w:tcW w:w="1150" w:type="dxa"/>
            <w:tcBorders>
              <w:top w:val="nil"/>
              <w:left w:val="nil"/>
              <w:bottom w:val="nil"/>
              <w:right w:val="nil"/>
            </w:tcBorders>
            <w:vAlign w:val="bottom"/>
          </w:tcPr>
          <w:p w14:paraId="69DC52D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-5.795052</w:t>
            </w:r>
          </w:p>
        </w:tc>
        <w:tc>
          <w:tcPr>
            <w:tcW w:w="950" w:type="dxa"/>
            <w:tcBorders>
              <w:top w:val="nil"/>
              <w:left w:val="nil"/>
              <w:bottom w:val="nil"/>
              <w:right w:val="nil"/>
            </w:tcBorders>
            <w:vAlign w:val="bottom"/>
          </w:tcPr>
          <w:p w14:paraId="44633D8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74A56036" w14:textId="77777777" w:rsidTr="009501B5">
        <w:trPr>
          <w:trHeight w:hRule="exact" w:val="88"/>
        </w:trPr>
        <w:tc>
          <w:tcPr>
            <w:tcW w:w="2120" w:type="dxa"/>
            <w:tcBorders>
              <w:top w:val="nil"/>
              <w:left w:val="nil"/>
              <w:bottom w:val="double" w:sz="6" w:space="2" w:color="auto"/>
              <w:right w:val="nil"/>
            </w:tcBorders>
            <w:vAlign w:val="bottom"/>
          </w:tcPr>
          <w:p w14:paraId="318175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E867F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8CF97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EFB94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4726B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F431293" w14:textId="77777777" w:rsidTr="009501B5">
        <w:trPr>
          <w:trHeight w:hRule="exact" w:val="132"/>
        </w:trPr>
        <w:tc>
          <w:tcPr>
            <w:tcW w:w="2120" w:type="dxa"/>
            <w:tcBorders>
              <w:top w:val="nil"/>
              <w:left w:val="nil"/>
              <w:bottom w:val="nil"/>
              <w:right w:val="nil"/>
            </w:tcBorders>
            <w:vAlign w:val="bottom"/>
          </w:tcPr>
          <w:p w14:paraId="0768E44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E09C6D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81EF50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6AB31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0992C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CFB2065" w14:textId="77777777" w:rsidTr="009501B5">
        <w:trPr>
          <w:trHeight w:val="220"/>
        </w:trPr>
        <w:tc>
          <w:tcPr>
            <w:tcW w:w="2120" w:type="dxa"/>
            <w:tcBorders>
              <w:top w:val="nil"/>
              <w:left w:val="nil"/>
              <w:bottom w:val="nil"/>
              <w:right w:val="nil"/>
            </w:tcBorders>
            <w:vAlign w:val="bottom"/>
          </w:tcPr>
          <w:p w14:paraId="5B2C794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5434830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0.541066</w:t>
            </w:r>
          </w:p>
        </w:tc>
        <w:tc>
          <w:tcPr>
            <w:tcW w:w="2300" w:type="dxa"/>
            <w:gridSpan w:val="2"/>
            <w:tcBorders>
              <w:top w:val="nil"/>
              <w:left w:val="nil"/>
              <w:bottom w:val="nil"/>
              <w:right w:val="nil"/>
            </w:tcBorders>
            <w:vAlign w:val="bottom"/>
          </w:tcPr>
          <w:p w14:paraId="7D92E01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06AC59B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0.045810</w:t>
            </w:r>
          </w:p>
        </w:tc>
      </w:tr>
      <w:tr w:rsidR="00EA38DE" w:rsidRPr="00EA38DE" w14:paraId="649A21D5" w14:textId="77777777" w:rsidTr="009501B5">
        <w:trPr>
          <w:trHeight w:val="220"/>
        </w:trPr>
        <w:tc>
          <w:tcPr>
            <w:tcW w:w="2120" w:type="dxa"/>
            <w:tcBorders>
              <w:top w:val="nil"/>
              <w:left w:val="nil"/>
              <w:bottom w:val="nil"/>
              <w:right w:val="nil"/>
            </w:tcBorders>
            <w:vAlign w:val="bottom"/>
          </w:tcPr>
          <w:p w14:paraId="691684C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1FF0A81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0.493590</w:t>
            </w:r>
          </w:p>
        </w:tc>
        <w:tc>
          <w:tcPr>
            <w:tcW w:w="2300" w:type="dxa"/>
            <w:gridSpan w:val="2"/>
            <w:tcBorders>
              <w:top w:val="nil"/>
              <w:left w:val="nil"/>
              <w:bottom w:val="nil"/>
              <w:right w:val="nil"/>
            </w:tcBorders>
            <w:vAlign w:val="bottom"/>
          </w:tcPr>
          <w:p w14:paraId="6E6CBC50"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5C8139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0.110360</w:t>
            </w:r>
          </w:p>
        </w:tc>
      </w:tr>
      <w:tr w:rsidR="00EA38DE" w:rsidRPr="00EA38DE" w14:paraId="342B9349" w14:textId="77777777" w:rsidTr="009501B5">
        <w:trPr>
          <w:trHeight w:val="220"/>
        </w:trPr>
        <w:tc>
          <w:tcPr>
            <w:tcW w:w="2120" w:type="dxa"/>
            <w:tcBorders>
              <w:top w:val="nil"/>
              <w:left w:val="nil"/>
              <w:bottom w:val="nil"/>
              <w:right w:val="nil"/>
            </w:tcBorders>
            <w:vAlign w:val="bottom"/>
          </w:tcPr>
          <w:p w14:paraId="0810C57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06734A7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0.078535</w:t>
            </w:r>
          </w:p>
        </w:tc>
        <w:tc>
          <w:tcPr>
            <w:tcW w:w="2300" w:type="dxa"/>
            <w:gridSpan w:val="2"/>
            <w:tcBorders>
              <w:top w:val="nil"/>
              <w:left w:val="nil"/>
              <w:bottom w:val="nil"/>
              <w:right w:val="nil"/>
            </w:tcBorders>
            <w:vAlign w:val="bottom"/>
          </w:tcPr>
          <w:p w14:paraId="0FFC2C25"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58363F6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-2.137325</w:t>
            </w:r>
          </w:p>
        </w:tc>
      </w:tr>
      <w:tr w:rsidR="00EA38DE" w:rsidRPr="00EA38DE" w14:paraId="11F1C277" w14:textId="77777777" w:rsidTr="009501B5">
        <w:trPr>
          <w:trHeight w:val="220"/>
        </w:trPr>
        <w:tc>
          <w:tcPr>
            <w:tcW w:w="2120" w:type="dxa"/>
            <w:tcBorders>
              <w:top w:val="nil"/>
              <w:left w:val="nil"/>
              <w:bottom w:val="nil"/>
              <w:right w:val="nil"/>
            </w:tcBorders>
            <w:vAlign w:val="bottom"/>
          </w:tcPr>
          <w:p w14:paraId="06BE1FD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46D7C65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0.178866</w:t>
            </w:r>
          </w:p>
        </w:tc>
        <w:tc>
          <w:tcPr>
            <w:tcW w:w="2300" w:type="dxa"/>
            <w:gridSpan w:val="2"/>
            <w:tcBorders>
              <w:top w:val="nil"/>
              <w:left w:val="nil"/>
              <w:bottom w:val="nil"/>
              <w:right w:val="nil"/>
            </w:tcBorders>
            <w:vAlign w:val="bottom"/>
          </w:tcPr>
          <w:p w14:paraId="5EE16FB1"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0986C2F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-1.955930</w:t>
            </w:r>
          </w:p>
        </w:tc>
      </w:tr>
      <w:tr w:rsidR="00EA38DE" w:rsidRPr="00EA38DE" w14:paraId="42C89FA6" w14:textId="77777777" w:rsidTr="009501B5">
        <w:trPr>
          <w:trHeight w:val="220"/>
        </w:trPr>
        <w:tc>
          <w:tcPr>
            <w:tcW w:w="2120" w:type="dxa"/>
            <w:tcBorders>
              <w:top w:val="nil"/>
              <w:left w:val="nil"/>
              <w:bottom w:val="nil"/>
              <w:right w:val="nil"/>
            </w:tcBorders>
            <w:vAlign w:val="bottom"/>
          </w:tcPr>
          <w:p w14:paraId="02BE0F1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5054F61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39.26586</w:t>
            </w:r>
          </w:p>
        </w:tc>
        <w:tc>
          <w:tcPr>
            <w:tcW w:w="2300" w:type="dxa"/>
            <w:gridSpan w:val="2"/>
            <w:tcBorders>
              <w:top w:val="nil"/>
              <w:left w:val="nil"/>
              <w:bottom w:val="nil"/>
              <w:right w:val="nil"/>
            </w:tcBorders>
            <w:vAlign w:val="bottom"/>
          </w:tcPr>
          <w:p w14:paraId="66718DF2"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2D5F79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-2.076291</w:t>
            </w:r>
          </w:p>
        </w:tc>
      </w:tr>
      <w:tr w:rsidR="00EA38DE" w:rsidRPr="00EA38DE" w14:paraId="1F80F37C" w14:textId="77777777" w:rsidTr="009501B5">
        <w:trPr>
          <w:trHeight w:val="220"/>
        </w:trPr>
        <w:tc>
          <w:tcPr>
            <w:tcW w:w="2120" w:type="dxa"/>
            <w:tcBorders>
              <w:top w:val="nil"/>
              <w:left w:val="nil"/>
              <w:bottom w:val="nil"/>
              <w:right w:val="nil"/>
            </w:tcBorders>
            <w:vAlign w:val="bottom"/>
          </w:tcPr>
          <w:p w14:paraId="25A17E9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3F8163A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2.006037</w:t>
            </w:r>
          </w:p>
        </w:tc>
        <w:tc>
          <w:tcPr>
            <w:tcW w:w="1150" w:type="dxa"/>
            <w:tcBorders>
              <w:top w:val="nil"/>
              <w:left w:val="nil"/>
              <w:bottom w:val="nil"/>
              <w:right w:val="nil"/>
            </w:tcBorders>
            <w:vAlign w:val="bottom"/>
          </w:tcPr>
          <w:p w14:paraId="61D8FBD8"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5C42892D"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7F9558EA"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42DB64A2" w14:textId="77777777" w:rsidTr="009501B5">
        <w:trPr>
          <w:trHeight w:hRule="exact" w:val="88"/>
        </w:trPr>
        <w:tc>
          <w:tcPr>
            <w:tcW w:w="2120" w:type="dxa"/>
            <w:tcBorders>
              <w:top w:val="nil"/>
              <w:left w:val="nil"/>
              <w:bottom w:val="double" w:sz="6" w:space="2" w:color="auto"/>
              <w:right w:val="nil"/>
            </w:tcBorders>
            <w:vAlign w:val="bottom"/>
          </w:tcPr>
          <w:p w14:paraId="310993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77A91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43A28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639E4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61230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2887043" w14:textId="77777777" w:rsidTr="009501B5">
        <w:trPr>
          <w:trHeight w:hRule="exact" w:val="132"/>
        </w:trPr>
        <w:tc>
          <w:tcPr>
            <w:tcW w:w="2120" w:type="dxa"/>
            <w:tcBorders>
              <w:top w:val="nil"/>
              <w:left w:val="nil"/>
              <w:bottom w:val="nil"/>
              <w:right w:val="nil"/>
            </w:tcBorders>
            <w:vAlign w:val="bottom"/>
          </w:tcPr>
          <w:p w14:paraId="75B075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D907A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AC928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2150C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C8A59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6CEEC9B" w14:textId="77777777" w:rsidTr="009501B5">
        <w:trPr>
          <w:trHeight w:val="220"/>
        </w:trPr>
        <w:tc>
          <w:tcPr>
            <w:tcW w:w="6420" w:type="dxa"/>
            <w:gridSpan w:val="5"/>
            <w:tcBorders>
              <w:top w:val="nil"/>
              <w:left w:val="nil"/>
              <w:bottom w:val="nil"/>
              <w:right w:val="nil"/>
            </w:tcBorders>
            <w:vAlign w:val="bottom"/>
          </w:tcPr>
          <w:p w14:paraId="7747C14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74E12DF2" w14:textId="77777777" w:rsidTr="009501B5">
        <w:trPr>
          <w:trHeight w:val="220"/>
        </w:trPr>
        <w:tc>
          <w:tcPr>
            <w:tcW w:w="2120" w:type="dxa"/>
            <w:tcBorders>
              <w:top w:val="nil"/>
              <w:left w:val="nil"/>
              <w:bottom w:val="nil"/>
              <w:right w:val="nil"/>
            </w:tcBorders>
            <w:vAlign w:val="bottom"/>
          </w:tcPr>
          <w:p w14:paraId="1B57BD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FFEF4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2EFF8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B1C68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BEED7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F1F6AD3" w14:textId="77777777" w:rsidTr="009501B5">
        <w:trPr>
          <w:trHeight w:val="220"/>
        </w:trPr>
        <w:tc>
          <w:tcPr>
            <w:tcW w:w="2120" w:type="dxa"/>
            <w:tcBorders>
              <w:top w:val="nil"/>
              <w:left w:val="nil"/>
              <w:bottom w:val="nil"/>
              <w:right w:val="nil"/>
            </w:tcBorders>
            <w:vAlign w:val="bottom"/>
          </w:tcPr>
          <w:p w14:paraId="7DAC94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0D268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2F19B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9EBF0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B6C26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5D90486" w14:textId="77777777" w:rsidTr="009501B5">
        <w:trPr>
          <w:trHeight w:val="220"/>
        </w:trPr>
        <w:tc>
          <w:tcPr>
            <w:tcW w:w="3170" w:type="dxa"/>
            <w:gridSpan w:val="2"/>
            <w:tcBorders>
              <w:top w:val="nil"/>
              <w:left w:val="nil"/>
              <w:bottom w:val="nil"/>
              <w:right w:val="nil"/>
            </w:tcBorders>
            <w:vAlign w:val="bottom"/>
          </w:tcPr>
          <w:p w14:paraId="3351E57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67DBC9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006A37DA" w14:textId="77777777" w:rsidTr="009501B5">
        <w:trPr>
          <w:trHeight w:hRule="exact" w:val="88"/>
        </w:trPr>
        <w:tc>
          <w:tcPr>
            <w:tcW w:w="2120" w:type="dxa"/>
            <w:tcBorders>
              <w:top w:val="nil"/>
              <w:left w:val="nil"/>
              <w:bottom w:val="double" w:sz="6" w:space="2" w:color="auto"/>
              <w:right w:val="nil"/>
            </w:tcBorders>
            <w:vAlign w:val="bottom"/>
          </w:tcPr>
          <w:p w14:paraId="218F87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A3E1A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B9CD2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A505D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80E1C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7E94E9C" w14:textId="77777777" w:rsidTr="009501B5">
        <w:trPr>
          <w:trHeight w:hRule="exact" w:val="132"/>
        </w:trPr>
        <w:tc>
          <w:tcPr>
            <w:tcW w:w="2120" w:type="dxa"/>
            <w:tcBorders>
              <w:top w:val="nil"/>
              <w:left w:val="nil"/>
              <w:bottom w:val="nil"/>
              <w:right w:val="nil"/>
            </w:tcBorders>
            <w:vAlign w:val="bottom"/>
          </w:tcPr>
          <w:p w14:paraId="05ED45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A90AF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BBAB7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52B23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30167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D4680DF" w14:textId="77777777" w:rsidTr="009501B5">
        <w:trPr>
          <w:trHeight w:val="220"/>
        </w:trPr>
        <w:tc>
          <w:tcPr>
            <w:tcW w:w="2120" w:type="dxa"/>
            <w:tcBorders>
              <w:top w:val="nil"/>
              <w:left w:val="nil"/>
              <w:bottom w:val="nil"/>
              <w:right w:val="nil"/>
            </w:tcBorders>
            <w:vAlign w:val="bottom"/>
          </w:tcPr>
          <w:p w14:paraId="3C798F3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1E78E5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1F07B29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055B12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11E9B16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2C1D98E4" w14:textId="77777777" w:rsidTr="009501B5">
        <w:trPr>
          <w:trHeight w:hRule="exact" w:val="88"/>
        </w:trPr>
        <w:tc>
          <w:tcPr>
            <w:tcW w:w="2120" w:type="dxa"/>
            <w:tcBorders>
              <w:top w:val="nil"/>
              <w:left w:val="nil"/>
              <w:bottom w:val="double" w:sz="6" w:space="2" w:color="auto"/>
              <w:right w:val="nil"/>
            </w:tcBorders>
            <w:vAlign w:val="bottom"/>
          </w:tcPr>
          <w:p w14:paraId="24CAD26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3F6F9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4CCEC4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49018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70B00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5539349" w14:textId="77777777" w:rsidTr="009501B5">
        <w:trPr>
          <w:trHeight w:hRule="exact" w:val="132"/>
        </w:trPr>
        <w:tc>
          <w:tcPr>
            <w:tcW w:w="2120" w:type="dxa"/>
            <w:tcBorders>
              <w:top w:val="nil"/>
              <w:left w:val="nil"/>
              <w:bottom w:val="nil"/>
              <w:right w:val="nil"/>
            </w:tcBorders>
            <w:vAlign w:val="bottom"/>
          </w:tcPr>
          <w:p w14:paraId="067F3D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A66DC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720FA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74775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B66E4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FFD78E" w14:textId="77777777" w:rsidTr="009501B5">
        <w:trPr>
          <w:trHeight w:val="220"/>
        </w:trPr>
        <w:tc>
          <w:tcPr>
            <w:tcW w:w="2120" w:type="dxa"/>
            <w:tcBorders>
              <w:top w:val="nil"/>
              <w:left w:val="nil"/>
              <w:bottom w:val="nil"/>
              <w:right w:val="nil"/>
            </w:tcBorders>
            <w:vAlign w:val="bottom"/>
          </w:tcPr>
          <w:p w14:paraId="424626A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18455A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3.804929</w:t>
            </w:r>
          </w:p>
        </w:tc>
        <w:tc>
          <w:tcPr>
            <w:tcW w:w="1150" w:type="dxa"/>
            <w:tcBorders>
              <w:top w:val="nil"/>
              <w:left w:val="nil"/>
              <w:bottom w:val="nil"/>
              <w:right w:val="nil"/>
            </w:tcBorders>
            <w:vAlign w:val="bottom"/>
          </w:tcPr>
          <w:p w14:paraId="37B113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1F4F456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2.08</w:t>
            </w:r>
          </w:p>
        </w:tc>
        <w:tc>
          <w:tcPr>
            <w:tcW w:w="950" w:type="dxa"/>
            <w:tcBorders>
              <w:top w:val="nil"/>
              <w:left w:val="nil"/>
              <w:bottom w:val="nil"/>
              <w:right w:val="nil"/>
            </w:tcBorders>
            <w:vAlign w:val="bottom"/>
          </w:tcPr>
          <w:p w14:paraId="3F2651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w:t>
            </w:r>
          </w:p>
        </w:tc>
      </w:tr>
      <w:tr w:rsidR="00EA38DE" w:rsidRPr="00EA38DE" w14:paraId="0067DD48" w14:textId="77777777" w:rsidTr="009501B5">
        <w:trPr>
          <w:trHeight w:val="220"/>
        </w:trPr>
        <w:tc>
          <w:tcPr>
            <w:tcW w:w="2120" w:type="dxa"/>
            <w:tcBorders>
              <w:top w:val="nil"/>
              <w:left w:val="nil"/>
              <w:bottom w:val="nil"/>
              <w:right w:val="nil"/>
            </w:tcBorders>
            <w:vAlign w:val="bottom"/>
          </w:tcPr>
          <w:p w14:paraId="60FD442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6F2C05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06ED123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4FDFD6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2.39</w:t>
            </w:r>
          </w:p>
        </w:tc>
        <w:tc>
          <w:tcPr>
            <w:tcW w:w="950" w:type="dxa"/>
            <w:tcBorders>
              <w:top w:val="nil"/>
              <w:left w:val="nil"/>
              <w:bottom w:val="nil"/>
              <w:right w:val="nil"/>
            </w:tcBorders>
            <w:vAlign w:val="bottom"/>
          </w:tcPr>
          <w:p w14:paraId="593925B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3.38</w:t>
            </w:r>
          </w:p>
        </w:tc>
      </w:tr>
      <w:tr w:rsidR="00EA38DE" w:rsidRPr="00EA38DE" w14:paraId="43F574B7" w14:textId="77777777" w:rsidTr="009501B5">
        <w:trPr>
          <w:trHeight w:val="220"/>
        </w:trPr>
        <w:tc>
          <w:tcPr>
            <w:tcW w:w="2120" w:type="dxa"/>
            <w:tcBorders>
              <w:top w:val="nil"/>
              <w:left w:val="nil"/>
              <w:bottom w:val="nil"/>
              <w:right w:val="nil"/>
            </w:tcBorders>
            <w:vAlign w:val="bottom"/>
          </w:tcPr>
          <w:p w14:paraId="2BA0CE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32A58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A8F408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04ABBA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w:t>
            </w:r>
          </w:p>
        </w:tc>
        <w:tc>
          <w:tcPr>
            <w:tcW w:w="950" w:type="dxa"/>
            <w:tcBorders>
              <w:top w:val="nil"/>
              <w:left w:val="nil"/>
              <w:bottom w:val="nil"/>
              <w:right w:val="nil"/>
            </w:tcBorders>
            <w:vAlign w:val="bottom"/>
          </w:tcPr>
          <w:p w14:paraId="4B0CC52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3.73</w:t>
            </w:r>
          </w:p>
        </w:tc>
      </w:tr>
      <w:tr w:rsidR="00EA38DE" w:rsidRPr="00EA38DE" w14:paraId="47DFA9A0" w14:textId="77777777" w:rsidTr="009501B5">
        <w:trPr>
          <w:trHeight w:val="220"/>
        </w:trPr>
        <w:tc>
          <w:tcPr>
            <w:tcW w:w="2120" w:type="dxa"/>
            <w:tcBorders>
              <w:top w:val="nil"/>
              <w:left w:val="nil"/>
              <w:bottom w:val="nil"/>
              <w:right w:val="nil"/>
            </w:tcBorders>
            <w:vAlign w:val="bottom"/>
          </w:tcPr>
          <w:p w14:paraId="3A8B65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0CB45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13055E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165D42D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3.06</w:t>
            </w:r>
          </w:p>
        </w:tc>
        <w:tc>
          <w:tcPr>
            <w:tcW w:w="950" w:type="dxa"/>
            <w:tcBorders>
              <w:top w:val="nil"/>
              <w:left w:val="nil"/>
              <w:bottom w:val="nil"/>
              <w:right w:val="nil"/>
            </w:tcBorders>
            <w:vAlign w:val="bottom"/>
          </w:tcPr>
          <w:p w14:paraId="12D9C82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4.15</w:t>
            </w:r>
          </w:p>
        </w:tc>
      </w:tr>
      <w:tr w:rsidR="00EA38DE" w:rsidRPr="00EA38DE" w14:paraId="101B66B9" w14:textId="77777777" w:rsidTr="009501B5">
        <w:trPr>
          <w:trHeight w:hRule="exact" w:val="88"/>
        </w:trPr>
        <w:tc>
          <w:tcPr>
            <w:tcW w:w="2120" w:type="dxa"/>
            <w:tcBorders>
              <w:top w:val="nil"/>
              <w:left w:val="nil"/>
              <w:bottom w:val="double" w:sz="6" w:space="0" w:color="auto"/>
              <w:right w:val="nil"/>
            </w:tcBorders>
            <w:vAlign w:val="bottom"/>
          </w:tcPr>
          <w:p w14:paraId="6A7B40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1572FF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7CD10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0F835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1D3187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AE9A52E" w14:textId="77777777" w:rsidTr="009501B5">
        <w:trPr>
          <w:trHeight w:hRule="exact" w:val="132"/>
        </w:trPr>
        <w:tc>
          <w:tcPr>
            <w:tcW w:w="2120" w:type="dxa"/>
            <w:tcBorders>
              <w:top w:val="nil"/>
              <w:left w:val="nil"/>
              <w:bottom w:val="nil"/>
              <w:right w:val="nil"/>
            </w:tcBorders>
            <w:vAlign w:val="bottom"/>
          </w:tcPr>
          <w:p w14:paraId="064082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3DA4F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93417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E85EE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30F3E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607293AD" w14:textId="77777777" w:rsidR="003C6B00" w:rsidRPr="00EA38DE" w:rsidRDefault="003C6B00" w:rsidP="003C6B00">
      <w:r w:rsidRPr="00EA38DE">
        <w:rPr>
          <w:rFonts w:ascii="Arial" w:hAnsi="Arial" w:cs="Arial"/>
          <w:sz w:val="18"/>
          <w:szCs w:val="18"/>
        </w:rPr>
        <w:br/>
      </w:r>
    </w:p>
    <w:p w14:paraId="26983601" w14:textId="77777777" w:rsidR="003C6B00" w:rsidRPr="00EA38DE" w:rsidRDefault="003C6B00" w:rsidP="003C6B00"/>
    <w:p w14:paraId="385C9C41" w14:textId="77777777" w:rsidR="003C6B00" w:rsidRPr="00EA38DE" w:rsidRDefault="003C6B00" w:rsidP="003C6B00"/>
    <w:p w14:paraId="53E345ED" w14:textId="77777777" w:rsidR="003C6B00" w:rsidRPr="00EA38DE" w:rsidRDefault="003C6B00" w:rsidP="003C6B00"/>
    <w:p w14:paraId="50FE668B" w14:textId="77777777" w:rsidR="003C6B00" w:rsidRPr="00EA38DE" w:rsidRDefault="003C6B00" w:rsidP="003C6B00"/>
    <w:p w14:paraId="4AB0CD58" w14:textId="77777777" w:rsidR="003C6B00" w:rsidRPr="00EA38DE" w:rsidRDefault="003C6B00" w:rsidP="003C6B00"/>
    <w:p w14:paraId="7BC2838E" w14:textId="77777777" w:rsidR="003C6B00" w:rsidRPr="00EA38DE" w:rsidRDefault="003C6B00" w:rsidP="003C6B00"/>
    <w:p w14:paraId="703DCF93" w14:textId="77777777" w:rsidR="003C6B00" w:rsidRPr="00EA38DE" w:rsidRDefault="003C6B00" w:rsidP="003C6B00"/>
    <w:p w14:paraId="0E513750" w14:textId="77777777" w:rsidR="003C6B00" w:rsidRPr="00EA38DE" w:rsidRDefault="003C6B00" w:rsidP="003C6B00"/>
    <w:p w14:paraId="5CC3A3BF" w14:textId="77777777" w:rsidR="003C6B00" w:rsidRPr="00EA38DE" w:rsidRDefault="003C6B00" w:rsidP="003C6B00"/>
    <w:p w14:paraId="586DAC41"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07C0D036" w14:textId="77777777" w:rsidTr="009501B5">
        <w:trPr>
          <w:trHeight w:val="220"/>
        </w:trPr>
        <w:tc>
          <w:tcPr>
            <w:tcW w:w="6420" w:type="dxa"/>
            <w:gridSpan w:val="5"/>
            <w:tcBorders>
              <w:top w:val="nil"/>
              <w:left w:val="nil"/>
              <w:bottom w:val="nil"/>
              <w:right w:val="nil"/>
            </w:tcBorders>
            <w:vAlign w:val="bottom"/>
          </w:tcPr>
          <w:p w14:paraId="0276199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Long Run Form and Bounds Test</w:t>
            </w:r>
          </w:p>
        </w:tc>
      </w:tr>
      <w:tr w:rsidR="00EA38DE" w:rsidRPr="00EA38DE" w14:paraId="5004F4F9" w14:textId="77777777" w:rsidTr="009501B5">
        <w:trPr>
          <w:trHeight w:val="220"/>
        </w:trPr>
        <w:tc>
          <w:tcPr>
            <w:tcW w:w="5470" w:type="dxa"/>
            <w:gridSpan w:val="4"/>
            <w:tcBorders>
              <w:top w:val="nil"/>
              <w:left w:val="nil"/>
              <w:bottom w:val="nil"/>
              <w:right w:val="nil"/>
            </w:tcBorders>
            <w:vAlign w:val="bottom"/>
          </w:tcPr>
          <w:p w14:paraId="0B0061F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D(LPOR)</w:t>
            </w:r>
          </w:p>
        </w:tc>
        <w:tc>
          <w:tcPr>
            <w:tcW w:w="950" w:type="dxa"/>
            <w:tcBorders>
              <w:top w:val="nil"/>
              <w:left w:val="nil"/>
              <w:bottom w:val="nil"/>
              <w:right w:val="nil"/>
            </w:tcBorders>
            <w:vAlign w:val="bottom"/>
          </w:tcPr>
          <w:p w14:paraId="28BC04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52DBB72" w14:textId="77777777" w:rsidTr="009501B5">
        <w:trPr>
          <w:trHeight w:val="220"/>
        </w:trPr>
        <w:tc>
          <w:tcPr>
            <w:tcW w:w="6420" w:type="dxa"/>
            <w:gridSpan w:val="5"/>
            <w:tcBorders>
              <w:top w:val="nil"/>
              <w:left w:val="nil"/>
              <w:bottom w:val="nil"/>
              <w:right w:val="nil"/>
            </w:tcBorders>
            <w:vAlign w:val="bottom"/>
          </w:tcPr>
          <w:p w14:paraId="6936C4E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0, 1, 0, 0, 2)</w:t>
            </w:r>
          </w:p>
        </w:tc>
      </w:tr>
      <w:tr w:rsidR="00EA38DE" w:rsidRPr="00EA38DE" w14:paraId="31CB79BD" w14:textId="77777777" w:rsidTr="009501B5">
        <w:trPr>
          <w:trHeight w:val="220"/>
        </w:trPr>
        <w:tc>
          <w:tcPr>
            <w:tcW w:w="6420" w:type="dxa"/>
            <w:gridSpan w:val="5"/>
            <w:tcBorders>
              <w:top w:val="nil"/>
              <w:left w:val="nil"/>
              <w:bottom w:val="nil"/>
              <w:right w:val="nil"/>
            </w:tcBorders>
            <w:vAlign w:val="bottom"/>
          </w:tcPr>
          <w:p w14:paraId="767CEE3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0C6B8441" w14:textId="77777777" w:rsidTr="009501B5">
        <w:trPr>
          <w:trHeight w:val="220"/>
        </w:trPr>
        <w:tc>
          <w:tcPr>
            <w:tcW w:w="5470" w:type="dxa"/>
            <w:gridSpan w:val="4"/>
            <w:tcBorders>
              <w:top w:val="nil"/>
              <w:left w:val="nil"/>
              <w:bottom w:val="nil"/>
              <w:right w:val="nil"/>
            </w:tcBorders>
            <w:vAlign w:val="bottom"/>
          </w:tcPr>
          <w:p w14:paraId="660A25B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09:16</w:t>
            </w:r>
          </w:p>
        </w:tc>
        <w:tc>
          <w:tcPr>
            <w:tcW w:w="950" w:type="dxa"/>
            <w:tcBorders>
              <w:top w:val="nil"/>
              <w:left w:val="nil"/>
              <w:bottom w:val="nil"/>
              <w:right w:val="nil"/>
            </w:tcBorders>
            <w:vAlign w:val="bottom"/>
          </w:tcPr>
          <w:p w14:paraId="2E54F5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2125665" w14:textId="77777777" w:rsidTr="009501B5">
        <w:trPr>
          <w:trHeight w:val="220"/>
        </w:trPr>
        <w:tc>
          <w:tcPr>
            <w:tcW w:w="4320" w:type="dxa"/>
            <w:gridSpan w:val="3"/>
            <w:tcBorders>
              <w:top w:val="nil"/>
              <w:left w:val="nil"/>
              <w:bottom w:val="nil"/>
              <w:right w:val="nil"/>
            </w:tcBorders>
            <w:vAlign w:val="bottom"/>
          </w:tcPr>
          <w:p w14:paraId="13BD6E7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654344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0B59B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D896ACC" w14:textId="77777777" w:rsidTr="009501B5">
        <w:trPr>
          <w:trHeight w:val="220"/>
        </w:trPr>
        <w:tc>
          <w:tcPr>
            <w:tcW w:w="5470" w:type="dxa"/>
            <w:gridSpan w:val="4"/>
            <w:tcBorders>
              <w:top w:val="nil"/>
              <w:left w:val="nil"/>
              <w:bottom w:val="nil"/>
              <w:right w:val="nil"/>
            </w:tcBorders>
            <w:vAlign w:val="bottom"/>
          </w:tcPr>
          <w:p w14:paraId="0489409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33</w:t>
            </w:r>
          </w:p>
        </w:tc>
        <w:tc>
          <w:tcPr>
            <w:tcW w:w="950" w:type="dxa"/>
            <w:tcBorders>
              <w:top w:val="nil"/>
              <w:left w:val="nil"/>
              <w:bottom w:val="nil"/>
              <w:right w:val="nil"/>
            </w:tcBorders>
            <w:vAlign w:val="bottom"/>
          </w:tcPr>
          <w:p w14:paraId="20801A9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F08E0F3" w14:textId="77777777" w:rsidTr="009501B5">
        <w:trPr>
          <w:trHeight w:hRule="exact" w:val="88"/>
        </w:trPr>
        <w:tc>
          <w:tcPr>
            <w:tcW w:w="2120" w:type="dxa"/>
            <w:tcBorders>
              <w:top w:val="nil"/>
              <w:left w:val="nil"/>
              <w:bottom w:val="double" w:sz="6" w:space="2" w:color="auto"/>
              <w:right w:val="nil"/>
            </w:tcBorders>
            <w:vAlign w:val="bottom"/>
          </w:tcPr>
          <w:p w14:paraId="4BD300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8CDF4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03110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54775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183F9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A4A52CC" w14:textId="77777777" w:rsidTr="009501B5">
        <w:trPr>
          <w:trHeight w:hRule="exact" w:val="132"/>
        </w:trPr>
        <w:tc>
          <w:tcPr>
            <w:tcW w:w="2120" w:type="dxa"/>
            <w:tcBorders>
              <w:top w:val="nil"/>
              <w:left w:val="nil"/>
              <w:bottom w:val="nil"/>
              <w:right w:val="nil"/>
            </w:tcBorders>
            <w:vAlign w:val="bottom"/>
          </w:tcPr>
          <w:p w14:paraId="32AA9E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68F4E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2BA88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91860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74D44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9FD3CA3" w14:textId="77777777" w:rsidTr="009501B5">
        <w:trPr>
          <w:trHeight w:val="220"/>
        </w:trPr>
        <w:tc>
          <w:tcPr>
            <w:tcW w:w="6420" w:type="dxa"/>
            <w:gridSpan w:val="5"/>
            <w:tcBorders>
              <w:top w:val="nil"/>
              <w:left w:val="nil"/>
              <w:bottom w:val="nil"/>
              <w:right w:val="nil"/>
            </w:tcBorders>
            <w:vAlign w:val="bottom"/>
          </w:tcPr>
          <w:p w14:paraId="605723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393D192E" w14:textId="77777777" w:rsidTr="009501B5">
        <w:trPr>
          <w:trHeight w:hRule="exact" w:val="88"/>
        </w:trPr>
        <w:tc>
          <w:tcPr>
            <w:tcW w:w="2120" w:type="dxa"/>
            <w:tcBorders>
              <w:top w:val="nil"/>
              <w:left w:val="nil"/>
              <w:bottom w:val="double" w:sz="6" w:space="2" w:color="auto"/>
              <w:right w:val="nil"/>
            </w:tcBorders>
            <w:vAlign w:val="bottom"/>
          </w:tcPr>
          <w:p w14:paraId="530BF8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D475F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62E01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E0352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08FD7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43A8AF3" w14:textId="77777777" w:rsidTr="009501B5">
        <w:trPr>
          <w:trHeight w:hRule="exact" w:val="132"/>
        </w:trPr>
        <w:tc>
          <w:tcPr>
            <w:tcW w:w="2120" w:type="dxa"/>
            <w:tcBorders>
              <w:top w:val="nil"/>
              <w:left w:val="nil"/>
              <w:bottom w:val="nil"/>
              <w:right w:val="nil"/>
            </w:tcBorders>
            <w:vAlign w:val="bottom"/>
          </w:tcPr>
          <w:p w14:paraId="77FBCD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21243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1C1E6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6A445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70F62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3E28ED1" w14:textId="77777777" w:rsidTr="009501B5">
        <w:trPr>
          <w:trHeight w:val="220"/>
        </w:trPr>
        <w:tc>
          <w:tcPr>
            <w:tcW w:w="2120" w:type="dxa"/>
            <w:tcBorders>
              <w:top w:val="nil"/>
              <w:left w:val="nil"/>
              <w:bottom w:val="nil"/>
              <w:right w:val="nil"/>
            </w:tcBorders>
            <w:vAlign w:val="bottom"/>
          </w:tcPr>
          <w:p w14:paraId="44F14C7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8104AC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241269D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717284E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5161E6D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3DF33370" w14:textId="77777777" w:rsidTr="009501B5">
        <w:trPr>
          <w:trHeight w:hRule="exact" w:val="88"/>
        </w:trPr>
        <w:tc>
          <w:tcPr>
            <w:tcW w:w="2120" w:type="dxa"/>
            <w:tcBorders>
              <w:top w:val="nil"/>
              <w:left w:val="nil"/>
              <w:bottom w:val="double" w:sz="6" w:space="2" w:color="auto"/>
              <w:right w:val="nil"/>
            </w:tcBorders>
            <w:vAlign w:val="bottom"/>
          </w:tcPr>
          <w:p w14:paraId="158DBC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97D77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D5731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51C45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8A7F1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38030FB" w14:textId="77777777" w:rsidTr="009501B5">
        <w:trPr>
          <w:trHeight w:hRule="exact" w:val="132"/>
        </w:trPr>
        <w:tc>
          <w:tcPr>
            <w:tcW w:w="2120" w:type="dxa"/>
            <w:tcBorders>
              <w:top w:val="nil"/>
              <w:left w:val="nil"/>
              <w:bottom w:val="nil"/>
              <w:right w:val="nil"/>
            </w:tcBorders>
            <w:vAlign w:val="bottom"/>
          </w:tcPr>
          <w:p w14:paraId="360928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87112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4EE19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D62B1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E3CF4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687CD51" w14:textId="77777777" w:rsidTr="009501B5">
        <w:trPr>
          <w:trHeight w:val="220"/>
        </w:trPr>
        <w:tc>
          <w:tcPr>
            <w:tcW w:w="2120" w:type="dxa"/>
            <w:tcBorders>
              <w:top w:val="nil"/>
              <w:left w:val="nil"/>
              <w:bottom w:val="nil"/>
              <w:right w:val="nil"/>
            </w:tcBorders>
            <w:vAlign w:val="bottom"/>
          </w:tcPr>
          <w:p w14:paraId="37E3C4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3800FDF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-19.06790</w:t>
            </w:r>
          </w:p>
        </w:tc>
        <w:tc>
          <w:tcPr>
            <w:tcW w:w="1150" w:type="dxa"/>
            <w:tcBorders>
              <w:top w:val="nil"/>
              <w:left w:val="nil"/>
              <w:bottom w:val="nil"/>
              <w:right w:val="nil"/>
            </w:tcBorders>
            <w:vAlign w:val="bottom"/>
          </w:tcPr>
          <w:p w14:paraId="191B568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9.845214</w:t>
            </w:r>
          </w:p>
        </w:tc>
        <w:tc>
          <w:tcPr>
            <w:tcW w:w="1150" w:type="dxa"/>
            <w:tcBorders>
              <w:top w:val="nil"/>
              <w:left w:val="nil"/>
              <w:bottom w:val="nil"/>
              <w:right w:val="nil"/>
            </w:tcBorders>
            <w:vAlign w:val="bottom"/>
          </w:tcPr>
          <w:p w14:paraId="48D442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-1.936768</w:t>
            </w:r>
          </w:p>
        </w:tc>
        <w:tc>
          <w:tcPr>
            <w:tcW w:w="950" w:type="dxa"/>
            <w:tcBorders>
              <w:top w:val="nil"/>
              <w:left w:val="nil"/>
              <w:bottom w:val="nil"/>
              <w:right w:val="nil"/>
            </w:tcBorders>
            <w:vAlign w:val="bottom"/>
          </w:tcPr>
          <w:p w14:paraId="11F6DCF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0.0652</w:t>
            </w:r>
          </w:p>
        </w:tc>
      </w:tr>
      <w:tr w:rsidR="00EA38DE" w:rsidRPr="00EA38DE" w14:paraId="7DC6BF18" w14:textId="77777777" w:rsidTr="009501B5">
        <w:trPr>
          <w:trHeight w:val="220"/>
        </w:trPr>
        <w:tc>
          <w:tcPr>
            <w:tcW w:w="2120" w:type="dxa"/>
            <w:tcBorders>
              <w:top w:val="nil"/>
              <w:left w:val="nil"/>
              <w:bottom w:val="nil"/>
              <w:right w:val="nil"/>
            </w:tcBorders>
            <w:vAlign w:val="bottom"/>
          </w:tcPr>
          <w:p w14:paraId="62DC71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LPOR(-1)*</w:t>
            </w:r>
          </w:p>
        </w:tc>
        <w:tc>
          <w:tcPr>
            <w:tcW w:w="1050" w:type="dxa"/>
            <w:tcBorders>
              <w:top w:val="nil"/>
              <w:left w:val="nil"/>
              <w:bottom w:val="nil"/>
              <w:right w:val="nil"/>
            </w:tcBorders>
            <w:vAlign w:val="bottom"/>
          </w:tcPr>
          <w:p w14:paraId="3DF149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-0.409838</w:t>
            </w:r>
          </w:p>
        </w:tc>
        <w:tc>
          <w:tcPr>
            <w:tcW w:w="1150" w:type="dxa"/>
            <w:tcBorders>
              <w:top w:val="nil"/>
              <w:left w:val="nil"/>
              <w:bottom w:val="nil"/>
              <w:right w:val="nil"/>
            </w:tcBorders>
            <w:vAlign w:val="bottom"/>
          </w:tcPr>
          <w:p w14:paraId="6C8BE59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0.140245</w:t>
            </w:r>
          </w:p>
        </w:tc>
        <w:tc>
          <w:tcPr>
            <w:tcW w:w="1150" w:type="dxa"/>
            <w:tcBorders>
              <w:top w:val="nil"/>
              <w:left w:val="nil"/>
              <w:bottom w:val="nil"/>
              <w:right w:val="nil"/>
            </w:tcBorders>
            <w:vAlign w:val="bottom"/>
          </w:tcPr>
          <w:p w14:paraId="4DF3AD5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-2.922303</w:t>
            </w:r>
          </w:p>
        </w:tc>
        <w:tc>
          <w:tcPr>
            <w:tcW w:w="950" w:type="dxa"/>
            <w:tcBorders>
              <w:top w:val="nil"/>
              <w:left w:val="nil"/>
              <w:bottom w:val="nil"/>
              <w:right w:val="nil"/>
            </w:tcBorders>
            <w:vAlign w:val="bottom"/>
          </w:tcPr>
          <w:p w14:paraId="184DDA9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0.0077</w:t>
            </w:r>
          </w:p>
        </w:tc>
      </w:tr>
      <w:tr w:rsidR="00EA38DE" w:rsidRPr="00EA38DE" w14:paraId="35B63337" w14:textId="77777777" w:rsidTr="009501B5">
        <w:trPr>
          <w:trHeight w:val="220"/>
        </w:trPr>
        <w:tc>
          <w:tcPr>
            <w:tcW w:w="2120" w:type="dxa"/>
            <w:tcBorders>
              <w:top w:val="nil"/>
              <w:left w:val="nil"/>
              <w:bottom w:val="nil"/>
              <w:right w:val="nil"/>
            </w:tcBorders>
            <w:vAlign w:val="bottom"/>
          </w:tcPr>
          <w:p w14:paraId="4C9DF4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EXRTF**</w:t>
            </w:r>
          </w:p>
        </w:tc>
        <w:tc>
          <w:tcPr>
            <w:tcW w:w="1050" w:type="dxa"/>
            <w:tcBorders>
              <w:top w:val="nil"/>
              <w:left w:val="nil"/>
              <w:bottom w:val="nil"/>
              <w:right w:val="nil"/>
            </w:tcBorders>
            <w:vAlign w:val="bottom"/>
          </w:tcPr>
          <w:p w14:paraId="62B6EB6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-0.000404</w:t>
            </w:r>
          </w:p>
        </w:tc>
        <w:tc>
          <w:tcPr>
            <w:tcW w:w="1150" w:type="dxa"/>
            <w:tcBorders>
              <w:top w:val="nil"/>
              <w:left w:val="nil"/>
              <w:bottom w:val="nil"/>
              <w:right w:val="nil"/>
            </w:tcBorders>
            <w:vAlign w:val="bottom"/>
          </w:tcPr>
          <w:p w14:paraId="1E7217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0.000606</w:t>
            </w:r>
          </w:p>
        </w:tc>
        <w:tc>
          <w:tcPr>
            <w:tcW w:w="1150" w:type="dxa"/>
            <w:tcBorders>
              <w:top w:val="nil"/>
              <w:left w:val="nil"/>
              <w:bottom w:val="nil"/>
              <w:right w:val="nil"/>
            </w:tcBorders>
            <w:vAlign w:val="bottom"/>
          </w:tcPr>
          <w:p w14:paraId="1A0E9C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-0.666204</w:t>
            </w:r>
          </w:p>
        </w:tc>
        <w:tc>
          <w:tcPr>
            <w:tcW w:w="950" w:type="dxa"/>
            <w:tcBorders>
              <w:top w:val="nil"/>
              <w:left w:val="nil"/>
              <w:bottom w:val="nil"/>
              <w:right w:val="nil"/>
            </w:tcBorders>
            <w:vAlign w:val="bottom"/>
          </w:tcPr>
          <w:p w14:paraId="3DA31DA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0.5119</w:t>
            </w:r>
          </w:p>
        </w:tc>
      </w:tr>
      <w:tr w:rsidR="00EA38DE" w:rsidRPr="00EA38DE" w14:paraId="7F0295BC" w14:textId="77777777" w:rsidTr="009501B5">
        <w:trPr>
          <w:trHeight w:val="220"/>
        </w:trPr>
        <w:tc>
          <w:tcPr>
            <w:tcW w:w="2120" w:type="dxa"/>
            <w:tcBorders>
              <w:top w:val="nil"/>
              <w:left w:val="nil"/>
              <w:bottom w:val="nil"/>
              <w:right w:val="nil"/>
            </w:tcBorders>
            <w:vAlign w:val="bottom"/>
          </w:tcPr>
          <w:p w14:paraId="29D795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IFR(-1)</w:t>
            </w:r>
          </w:p>
        </w:tc>
        <w:tc>
          <w:tcPr>
            <w:tcW w:w="1050" w:type="dxa"/>
            <w:tcBorders>
              <w:top w:val="nil"/>
              <w:left w:val="nil"/>
              <w:bottom w:val="nil"/>
              <w:right w:val="nil"/>
            </w:tcBorders>
            <w:vAlign w:val="bottom"/>
          </w:tcPr>
          <w:p w14:paraId="4E98DF9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0.006154</w:t>
            </w:r>
          </w:p>
        </w:tc>
        <w:tc>
          <w:tcPr>
            <w:tcW w:w="1150" w:type="dxa"/>
            <w:tcBorders>
              <w:top w:val="nil"/>
              <w:left w:val="nil"/>
              <w:bottom w:val="nil"/>
              <w:right w:val="nil"/>
            </w:tcBorders>
            <w:vAlign w:val="bottom"/>
          </w:tcPr>
          <w:p w14:paraId="59C73CF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0.007706</w:t>
            </w:r>
          </w:p>
        </w:tc>
        <w:tc>
          <w:tcPr>
            <w:tcW w:w="1150" w:type="dxa"/>
            <w:tcBorders>
              <w:top w:val="nil"/>
              <w:left w:val="nil"/>
              <w:bottom w:val="nil"/>
              <w:right w:val="nil"/>
            </w:tcBorders>
            <w:vAlign w:val="bottom"/>
          </w:tcPr>
          <w:p w14:paraId="4B7B7D2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0.798681</w:t>
            </w:r>
          </w:p>
        </w:tc>
        <w:tc>
          <w:tcPr>
            <w:tcW w:w="950" w:type="dxa"/>
            <w:tcBorders>
              <w:top w:val="nil"/>
              <w:left w:val="nil"/>
              <w:bottom w:val="nil"/>
              <w:right w:val="nil"/>
            </w:tcBorders>
            <w:vAlign w:val="bottom"/>
          </w:tcPr>
          <w:p w14:paraId="5B7DAA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0.4326</w:t>
            </w:r>
          </w:p>
        </w:tc>
      </w:tr>
      <w:tr w:rsidR="00EA38DE" w:rsidRPr="00EA38DE" w14:paraId="47CB8E50" w14:textId="77777777" w:rsidTr="009501B5">
        <w:trPr>
          <w:trHeight w:val="220"/>
        </w:trPr>
        <w:tc>
          <w:tcPr>
            <w:tcW w:w="2120" w:type="dxa"/>
            <w:tcBorders>
              <w:top w:val="nil"/>
              <w:left w:val="nil"/>
              <w:bottom w:val="nil"/>
              <w:right w:val="nil"/>
            </w:tcBorders>
            <w:vAlign w:val="bottom"/>
          </w:tcPr>
          <w:p w14:paraId="213758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633A46E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2.033047</w:t>
            </w:r>
          </w:p>
        </w:tc>
        <w:tc>
          <w:tcPr>
            <w:tcW w:w="1150" w:type="dxa"/>
            <w:tcBorders>
              <w:top w:val="nil"/>
              <w:left w:val="nil"/>
              <w:bottom w:val="nil"/>
              <w:right w:val="nil"/>
            </w:tcBorders>
            <w:vAlign w:val="bottom"/>
          </w:tcPr>
          <w:p w14:paraId="4DC038F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1.040826</w:t>
            </w:r>
          </w:p>
        </w:tc>
        <w:tc>
          <w:tcPr>
            <w:tcW w:w="1150" w:type="dxa"/>
            <w:tcBorders>
              <w:top w:val="nil"/>
              <w:left w:val="nil"/>
              <w:bottom w:val="nil"/>
              <w:right w:val="nil"/>
            </w:tcBorders>
            <w:vAlign w:val="bottom"/>
          </w:tcPr>
          <w:p w14:paraId="6255EB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1.953302</w:t>
            </w:r>
          </w:p>
        </w:tc>
        <w:tc>
          <w:tcPr>
            <w:tcW w:w="950" w:type="dxa"/>
            <w:tcBorders>
              <w:top w:val="nil"/>
              <w:left w:val="nil"/>
              <w:bottom w:val="nil"/>
              <w:right w:val="nil"/>
            </w:tcBorders>
            <w:vAlign w:val="bottom"/>
          </w:tcPr>
          <w:p w14:paraId="153FB33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0.0631</w:t>
            </w:r>
          </w:p>
        </w:tc>
      </w:tr>
      <w:tr w:rsidR="00EA38DE" w:rsidRPr="00EA38DE" w14:paraId="7B6A90BB" w14:textId="77777777" w:rsidTr="009501B5">
        <w:trPr>
          <w:trHeight w:val="220"/>
        </w:trPr>
        <w:tc>
          <w:tcPr>
            <w:tcW w:w="2120" w:type="dxa"/>
            <w:tcBorders>
              <w:top w:val="nil"/>
              <w:left w:val="nil"/>
              <w:bottom w:val="nil"/>
              <w:right w:val="nil"/>
            </w:tcBorders>
            <w:vAlign w:val="bottom"/>
          </w:tcPr>
          <w:p w14:paraId="671F6F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TRF(-1)</w:t>
            </w:r>
          </w:p>
        </w:tc>
        <w:tc>
          <w:tcPr>
            <w:tcW w:w="1050" w:type="dxa"/>
            <w:tcBorders>
              <w:top w:val="nil"/>
              <w:left w:val="nil"/>
              <w:bottom w:val="nil"/>
              <w:right w:val="nil"/>
            </w:tcBorders>
            <w:vAlign w:val="bottom"/>
          </w:tcPr>
          <w:p w14:paraId="3C06471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-0.024953</w:t>
            </w:r>
          </w:p>
        </w:tc>
        <w:tc>
          <w:tcPr>
            <w:tcW w:w="1150" w:type="dxa"/>
            <w:tcBorders>
              <w:top w:val="nil"/>
              <w:left w:val="nil"/>
              <w:bottom w:val="nil"/>
              <w:right w:val="nil"/>
            </w:tcBorders>
            <w:vAlign w:val="bottom"/>
          </w:tcPr>
          <w:p w14:paraId="57E113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0.090504</w:t>
            </w:r>
          </w:p>
        </w:tc>
        <w:tc>
          <w:tcPr>
            <w:tcW w:w="1150" w:type="dxa"/>
            <w:tcBorders>
              <w:top w:val="nil"/>
              <w:left w:val="nil"/>
              <w:bottom w:val="nil"/>
              <w:right w:val="nil"/>
            </w:tcBorders>
            <w:vAlign w:val="bottom"/>
          </w:tcPr>
          <w:p w14:paraId="70B2CB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-0.275712</w:t>
            </w:r>
          </w:p>
        </w:tc>
        <w:tc>
          <w:tcPr>
            <w:tcW w:w="950" w:type="dxa"/>
            <w:tcBorders>
              <w:top w:val="nil"/>
              <w:left w:val="nil"/>
              <w:bottom w:val="nil"/>
              <w:right w:val="nil"/>
            </w:tcBorders>
            <w:vAlign w:val="bottom"/>
          </w:tcPr>
          <w:p w14:paraId="162A9A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0.7852</w:t>
            </w:r>
          </w:p>
        </w:tc>
      </w:tr>
      <w:tr w:rsidR="00EA38DE" w:rsidRPr="00EA38DE" w14:paraId="3DA332C3" w14:textId="77777777" w:rsidTr="009501B5">
        <w:trPr>
          <w:trHeight w:val="220"/>
        </w:trPr>
        <w:tc>
          <w:tcPr>
            <w:tcW w:w="2120" w:type="dxa"/>
            <w:tcBorders>
              <w:top w:val="nil"/>
              <w:left w:val="nil"/>
              <w:bottom w:val="nil"/>
              <w:right w:val="nil"/>
            </w:tcBorders>
            <w:vAlign w:val="bottom"/>
          </w:tcPr>
          <w:p w14:paraId="423F5F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1450DD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-0.003186</w:t>
            </w:r>
          </w:p>
        </w:tc>
        <w:tc>
          <w:tcPr>
            <w:tcW w:w="1150" w:type="dxa"/>
            <w:tcBorders>
              <w:top w:val="nil"/>
              <w:left w:val="nil"/>
              <w:bottom w:val="nil"/>
              <w:right w:val="nil"/>
            </w:tcBorders>
            <w:vAlign w:val="bottom"/>
          </w:tcPr>
          <w:p w14:paraId="7D51F4C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0.008738</w:t>
            </w:r>
          </w:p>
        </w:tc>
        <w:tc>
          <w:tcPr>
            <w:tcW w:w="1150" w:type="dxa"/>
            <w:tcBorders>
              <w:top w:val="nil"/>
              <w:left w:val="nil"/>
              <w:bottom w:val="nil"/>
              <w:right w:val="nil"/>
            </w:tcBorders>
            <w:vAlign w:val="bottom"/>
          </w:tcPr>
          <w:p w14:paraId="4C2820A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-0.364595</w:t>
            </w:r>
          </w:p>
        </w:tc>
        <w:tc>
          <w:tcPr>
            <w:tcW w:w="950" w:type="dxa"/>
            <w:tcBorders>
              <w:top w:val="nil"/>
              <w:left w:val="nil"/>
              <w:bottom w:val="nil"/>
              <w:right w:val="nil"/>
            </w:tcBorders>
            <w:vAlign w:val="bottom"/>
          </w:tcPr>
          <w:p w14:paraId="3A788C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0.7187</w:t>
            </w:r>
          </w:p>
        </w:tc>
      </w:tr>
      <w:tr w:rsidR="00EA38DE" w:rsidRPr="00EA38DE" w14:paraId="45D26AE8" w14:textId="77777777" w:rsidTr="009501B5">
        <w:trPr>
          <w:trHeight w:val="220"/>
        </w:trPr>
        <w:tc>
          <w:tcPr>
            <w:tcW w:w="2120" w:type="dxa"/>
            <w:tcBorders>
              <w:top w:val="nil"/>
              <w:left w:val="nil"/>
              <w:bottom w:val="nil"/>
              <w:right w:val="nil"/>
            </w:tcBorders>
            <w:vAlign w:val="bottom"/>
          </w:tcPr>
          <w:p w14:paraId="38DF25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63B258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0.029894</w:t>
            </w:r>
          </w:p>
        </w:tc>
        <w:tc>
          <w:tcPr>
            <w:tcW w:w="1150" w:type="dxa"/>
            <w:tcBorders>
              <w:top w:val="nil"/>
              <w:left w:val="nil"/>
              <w:bottom w:val="nil"/>
              <w:right w:val="nil"/>
            </w:tcBorders>
            <w:vAlign w:val="bottom"/>
          </w:tcPr>
          <w:p w14:paraId="4C02412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0.139995</w:t>
            </w:r>
          </w:p>
        </w:tc>
        <w:tc>
          <w:tcPr>
            <w:tcW w:w="1150" w:type="dxa"/>
            <w:tcBorders>
              <w:top w:val="nil"/>
              <w:left w:val="nil"/>
              <w:bottom w:val="nil"/>
              <w:right w:val="nil"/>
            </w:tcBorders>
            <w:vAlign w:val="bottom"/>
          </w:tcPr>
          <w:p w14:paraId="0D8ADC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0.213533</w:t>
            </w:r>
          </w:p>
        </w:tc>
        <w:tc>
          <w:tcPr>
            <w:tcW w:w="950" w:type="dxa"/>
            <w:tcBorders>
              <w:top w:val="nil"/>
              <w:left w:val="nil"/>
              <w:bottom w:val="nil"/>
              <w:right w:val="nil"/>
            </w:tcBorders>
            <w:vAlign w:val="bottom"/>
          </w:tcPr>
          <w:p w14:paraId="233BBD1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0.8328</w:t>
            </w:r>
          </w:p>
        </w:tc>
      </w:tr>
      <w:tr w:rsidR="00EA38DE" w:rsidRPr="00EA38DE" w14:paraId="1FDDCCC8" w14:textId="77777777" w:rsidTr="009501B5">
        <w:trPr>
          <w:trHeight w:val="220"/>
        </w:trPr>
        <w:tc>
          <w:tcPr>
            <w:tcW w:w="2120" w:type="dxa"/>
            <w:tcBorders>
              <w:top w:val="nil"/>
              <w:left w:val="nil"/>
              <w:bottom w:val="nil"/>
              <w:right w:val="nil"/>
            </w:tcBorders>
            <w:vAlign w:val="bottom"/>
          </w:tcPr>
          <w:p w14:paraId="345C25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D(TRF(-1))</w:t>
            </w:r>
          </w:p>
        </w:tc>
        <w:tc>
          <w:tcPr>
            <w:tcW w:w="1050" w:type="dxa"/>
            <w:tcBorders>
              <w:top w:val="nil"/>
              <w:left w:val="nil"/>
              <w:bottom w:val="nil"/>
              <w:right w:val="nil"/>
            </w:tcBorders>
            <w:vAlign w:val="bottom"/>
          </w:tcPr>
          <w:p w14:paraId="4E1DCD5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0.228544</w:t>
            </w:r>
          </w:p>
        </w:tc>
        <w:tc>
          <w:tcPr>
            <w:tcW w:w="1150" w:type="dxa"/>
            <w:tcBorders>
              <w:top w:val="nil"/>
              <w:left w:val="nil"/>
              <w:bottom w:val="nil"/>
              <w:right w:val="nil"/>
            </w:tcBorders>
            <w:vAlign w:val="bottom"/>
          </w:tcPr>
          <w:p w14:paraId="685C44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0.139974</w:t>
            </w:r>
          </w:p>
        </w:tc>
        <w:tc>
          <w:tcPr>
            <w:tcW w:w="1150" w:type="dxa"/>
            <w:tcBorders>
              <w:top w:val="nil"/>
              <w:left w:val="nil"/>
              <w:bottom w:val="nil"/>
              <w:right w:val="nil"/>
            </w:tcBorders>
            <w:vAlign w:val="bottom"/>
          </w:tcPr>
          <w:p w14:paraId="36AE433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1.632764</w:t>
            </w:r>
          </w:p>
        </w:tc>
        <w:tc>
          <w:tcPr>
            <w:tcW w:w="950" w:type="dxa"/>
            <w:tcBorders>
              <w:top w:val="nil"/>
              <w:left w:val="nil"/>
              <w:bottom w:val="nil"/>
              <w:right w:val="nil"/>
            </w:tcBorders>
            <w:vAlign w:val="bottom"/>
          </w:tcPr>
          <w:p w14:paraId="5655425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0.1161</w:t>
            </w:r>
          </w:p>
        </w:tc>
      </w:tr>
      <w:tr w:rsidR="00EA38DE" w:rsidRPr="00EA38DE" w14:paraId="2CC5D64F" w14:textId="77777777" w:rsidTr="009501B5">
        <w:trPr>
          <w:trHeight w:hRule="exact" w:val="88"/>
        </w:trPr>
        <w:tc>
          <w:tcPr>
            <w:tcW w:w="2120" w:type="dxa"/>
            <w:tcBorders>
              <w:top w:val="nil"/>
              <w:left w:val="nil"/>
              <w:bottom w:val="double" w:sz="6" w:space="2" w:color="auto"/>
              <w:right w:val="nil"/>
            </w:tcBorders>
            <w:vAlign w:val="bottom"/>
          </w:tcPr>
          <w:p w14:paraId="1B05E6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C705D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DB68C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F4A86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9299F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BB3299A" w14:textId="77777777" w:rsidTr="009501B5">
        <w:trPr>
          <w:trHeight w:hRule="exact" w:val="132"/>
        </w:trPr>
        <w:tc>
          <w:tcPr>
            <w:tcW w:w="2120" w:type="dxa"/>
            <w:tcBorders>
              <w:top w:val="nil"/>
              <w:left w:val="nil"/>
              <w:bottom w:val="nil"/>
              <w:right w:val="nil"/>
            </w:tcBorders>
            <w:vAlign w:val="bottom"/>
          </w:tcPr>
          <w:p w14:paraId="3CBB72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E27AE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36A8F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A091F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B0361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75C25F1" w14:textId="77777777" w:rsidTr="009501B5">
        <w:trPr>
          <w:trHeight w:val="220"/>
        </w:trPr>
        <w:tc>
          <w:tcPr>
            <w:tcW w:w="6420" w:type="dxa"/>
            <w:gridSpan w:val="5"/>
            <w:tcBorders>
              <w:top w:val="nil"/>
              <w:left w:val="nil"/>
              <w:bottom w:val="nil"/>
              <w:right w:val="nil"/>
            </w:tcBorders>
            <w:vAlign w:val="bottom"/>
          </w:tcPr>
          <w:p w14:paraId="434FCC4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0C251FE4" w14:textId="77777777" w:rsidTr="009501B5">
        <w:trPr>
          <w:trHeight w:val="220"/>
        </w:trPr>
        <w:tc>
          <w:tcPr>
            <w:tcW w:w="6420" w:type="dxa"/>
            <w:gridSpan w:val="5"/>
            <w:tcBorders>
              <w:top w:val="nil"/>
              <w:left w:val="nil"/>
              <w:bottom w:val="nil"/>
              <w:right w:val="nil"/>
            </w:tcBorders>
            <w:vAlign w:val="bottom"/>
          </w:tcPr>
          <w:p w14:paraId="5528753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Variable interpreted as Z = Z(-1) + D(Z).</w:t>
            </w:r>
          </w:p>
        </w:tc>
      </w:tr>
      <w:tr w:rsidR="00EA38DE" w:rsidRPr="00EA38DE" w14:paraId="047FCF1E" w14:textId="77777777" w:rsidTr="009501B5">
        <w:trPr>
          <w:trHeight w:val="220"/>
        </w:trPr>
        <w:tc>
          <w:tcPr>
            <w:tcW w:w="2120" w:type="dxa"/>
            <w:tcBorders>
              <w:top w:val="nil"/>
              <w:left w:val="nil"/>
              <w:bottom w:val="nil"/>
              <w:right w:val="nil"/>
            </w:tcBorders>
            <w:vAlign w:val="bottom"/>
          </w:tcPr>
          <w:p w14:paraId="074512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FEAF8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441A0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4B4BAB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46C94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7E8DB17" w14:textId="77777777" w:rsidTr="009501B5">
        <w:trPr>
          <w:trHeight w:hRule="exact" w:val="88"/>
        </w:trPr>
        <w:tc>
          <w:tcPr>
            <w:tcW w:w="2120" w:type="dxa"/>
            <w:tcBorders>
              <w:top w:val="nil"/>
              <w:left w:val="nil"/>
              <w:bottom w:val="double" w:sz="6" w:space="2" w:color="auto"/>
              <w:right w:val="nil"/>
            </w:tcBorders>
            <w:vAlign w:val="bottom"/>
          </w:tcPr>
          <w:p w14:paraId="363955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08601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FF3AC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23B8A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143FA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9B28A2D" w14:textId="77777777" w:rsidTr="009501B5">
        <w:trPr>
          <w:trHeight w:hRule="exact" w:val="132"/>
        </w:trPr>
        <w:tc>
          <w:tcPr>
            <w:tcW w:w="2120" w:type="dxa"/>
            <w:tcBorders>
              <w:top w:val="nil"/>
              <w:left w:val="nil"/>
              <w:bottom w:val="nil"/>
              <w:right w:val="nil"/>
            </w:tcBorders>
            <w:vAlign w:val="bottom"/>
          </w:tcPr>
          <w:p w14:paraId="6B29E4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126AF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41B9D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885B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43D96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CD2951B" w14:textId="77777777" w:rsidTr="009501B5">
        <w:trPr>
          <w:trHeight w:val="220"/>
        </w:trPr>
        <w:tc>
          <w:tcPr>
            <w:tcW w:w="6420" w:type="dxa"/>
            <w:gridSpan w:val="5"/>
            <w:tcBorders>
              <w:top w:val="nil"/>
              <w:left w:val="nil"/>
              <w:bottom w:val="nil"/>
              <w:right w:val="nil"/>
            </w:tcBorders>
            <w:vAlign w:val="bottom"/>
          </w:tcPr>
          <w:p w14:paraId="116BBA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0C4D5E9E" w14:textId="77777777" w:rsidTr="009501B5">
        <w:trPr>
          <w:trHeight w:val="220"/>
        </w:trPr>
        <w:tc>
          <w:tcPr>
            <w:tcW w:w="6420" w:type="dxa"/>
            <w:gridSpan w:val="5"/>
            <w:tcBorders>
              <w:top w:val="nil"/>
              <w:left w:val="nil"/>
              <w:bottom w:val="nil"/>
              <w:right w:val="nil"/>
            </w:tcBorders>
            <w:vAlign w:val="bottom"/>
          </w:tcPr>
          <w:p w14:paraId="65AF2C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75697E44" w14:textId="77777777" w:rsidTr="009501B5">
        <w:trPr>
          <w:trHeight w:hRule="exact" w:val="88"/>
        </w:trPr>
        <w:tc>
          <w:tcPr>
            <w:tcW w:w="2120" w:type="dxa"/>
            <w:tcBorders>
              <w:top w:val="nil"/>
              <w:left w:val="nil"/>
              <w:bottom w:val="double" w:sz="6" w:space="2" w:color="auto"/>
              <w:right w:val="nil"/>
            </w:tcBorders>
            <w:vAlign w:val="bottom"/>
          </w:tcPr>
          <w:p w14:paraId="0F337F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5B8FD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4DB87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4DC1A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AF99F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CE04D49" w14:textId="77777777" w:rsidTr="009501B5">
        <w:trPr>
          <w:trHeight w:hRule="exact" w:val="132"/>
        </w:trPr>
        <w:tc>
          <w:tcPr>
            <w:tcW w:w="2120" w:type="dxa"/>
            <w:tcBorders>
              <w:top w:val="nil"/>
              <w:left w:val="nil"/>
              <w:bottom w:val="nil"/>
              <w:right w:val="nil"/>
            </w:tcBorders>
            <w:vAlign w:val="bottom"/>
          </w:tcPr>
          <w:p w14:paraId="6B1DE57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4F832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0AC10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3FB02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FA01F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050730F" w14:textId="77777777" w:rsidTr="009501B5">
        <w:trPr>
          <w:trHeight w:val="220"/>
        </w:trPr>
        <w:tc>
          <w:tcPr>
            <w:tcW w:w="2120" w:type="dxa"/>
            <w:tcBorders>
              <w:top w:val="nil"/>
              <w:left w:val="nil"/>
              <w:bottom w:val="nil"/>
              <w:right w:val="nil"/>
            </w:tcBorders>
            <w:vAlign w:val="bottom"/>
          </w:tcPr>
          <w:p w14:paraId="2401D8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5CF8E2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368CD9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548904D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278B914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27F6D7A6" w14:textId="77777777" w:rsidTr="009501B5">
        <w:trPr>
          <w:trHeight w:hRule="exact" w:val="88"/>
        </w:trPr>
        <w:tc>
          <w:tcPr>
            <w:tcW w:w="2120" w:type="dxa"/>
            <w:tcBorders>
              <w:top w:val="nil"/>
              <w:left w:val="nil"/>
              <w:bottom w:val="double" w:sz="6" w:space="2" w:color="auto"/>
              <w:right w:val="nil"/>
            </w:tcBorders>
            <w:vAlign w:val="bottom"/>
          </w:tcPr>
          <w:p w14:paraId="195AD7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D0537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C400F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0B224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D3F14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719D233" w14:textId="77777777" w:rsidTr="009501B5">
        <w:trPr>
          <w:trHeight w:hRule="exact" w:val="132"/>
        </w:trPr>
        <w:tc>
          <w:tcPr>
            <w:tcW w:w="2120" w:type="dxa"/>
            <w:tcBorders>
              <w:top w:val="nil"/>
              <w:left w:val="nil"/>
              <w:bottom w:val="nil"/>
              <w:right w:val="nil"/>
            </w:tcBorders>
            <w:vAlign w:val="bottom"/>
          </w:tcPr>
          <w:p w14:paraId="43BBBD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454E7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841DA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1780C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581FE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9E46B2C" w14:textId="77777777" w:rsidTr="009501B5">
        <w:trPr>
          <w:trHeight w:val="220"/>
        </w:trPr>
        <w:tc>
          <w:tcPr>
            <w:tcW w:w="2120" w:type="dxa"/>
            <w:tcBorders>
              <w:top w:val="nil"/>
              <w:left w:val="nil"/>
              <w:bottom w:val="nil"/>
              <w:right w:val="nil"/>
            </w:tcBorders>
            <w:vAlign w:val="bottom"/>
          </w:tcPr>
          <w:p w14:paraId="44A1B7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EXRTF</w:t>
            </w:r>
          </w:p>
        </w:tc>
        <w:tc>
          <w:tcPr>
            <w:tcW w:w="1050" w:type="dxa"/>
            <w:tcBorders>
              <w:top w:val="nil"/>
              <w:left w:val="nil"/>
              <w:bottom w:val="nil"/>
              <w:right w:val="nil"/>
            </w:tcBorders>
            <w:vAlign w:val="bottom"/>
          </w:tcPr>
          <w:p w14:paraId="0B06ED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-0.098534</w:t>
            </w:r>
          </w:p>
        </w:tc>
        <w:tc>
          <w:tcPr>
            <w:tcW w:w="1150" w:type="dxa"/>
            <w:tcBorders>
              <w:top w:val="nil"/>
              <w:left w:val="nil"/>
              <w:bottom w:val="nil"/>
              <w:right w:val="nil"/>
            </w:tcBorders>
            <w:vAlign w:val="bottom"/>
          </w:tcPr>
          <w:p w14:paraId="23C0C96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0.001448</w:t>
            </w:r>
          </w:p>
        </w:tc>
        <w:tc>
          <w:tcPr>
            <w:tcW w:w="1150" w:type="dxa"/>
            <w:tcBorders>
              <w:top w:val="nil"/>
              <w:left w:val="nil"/>
              <w:bottom w:val="nil"/>
              <w:right w:val="nil"/>
            </w:tcBorders>
            <w:vAlign w:val="bottom"/>
          </w:tcPr>
          <w:p w14:paraId="35FAC7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-0.680498</w:t>
            </w:r>
          </w:p>
        </w:tc>
        <w:tc>
          <w:tcPr>
            <w:tcW w:w="950" w:type="dxa"/>
            <w:tcBorders>
              <w:top w:val="nil"/>
              <w:left w:val="nil"/>
              <w:bottom w:val="nil"/>
              <w:right w:val="nil"/>
            </w:tcBorders>
            <w:vAlign w:val="bottom"/>
          </w:tcPr>
          <w:p w14:paraId="70C894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0.5030</w:t>
            </w:r>
          </w:p>
        </w:tc>
      </w:tr>
      <w:tr w:rsidR="00EA38DE" w:rsidRPr="00EA38DE" w14:paraId="19F7993D" w14:textId="77777777" w:rsidTr="009501B5">
        <w:trPr>
          <w:trHeight w:val="220"/>
        </w:trPr>
        <w:tc>
          <w:tcPr>
            <w:tcW w:w="2120" w:type="dxa"/>
            <w:tcBorders>
              <w:top w:val="nil"/>
              <w:left w:val="nil"/>
              <w:bottom w:val="nil"/>
              <w:right w:val="nil"/>
            </w:tcBorders>
            <w:vAlign w:val="bottom"/>
          </w:tcPr>
          <w:p w14:paraId="2AF056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6133F6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0.015016</w:t>
            </w:r>
          </w:p>
        </w:tc>
        <w:tc>
          <w:tcPr>
            <w:tcW w:w="1150" w:type="dxa"/>
            <w:tcBorders>
              <w:top w:val="nil"/>
              <w:left w:val="nil"/>
              <w:bottom w:val="nil"/>
              <w:right w:val="nil"/>
            </w:tcBorders>
            <w:vAlign w:val="bottom"/>
          </w:tcPr>
          <w:p w14:paraId="2184393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0.020699</w:t>
            </w:r>
          </w:p>
        </w:tc>
        <w:tc>
          <w:tcPr>
            <w:tcW w:w="1150" w:type="dxa"/>
            <w:tcBorders>
              <w:top w:val="nil"/>
              <w:left w:val="nil"/>
              <w:bottom w:val="nil"/>
              <w:right w:val="nil"/>
            </w:tcBorders>
            <w:vAlign w:val="bottom"/>
          </w:tcPr>
          <w:p w14:paraId="6894772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0.725487</w:t>
            </w:r>
          </w:p>
        </w:tc>
        <w:tc>
          <w:tcPr>
            <w:tcW w:w="950" w:type="dxa"/>
            <w:tcBorders>
              <w:top w:val="nil"/>
              <w:left w:val="nil"/>
              <w:bottom w:val="nil"/>
              <w:right w:val="nil"/>
            </w:tcBorders>
            <w:vAlign w:val="bottom"/>
          </w:tcPr>
          <w:p w14:paraId="22AB200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0.4755</w:t>
            </w:r>
          </w:p>
        </w:tc>
      </w:tr>
      <w:tr w:rsidR="00EA38DE" w:rsidRPr="00EA38DE" w14:paraId="5BA61EF5" w14:textId="77777777" w:rsidTr="009501B5">
        <w:trPr>
          <w:trHeight w:val="220"/>
        </w:trPr>
        <w:tc>
          <w:tcPr>
            <w:tcW w:w="2120" w:type="dxa"/>
            <w:tcBorders>
              <w:top w:val="nil"/>
              <w:left w:val="nil"/>
              <w:bottom w:val="nil"/>
              <w:right w:val="nil"/>
            </w:tcBorders>
            <w:vAlign w:val="bottom"/>
          </w:tcPr>
          <w:p w14:paraId="4ABE68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05BF41E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4.960609</w:t>
            </w:r>
          </w:p>
        </w:tc>
        <w:tc>
          <w:tcPr>
            <w:tcW w:w="1150" w:type="dxa"/>
            <w:tcBorders>
              <w:top w:val="nil"/>
              <w:left w:val="nil"/>
              <w:bottom w:val="nil"/>
              <w:right w:val="nil"/>
            </w:tcBorders>
            <w:vAlign w:val="bottom"/>
          </w:tcPr>
          <w:p w14:paraId="154ED9C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1.506126</w:t>
            </w:r>
          </w:p>
        </w:tc>
        <w:tc>
          <w:tcPr>
            <w:tcW w:w="1150" w:type="dxa"/>
            <w:tcBorders>
              <w:top w:val="nil"/>
              <w:left w:val="nil"/>
              <w:bottom w:val="nil"/>
              <w:right w:val="nil"/>
            </w:tcBorders>
            <w:vAlign w:val="bottom"/>
          </w:tcPr>
          <w:p w14:paraId="0D04C7D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3.293621</w:t>
            </w:r>
          </w:p>
        </w:tc>
        <w:tc>
          <w:tcPr>
            <w:tcW w:w="950" w:type="dxa"/>
            <w:tcBorders>
              <w:top w:val="nil"/>
              <w:left w:val="nil"/>
              <w:bottom w:val="nil"/>
              <w:right w:val="nil"/>
            </w:tcBorders>
            <w:vAlign w:val="bottom"/>
          </w:tcPr>
          <w:p w14:paraId="0B7326D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0.0032</w:t>
            </w:r>
          </w:p>
        </w:tc>
      </w:tr>
      <w:tr w:rsidR="00EA38DE" w:rsidRPr="00EA38DE" w14:paraId="6CDFC8C6" w14:textId="77777777" w:rsidTr="009501B5">
        <w:trPr>
          <w:trHeight w:val="220"/>
        </w:trPr>
        <w:tc>
          <w:tcPr>
            <w:tcW w:w="2120" w:type="dxa"/>
            <w:tcBorders>
              <w:top w:val="nil"/>
              <w:left w:val="nil"/>
              <w:bottom w:val="nil"/>
              <w:right w:val="nil"/>
            </w:tcBorders>
            <w:vAlign w:val="bottom"/>
          </w:tcPr>
          <w:p w14:paraId="0EFE8B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5646E9E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-0.060885</w:t>
            </w:r>
          </w:p>
        </w:tc>
        <w:tc>
          <w:tcPr>
            <w:tcW w:w="1150" w:type="dxa"/>
            <w:tcBorders>
              <w:top w:val="nil"/>
              <w:left w:val="nil"/>
              <w:bottom w:val="nil"/>
              <w:right w:val="nil"/>
            </w:tcBorders>
            <w:vAlign w:val="bottom"/>
          </w:tcPr>
          <w:p w14:paraId="798925D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0.225780</w:t>
            </w:r>
          </w:p>
        </w:tc>
        <w:tc>
          <w:tcPr>
            <w:tcW w:w="1150" w:type="dxa"/>
            <w:tcBorders>
              <w:top w:val="nil"/>
              <w:left w:val="nil"/>
              <w:bottom w:val="nil"/>
              <w:right w:val="nil"/>
            </w:tcBorders>
            <w:vAlign w:val="bottom"/>
          </w:tcPr>
          <w:p w14:paraId="1D7E06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-0.269664</w:t>
            </w:r>
          </w:p>
        </w:tc>
        <w:tc>
          <w:tcPr>
            <w:tcW w:w="950" w:type="dxa"/>
            <w:tcBorders>
              <w:top w:val="nil"/>
              <w:left w:val="nil"/>
              <w:bottom w:val="nil"/>
              <w:right w:val="nil"/>
            </w:tcBorders>
            <w:vAlign w:val="bottom"/>
          </w:tcPr>
          <w:p w14:paraId="06CFCC5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0.7898</w:t>
            </w:r>
          </w:p>
        </w:tc>
      </w:tr>
      <w:tr w:rsidR="00EA38DE" w:rsidRPr="00EA38DE" w14:paraId="70CE50C5" w14:textId="77777777" w:rsidTr="009501B5">
        <w:trPr>
          <w:trHeight w:val="220"/>
        </w:trPr>
        <w:tc>
          <w:tcPr>
            <w:tcW w:w="2120" w:type="dxa"/>
            <w:tcBorders>
              <w:top w:val="nil"/>
              <w:left w:val="nil"/>
              <w:bottom w:val="nil"/>
              <w:right w:val="nil"/>
            </w:tcBorders>
            <w:vAlign w:val="bottom"/>
          </w:tcPr>
          <w:p w14:paraId="60264E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38A1B7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-46.52542</w:t>
            </w:r>
          </w:p>
        </w:tc>
        <w:tc>
          <w:tcPr>
            <w:tcW w:w="1150" w:type="dxa"/>
            <w:tcBorders>
              <w:top w:val="nil"/>
              <w:left w:val="nil"/>
              <w:bottom w:val="nil"/>
              <w:right w:val="nil"/>
            </w:tcBorders>
            <w:vAlign w:val="bottom"/>
          </w:tcPr>
          <w:p w14:paraId="2F0FF9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14.95659</w:t>
            </w:r>
          </w:p>
        </w:tc>
        <w:tc>
          <w:tcPr>
            <w:tcW w:w="1150" w:type="dxa"/>
            <w:tcBorders>
              <w:top w:val="nil"/>
              <w:left w:val="nil"/>
              <w:bottom w:val="nil"/>
              <w:right w:val="nil"/>
            </w:tcBorders>
            <w:vAlign w:val="bottom"/>
          </w:tcPr>
          <w:p w14:paraId="12E4AB2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-3.110697</w:t>
            </w:r>
          </w:p>
        </w:tc>
        <w:tc>
          <w:tcPr>
            <w:tcW w:w="950" w:type="dxa"/>
            <w:tcBorders>
              <w:top w:val="nil"/>
              <w:left w:val="nil"/>
              <w:bottom w:val="nil"/>
              <w:right w:val="nil"/>
            </w:tcBorders>
            <w:vAlign w:val="bottom"/>
          </w:tcPr>
          <w:p w14:paraId="6986BB5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0.0049</w:t>
            </w:r>
          </w:p>
        </w:tc>
      </w:tr>
      <w:tr w:rsidR="00EA38DE" w:rsidRPr="00EA38DE" w14:paraId="32CCB9CB" w14:textId="77777777" w:rsidTr="009501B5">
        <w:trPr>
          <w:trHeight w:hRule="exact" w:val="88"/>
        </w:trPr>
        <w:tc>
          <w:tcPr>
            <w:tcW w:w="2120" w:type="dxa"/>
            <w:tcBorders>
              <w:top w:val="nil"/>
              <w:left w:val="nil"/>
              <w:bottom w:val="double" w:sz="6" w:space="2" w:color="auto"/>
              <w:right w:val="nil"/>
            </w:tcBorders>
            <w:vAlign w:val="bottom"/>
          </w:tcPr>
          <w:p w14:paraId="35FD97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C9856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B299D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69363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F6C24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3262850" w14:textId="77777777" w:rsidTr="009501B5">
        <w:trPr>
          <w:trHeight w:hRule="exact" w:val="132"/>
        </w:trPr>
        <w:tc>
          <w:tcPr>
            <w:tcW w:w="2120" w:type="dxa"/>
            <w:tcBorders>
              <w:top w:val="nil"/>
              <w:left w:val="nil"/>
              <w:bottom w:val="nil"/>
              <w:right w:val="nil"/>
            </w:tcBorders>
            <w:vAlign w:val="bottom"/>
          </w:tcPr>
          <w:p w14:paraId="73007B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47FBD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38C6F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DAFE1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F79EA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C463A53" w14:textId="77777777" w:rsidTr="009501B5">
        <w:trPr>
          <w:trHeight w:val="220"/>
        </w:trPr>
        <w:tc>
          <w:tcPr>
            <w:tcW w:w="6420" w:type="dxa"/>
            <w:gridSpan w:val="5"/>
            <w:tcBorders>
              <w:top w:val="nil"/>
              <w:left w:val="nil"/>
              <w:bottom w:val="nil"/>
              <w:right w:val="nil"/>
            </w:tcBorders>
            <w:vAlign w:val="bottom"/>
          </w:tcPr>
          <w:p w14:paraId="69E5499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LPOR - (-0.0010*EXRTF + 0.0150*IFR + 4.9606*LLAB + 0.7092*LGR </w:t>
            </w:r>
          </w:p>
        </w:tc>
      </w:tr>
      <w:tr w:rsidR="00EA38DE" w:rsidRPr="00EA38DE" w14:paraId="3A27C9ED" w14:textId="77777777" w:rsidTr="009501B5">
        <w:trPr>
          <w:trHeight w:val="220"/>
        </w:trPr>
        <w:tc>
          <w:tcPr>
            <w:tcW w:w="5470" w:type="dxa"/>
            <w:gridSpan w:val="4"/>
            <w:tcBorders>
              <w:top w:val="nil"/>
              <w:left w:val="nil"/>
              <w:bottom w:val="nil"/>
              <w:right w:val="nil"/>
            </w:tcBorders>
            <w:vAlign w:val="bottom"/>
          </w:tcPr>
          <w:p w14:paraId="4D38394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-0.0609*TRF  -46.5254 )</w:t>
            </w:r>
          </w:p>
        </w:tc>
        <w:tc>
          <w:tcPr>
            <w:tcW w:w="950" w:type="dxa"/>
            <w:tcBorders>
              <w:top w:val="nil"/>
              <w:left w:val="nil"/>
              <w:bottom w:val="nil"/>
              <w:right w:val="nil"/>
            </w:tcBorders>
            <w:vAlign w:val="bottom"/>
          </w:tcPr>
          <w:p w14:paraId="00FB0C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F860A3B" w14:textId="77777777" w:rsidTr="009501B5">
        <w:trPr>
          <w:trHeight w:hRule="exact" w:val="88"/>
        </w:trPr>
        <w:tc>
          <w:tcPr>
            <w:tcW w:w="2120" w:type="dxa"/>
            <w:tcBorders>
              <w:top w:val="nil"/>
              <w:left w:val="nil"/>
              <w:bottom w:val="double" w:sz="6" w:space="0" w:color="auto"/>
              <w:right w:val="nil"/>
            </w:tcBorders>
            <w:vAlign w:val="bottom"/>
          </w:tcPr>
          <w:p w14:paraId="237A69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2A3522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38071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19625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78354AD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3B3BB07" w14:textId="77777777" w:rsidTr="009501B5">
        <w:trPr>
          <w:trHeight w:hRule="exact" w:val="132"/>
        </w:trPr>
        <w:tc>
          <w:tcPr>
            <w:tcW w:w="2120" w:type="dxa"/>
            <w:tcBorders>
              <w:top w:val="nil"/>
              <w:left w:val="nil"/>
              <w:bottom w:val="nil"/>
              <w:right w:val="nil"/>
            </w:tcBorders>
            <w:vAlign w:val="bottom"/>
          </w:tcPr>
          <w:p w14:paraId="444347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42989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896BD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9EEED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E0C94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011AF29C" w14:textId="77777777" w:rsidR="003C6B00" w:rsidRPr="00EA38DE" w:rsidRDefault="003C6B00" w:rsidP="003C6B00">
      <w:r w:rsidRPr="00EA38DE">
        <w:rPr>
          <w:rFonts w:ascii="Arial" w:hAnsi="Arial" w:cs="Arial"/>
          <w:sz w:val="18"/>
          <w:szCs w:val="18"/>
        </w:rPr>
        <w:br/>
      </w:r>
    </w:p>
    <w:p w14:paraId="01D9EFD7" w14:textId="77777777" w:rsidR="003C6B00" w:rsidRPr="00EA38DE" w:rsidRDefault="003C6B00" w:rsidP="003C6B00"/>
    <w:p w14:paraId="20D2C22E" w14:textId="77777777" w:rsidR="003C6B00" w:rsidRPr="00EA38DE" w:rsidRDefault="003C6B00" w:rsidP="003C6B00"/>
    <w:p w14:paraId="50703117" w14:textId="77777777" w:rsidR="003C6B00" w:rsidRPr="00EA38DE" w:rsidRDefault="003C6B00" w:rsidP="003C6B00"/>
    <w:p w14:paraId="7B1830C2" w14:textId="77777777" w:rsidR="003C6B00" w:rsidRPr="00EA38DE" w:rsidRDefault="003C6B00" w:rsidP="003C6B00"/>
    <w:p w14:paraId="6A136C20" w14:textId="77777777" w:rsidR="003C6B00" w:rsidRPr="00EA38DE" w:rsidRDefault="003C6B00" w:rsidP="003C6B00"/>
    <w:p w14:paraId="60CC7B35" w14:textId="77777777" w:rsidR="00C26BF7" w:rsidRPr="00EA38DE" w:rsidRDefault="00C26BF7" w:rsidP="003C6B00"/>
    <w:p w14:paraId="0627E5F7" w14:textId="77777777" w:rsidR="003C6B00" w:rsidRPr="00EA38DE" w:rsidRDefault="003C6B00" w:rsidP="003C6B00"/>
    <w:p w14:paraId="43ADDC25"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4C116717" w14:textId="77777777" w:rsidTr="009501B5">
        <w:trPr>
          <w:trHeight w:val="220"/>
        </w:trPr>
        <w:tc>
          <w:tcPr>
            <w:tcW w:w="6420" w:type="dxa"/>
            <w:gridSpan w:val="5"/>
            <w:tcBorders>
              <w:top w:val="nil"/>
              <w:left w:val="nil"/>
              <w:bottom w:val="nil"/>
              <w:right w:val="nil"/>
            </w:tcBorders>
            <w:vAlign w:val="bottom"/>
          </w:tcPr>
          <w:p w14:paraId="7FE33FB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7C98C621" w14:textId="77777777" w:rsidTr="009501B5">
        <w:trPr>
          <w:trHeight w:val="220"/>
        </w:trPr>
        <w:tc>
          <w:tcPr>
            <w:tcW w:w="5470" w:type="dxa"/>
            <w:gridSpan w:val="4"/>
            <w:tcBorders>
              <w:top w:val="nil"/>
              <w:left w:val="nil"/>
              <w:bottom w:val="nil"/>
              <w:right w:val="nil"/>
            </w:tcBorders>
            <w:vAlign w:val="bottom"/>
          </w:tcPr>
          <w:p w14:paraId="52ACBBF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D(LPOR)</w:t>
            </w:r>
          </w:p>
        </w:tc>
        <w:tc>
          <w:tcPr>
            <w:tcW w:w="950" w:type="dxa"/>
            <w:tcBorders>
              <w:top w:val="nil"/>
              <w:left w:val="nil"/>
              <w:bottom w:val="nil"/>
              <w:right w:val="nil"/>
            </w:tcBorders>
            <w:vAlign w:val="bottom"/>
          </w:tcPr>
          <w:p w14:paraId="47B4C2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480D422" w14:textId="77777777" w:rsidTr="009501B5">
        <w:trPr>
          <w:trHeight w:val="220"/>
        </w:trPr>
        <w:tc>
          <w:tcPr>
            <w:tcW w:w="6420" w:type="dxa"/>
            <w:gridSpan w:val="5"/>
            <w:tcBorders>
              <w:top w:val="nil"/>
              <w:left w:val="nil"/>
              <w:bottom w:val="nil"/>
              <w:right w:val="nil"/>
            </w:tcBorders>
            <w:vAlign w:val="bottom"/>
          </w:tcPr>
          <w:p w14:paraId="0BF5EC8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0, 1, 0, 0, 2)</w:t>
            </w:r>
          </w:p>
        </w:tc>
      </w:tr>
      <w:tr w:rsidR="00EA38DE" w:rsidRPr="00EA38DE" w14:paraId="5DB39629" w14:textId="77777777" w:rsidTr="009501B5">
        <w:trPr>
          <w:trHeight w:val="220"/>
        </w:trPr>
        <w:tc>
          <w:tcPr>
            <w:tcW w:w="6420" w:type="dxa"/>
            <w:gridSpan w:val="5"/>
            <w:tcBorders>
              <w:top w:val="nil"/>
              <w:left w:val="nil"/>
              <w:bottom w:val="nil"/>
              <w:right w:val="nil"/>
            </w:tcBorders>
            <w:vAlign w:val="bottom"/>
          </w:tcPr>
          <w:p w14:paraId="0D57004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7D6B36EB" w14:textId="77777777" w:rsidTr="009501B5">
        <w:trPr>
          <w:trHeight w:val="220"/>
        </w:trPr>
        <w:tc>
          <w:tcPr>
            <w:tcW w:w="5470" w:type="dxa"/>
            <w:gridSpan w:val="4"/>
            <w:tcBorders>
              <w:top w:val="nil"/>
              <w:left w:val="nil"/>
              <w:bottom w:val="nil"/>
              <w:right w:val="nil"/>
            </w:tcBorders>
            <w:vAlign w:val="bottom"/>
          </w:tcPr>
          <w:p w14:paraId="4D949D5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09:18</w:t>
            </w:r>
          </w:p>
        </w:tc>
        <w:tc>
          <w:tcPr>
            <w:tcW w:w="950" w:type="dxa"/>
            <w:tcBorders>
              <w:top w:val="nil"/>
              <w:left w:val="nil"/>
              <w:bottom w:val="nil"/>
              <w:right w:val="nil"/>
            </w:tcBorders>
            <w:vAlign w:val="bottom"/>
          </w:tcPr>
          <w:p w14:paraId="596471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4E0E3B0" w14:textId="77777777" w:rsidTr="009501B5">
        <w:trPr>
          <w:trHeight w:val="220"/>
        </w:trPr>
        <w:tc>
          <w:tcPr>
            <w:tcW w:w="4320" w:type="dxa"/>
            <w:gridSpan w:val="3"/>
            <w:tcBorders>
              <w:top w:val="nil"/>
              <w:left w:val="nil"/>
              <w:bottom w:val="nil"/>
              <w:right w:val="nil"/>
            </w:tcBorders>
            <w:vAlign w:val="bottom"/>
          </w:tcPr>
          <w:p w14:paraId="1526D37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0D8BBD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4FC0F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5A5922F" w14:textId="77777777" w:rsidTr="009501B5">
        <w:trPr>
          <w:trHeight w:val="220"/>
        </w:trPr>
        <w:tc>
          <w:tcPr>
            <w:tcW w:w="5470" w:type="dxa"/>
            <w:gridSpan w:val="4"/>
            <w:tcBorders>
              <w:top w:val="nil"/>
              <w:left w:val="nil"/>
              <w:bottom w:val="nil"/>
              <w:right w:val="nil"/>
            </w:tcBorders>
            <w:vAlign w:val="bottom"/>
          </w:tcPr>
          <w:p w14:paraId="128B929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33</w:t>
            </w:r>
          </w:p>
        </w:tc>
        <w:tc>
          <w:tcPr>
            <w:tcW w:w="950" w:type="dxa"/>
            <w:tcBorders>
              <w:top w:val="nil"/>
              <w:left w:val="nil"/>
              <w:bottom w:val="nil"/>
              <w:right w:val="nil"/>
            </w:tcBorders>
            <w:vAlign w:val="bottom"/>
          </w:tcPr>
          <w:p w14:paraId="0F8328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8FE190E" w14:textId="77777777" w:rsidTr="009501B5">
        <w:trPr>
          <w:trHeight w:hRule="exact" w:val="88"/>
        </w:trPr>
        <w:tc>
          <w:tcPr>
            <w:tcW w:w="2120" w:type="dxa"/>
            <w:tcBorders>
              <w:top w:val="nil"/>
              <w:left w:val="nil"/>
              <w:bottom w:val="double" w:sz="6" w:space="2" w:color="auto"/>
              <w:right w:val="nil"/>
            </w:tcBorders>
            <w:vAlign w:val="bottom"/>
          </w:tcPr>
          <w:p w14:paraId="2BE5E5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DACA8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3C76D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4D17D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3C5DE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29FD877" w14:textId="77777777" w:rsidTr="009501B5">
        <w:trPr>
          <w:trHeight w:hRule="exact" w:val="132"/>
        </w:trPr>
        <w:tc>
          <w:tcPr>
            <w:tcW w:w="2120" w:type="dxa"/>
            <w:tcBorders>
              <w:top w:val="nil"/>
              <w:left w:val="nil"/>
              <w:bottom w:val="nil"/>
              <w:right w:val="nil"/>
            </w:tcBorders>
            <w:vAlign w:val="bottom"/>
          </w:tcPr>
          <w:p w14:paraId="3713EA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20E93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44FF2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A0D7A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231FC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C47794C" w14:textId="77777777" w:rsidTr="009501B5">
        <w:trPr>
          <w:trHeight w:val="220"/>
        </w:trPr>
        <w:tc>
          <w:tcPr>
            <w:tcW w:w="6420" w:type="dxa"/>
            <w:gridSpan w:val="5"/>
            <w:tcBorders>
              <w:top w:val="nil"/>
              <w:left w:val="nil"/>
              <w:bottom w:val="nil"/>
              <w:right w:val="nil"/>
            </w:tcBorders>
            <w:vAlign w:val="bottom"/>
          </w:tcPr>
          <w:p w14:paraId="694021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0D899F24" w14:textId="77777777" w:rsidTr="009501B5">
        <w:trPr>
          <w:trHeight w:val="220"/>
        </w:trPr>
        <w:tc>
          <w:tcPr>
            <w:tcW w:w="6420" w:type="dxa"/>
            <w:gridSpan w:val="5"/>
            <w:tcBorders>
              <w:top w:val="nil"/>
              <w:left w:val="nil"/>
              <w:bottom w:val="nil"/>
              <w:right w:val="nil"/>
            </w:tcBorders>
            <w:vAlign w:val="bottom"/>
          </w:tcPr>
          <w:p w14:paraId="3D0540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28383546" w14:textId="77777777" w:rsidTr="009501B5">
        <w:trPr>
          <w:trHeight w:hRule="exact" w:val="88"/>
        </w:trPr>
        <w:tc>
          <w:tcPr>
            <w:tcW w:w="2120" w:type="dxa"/>
            <w:tcBorders>
              <w:top w:val="nil"/>
              <w:left w:val="nil"/>
              <w:bottom w:val="double" w:sz="6" w:space="2" w:color="auto"/>
              <w:right w:val="nil"/>
            </w:tcBorders>
            <w:vAlign w:val="bottom"/>
          </w:tcPr>
          <w:p w14:paraId="73AAD3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B84F5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6DCEC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47B3F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75162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919F30B" w14:textId="77777777" w:rsidTr="009501B5">
        <w:trPr>
          <w:trHeight w:hRule="exact" w:val="132"/>
        </w:trPr>
        <w:tc>
          <w:tcPr>
            <w:tcW w:w="2120" w:type="dxa"/>
            <w:tcBorders>
              <w:top w:val="nil"/>
              <w:left w:val="nil"/>
              <w:bottom w:val="nil"/>
              <w:right w:val="nil"/>
            </w:tcBorders>
            <w:vAlign w:val="bottom"/>
          </w:tcPr>
          <w:p w14:paraId="0F6098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7D83F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E0BC5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493EE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A3BF4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BFDC02D" w14:textId="77777777" w:rsidTr="009501B5">
        <w:trPr>
          <w:trHeight w:val="220"/>
        </w:trPr>
        <w:tc>
          <w:tcPr>
            <w:tcW w:w="2120" w:type="dxa"/>
            <w:tcBorders>
              <w:top w:val="nil"/>
              <w:left w:val="nil"/>
              <w:bottom w:val="nil"/>
              <w:right w:val="nil"/>
            </w:tcBorders>
            <w:vAlign w:val="bottom"/>
          </w:tcPr>
          <w:p w14:paraId="138DB86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3EE70A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4085D4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6922D6A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78915F3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4D187E31" w14:textId="77777777" w:rsidTr="009501B5">
        <w:trPr>
          <w:trHeight w:hRule="exact" w:val="88"/>
        </w:trPr>
        <w:tc>
          <w:tcPr>
            <w:tcW w:w="2120" w:type="dxa"/>
            <w:tcBorders>
              <w:top w:val="nil"/>
              <w:left w:val="nil"/>
              <w:bottom w:val="double" w:sz="6" w:space="2" w:color="auto"/>
              <w:right w:val="nil"/>
            </w:tcBorders>
            <w:vAlign w:val="bottom"/>
          </w:tcPr>
          <w:p w14:paraId="50C275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F1F08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49F6B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2F70D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ACE08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0950FC3" w14:textId="77777777" w:rsidTr="009501B5">
        <w:trPr>
          <w:trHeight w:hRule="exact" w:val="132"/>
        </w:trPr>
        <w:tc>
          <w:tcPr>
            <w:tcW w:w="2120" w:type="dxa"/>
            <w:tcBorders>
              <w:top w:val="nil"/>
              <w:left w:val="nil"/>
              <w:bottom w:val="nil"/>
              <w:right w:val="nil"/>
            </w:tcBorders>
            <w:vAlign w:val="bottom"/>
          </w:tcPr>
          <w:p w14:paraId="3FAE0E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36079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72027D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7A52E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6FADA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934D550" w14:textId="77777777" w:rsidTr="009501B5">
        <w:trPr>
          <w:trHeight w:val="220"/>
        </w:trPr>
        <w:tc>
          <w:tcPr>
            <w:tcW w:w="2120" w:type="dxa"/>
            <w:tcBorders>
              <w:top w:val="nil"/>
              <w:left w:val="nil"/>
              <w:bottom w:val="nil"/>
              <w:right w:val="nil"/>
            </w:tcBorders>
            <w:vAlign w:val="bottom"/>
          </w:tcPr>
          <w:p w14:paraId="518AA5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4EFFBE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-0.003186</w:t>
            </w:r>
          </w:p>
        </w:tc>
        <w:tc>
          <w:tcPr>
            <w:tcW w:w="1150" w:type="dxa"/>
            <w:tcBorders>
              <w:top w:val="nil"/>
              <w:left w:val="nil"/>
              <w:bottom w:val="nil"/>
              <w:right w:val="nil"/>
            </w:tcBorders>
            <w:vAlign w:val="bottom"/>
          </w:tcPr>
          <w:p w14:paraId="44472DE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0.005019</w:t>
            </w:r>
          </w:p>
        </w:tc>
        <w:tc>
          <w:tcPr>
            <w:tcW w:w="1150" w:type="dxa"/>
            <w:tcBorders>
              <w:top w:val="nil"/>
              <w:left w:val="nil"/>
              <w:bottom w:val="nil"/>
              <w:right w:val="nil"/>
            </w:tcBorders>
            <w:vAlign w:val="bottom"/>
          </w:tcPr>
          <w:p w14:paraId="79B93E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-0.634827</w:t>
            </w:r>
          </w:p>
        </w:tc>
        <w:tc>
          <w:tcPr>
            <w:tcW w:w="950" w:type="dxa"/>
            <w:tcBorders>
              <w:top w:val="nil"/>
              <w:left w:val="nil"/>
              <w:bottom w:val="nil"/>
              <w:right w:val="nil"/>
            </w:tcBorders>
            <w:vAlign w:val="bottom"/>
          </w:tcPr>
          <w:p w14:paraId="529AD6F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0.5318</w:t>
            </w:r>
          </w:p>
        </w:tc>
      </w:tr>
      <w:tr w:rsidR="00EA38DE" w:rsidRPr="00EA38DE" w14:paraId="32D5C0D0" w14:textId="77777777" w:rsidTr="009501B5">
        <w:trPr>
          <w:trHeight w:val="220"/>
        </w:trPr>
        <w:tc>
          <w:tcPr>
            <w:tcW w:w="2120" w:type="dxa"/>
            <w:tcBorders>
              <w:top w:val="nil"/>
              <w:left w:val="nil"/>
              <w:bottom w:val="nil"/>
              <w:right w:val="nil"/>
            </w:tcBorders>
            <w:vAlign w:val="bottom"/>
          </w:tcPr>
          <w:p w14:paraId="1AE817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54EA01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0.029894</w:t>
            </w:r>
          </w:p>
        </w:tc>
        <w:tc>
          <w:tcPr>
            <w:tcW w:w="1150" w:type="dxa"/>
            <w:tcBorders>
              <w:top w:val="nil"/>
              <w:left w:val="nil"/>
              <w:bottom w:val="nil"/>
              <w:right w:val="nil"/>
            </w:tcBorders>
            <w:vAlign w:val="bottom"/>
          </w:tcPr>
          <w:p w14:paraId="30545CE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0.086454</w:t>
            </w:r>
          </w:p>
        </w:tc>
        <w:tc>
          <w:tcPr>
            <w:tcW w:w="1150" w:type="dxa"/>
            <w:tcBorders>
              <w:top w:val="nil"/>
              <w:left w:val="nil"/>
              <w:bottom w:val="nil"/>
              <w:right w:val="nil"/>
            </w:tcBorders>
            <w:vAlign w:val="bottom"/>
          </w:tcPr>
          <w:p w14:paraId="2F7E04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0.345777</w:t>
            </w:r>
          </w:p>
        </w:tc>
        <w:tc>
          <w:tcPr>
            <w:tcW w:w="950" w:type="dxa"/>
            <w:tcBorders>
              <w:top w:val="nil"/>
              <w:left w:val="nil"/>
              <w:bottom w:val="nil"/>
              <w:right w:val="nil"/>
            </w:tcBorders>
            <w:vAlign w:val="bottom"/>
          </w:tcPr>
          <w:p w14:paraId="1080A8B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0.7327</w:t>
            </w:r>
          </w:p>
        </w:tc>
      </w:tr>
      <w:tr w:rsidR="00EA38DE" w:rsidRPr="00EA38DE" w14:paraId="1EBF3A44" w14:textId="77777777" w:rsidTr="009501B5">
        <w:trPr>
          <w:trHeight w:val="220"/>
        </w:trPr>
        <w:tc>
          <w:tcPr>
            <w:tcW w:w="2120" w:type="dxa"/>
            <w:tcBorders>
              <w:top w:val="nil"/>
              <w:left w:val="nil"/>
              <w:bottom w:val="nil"/>
              <w:right w:val="nil"/>
            </w:tcBorders>
            <w:vAlign w:val="bottom"/>
          </w:tcPr>
          <w:p w14:paraId="4D52AB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D(TRF(-1))</w:t>
            </w:r>
          </w:p>
        </w:tc>
        <w:tc>
          <w:tcPr>
            <w:tcW w:w="1050" w:type="dxa"/>
            <w:tcBorders>
              <w:top w:val="nil"/>
              <w:left w:val="nil"/>
              <w:bottom w:val="nil"/>
              <w:right w:val="nil"/>
            </w:tcBorders>
            <w:vAlign w:val="bottom"/>
          </w:tcPr>
          <w:p w14:paraId="77979E3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0.228544</w:t>
            </w:r>
          </w:p>
        </w:tc>
        <w:tc>
          <w:tcPr>
            <w:tcW w:w="1150" w:type="dxa"/>
            <w:tcBorders>
              <w:top w:val="nil"/>
              <w:left w:val="nil"/>
              <w:bottom w:val="nil"/>
              <w:right w:val="nil"/>
            </w:tcBorders>
            <w:vAlign w:val="bottom"/>
          </w:tcPr>
          <w:p w14:paraId="0E9C890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0.088884</w:t>
            </w:r>
          </w:p>
        </w:tc>
        <w:tc>
          <w:tcPr>
            <w:tcW w:w="1150" w:type="dxa"/>
            <w:tcBorders>
              <w:top w:val="nil"/>
              <w:left w:val="nil"/>
              <w:bottom w:val="nil"/>
              <w:right w:val="nil"/>
            </w:tcBorders>
            <w:vAlign w:val="bottom"/>
          </w:tcPr>
          <w:p w14:paraId="2641B97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2.571273</w:t>
            </w:r>
          </w:p>
        </w:tc>
        <w:tc>
          <w:tcPr>
            <w:tcW w:w="950" w:type="dxa"/>
            <w:tcBorders>
              <w:top w:val="nil"/>
              <w:left w:val="nil"/>
              <w:bottom w:val="nil"/>
              <w:right w:val="nil"/>
            </w:tcBorders>
            <w:vAlign w:val="bottom"/>
          </w:tcPr>
          <w:p w14:paraId="427507F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0.0171</w:t>
            </w:r>
          </w:p>
        </w:tc>
      </w:tr>
      <w:tr w:rsidR="00EA38DE" w:rsidRPr="00EA38DE" w14:paraId="19C9D2D5" w14:textId="77777777" w:rsidTr="009501B5">
        <w:trPr>
          <w:trHeight w:val="220"/>
        </w:trPr>
        <w:tc>
          <w:tcPr>
            <w:tcW w:w="2120" w:type="dxa"/>
            <w:tcBorders>
              <w:top w:val="nil"/>
              <w:left w:val="nil"/>
              <w:bottom w:val="nil"/>
              <w:right w:val="nil"/>
            </w:tcBorders>
            <w:vAlign w:val="bottom"/>
          </w:tcPr>
          <w:p w14:paraId="292B0A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7343D11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-0.409838</w:t>
            </w:r>
          </w:p>
        </w:tc>
        <w:tc>
          <w:tcPr>
            <w:tcW w:w="1150" w:type="dxa"/>
            <w:tcBorders>
              <w:top w:val="nil"/>
              <w:left w:val="nil"/>
              <w:bottom w:val="nil"/>
              <w:right w:val="nil"/>
            </w:tcBorders>
            <w:vAlign w:val="bottom"/>
          </w:tcPr>
          <w:p w14:paraId="0BB8B92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0.061276</w:t>
            </w:r>
          </w:p>
        </w:tc>
        <w:tc>
          <w:tcPr>
            <w:tcW w:w="1150" w:type="dxa"/>
            <w:tcBorders>
              <w:top w:val="nil"/>
              <w:left w:val="nil"/>
              <w:bottom w:val="nil"/>
              <w:right w:val="nil"/>
            </w:tcBorders>
            <w:vAlign w:val="bottom"/>
          </w:tcPr>
          <w:p w14:paraId="48A3820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-6.688348</w:t>
            </w:r>
          </w:p>
        </w:tc>
        <w:tc>
          <w:tcPr>
            <w:tcW w:w="950" w:type="dxa"/>
            <w:tcBorders>
              <w:top w:val="nil"/>
              <w:left w:val="nil"/>
              <w:bottom w:val="nil"/>
              <w:right w:val="nil"/>
            </w:tcBorders>
            <w:vAlign w:val="bottom"/>
          </w:tcPr>
          <w:p w14:paraId="43BF37B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2FDD057D" w14:textId="77777777" w:rsidTr="009501B5">
        <w:trPr>
          <w:trHeight w:hRule="exact" w:val="88"/>
        </w:trPr>
        <w:tc>
          <w:tcPr>
            <w:tcW w:w="2120" w:type="dxa"/>
            <w:tcBorders>
              <w:top w:val="nil"/>
              <w:left w:val="nil"/>
              <w:bottom w:val="double" w:sz="6" w:space="2" w:color="auto"/>
              <w:right w:val="nil"/>
            </w:tcBorders>
            <w:vAlign w:val="bottom"/>
          </w:tcPr>
          <w:p w14:paraId="6EA9FD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A67A7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5A1FC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24F47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6679C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D42903F" w14:textId="77777777" w:rsidTr="009501B5">
        <w:trPr>
          <w:trHeight w:hRule="exact" w:val="132"/>
        </w:trPr>
        <w:tc>
          <w:tcPr>
            <w:tcW w:w="2120" w:type="dxa"/>
            <w:tcBorders>
              <w:top w:val="nil"/>
              <w:left w:val="nil"/>
              <w:bottom w:val="nil"/>
              <w:right w:val="nil"/>
            </w:tcBorders>
            <w:vAlign w:val="bottom"/>
          </w:tcPr>
          <w:p w14:paraId="4D2857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F9FF1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5F41D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115A1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5E8C1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8C7536" w14:textId="77777777" w:rsidTr="009501B5">
        <w:trPr>
          <w:trHeight w:val="220"/>
        </w:trPr>
        <w:tc>
          <w:tcPr>
            <w:tcW w:w="2120" w:type="dxa"/>
            <w:tcBorders>
              <w:top w:val="nil"/>
              <w:left w:val="nil"/>
              <w:bottom w:val="nil"/>
              <w:right w:val="nil"/>
            </w:tcBorders>
            <w:vAlign w:val="bottom"/>
          </w:tcPr>
          <w:p w14:paraId="0DA4A52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0060314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0.523426</w:t>
            </w:r>
          </w:p>
        </w:tc>
        <w:tc>
          <w:tcPr>
            <w:tcW w:w="2300" w:type="dxa"/>
            <w:gridSpan w:val="2"/>
            <w:tcBorders>
              <w:top w:val="nil"/>
              <w:left w:val="nil"/>
              <w:bottom w:val="nil"/>
              <w:right w:val="nil"/>
            </w:tcBorders>
            <w:vAlign w:val="bottom"/>
          </w:tcPr>
          <w:p w14:paraId="054ED9B8"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3D031D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0.213994</w:t>
            </w:r>
          </w:p>
        </w:tc>
      </w:tr>
      <w:tr w:rsidR="00EA38DE" w:rsidRPr="00EA38DE" w14:paraId="4937B74B" w14:textId="77777777" w:rsidTr="009501B5">
        <w:trPr>
          <w:trHeight w:val="220"/>
        </w:trPr>
        <w:tc>
          <w:tcPr>
            <w:tcW w:w="2120" w:type="dxa"/>
            <w:tcBorders>
              <w:top w:val="nil"/>
              <w:left w:val="nil"/>
              <w:bottom w:val="nil"/>
              <w:right w:val="nil"/>
            </w:tcBorders>
            <w:vAlign w:val="bottom"/>
          </w:tcPr>
          <w:p w14:paraId="16797C6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4DA712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0.474125</w:t>
            </w:r>
          </w:p>
        </w:tc>
        <w:tc>
          <w:tcPr>
            <w:tcW w:w="2300" w:type="dxa"/>
            <w:gridSpan w:val="2"/>
            <w:tcBorders>
              <w:top w:val="nil"/>
              <w:left w:val="nil"/>
              <w:bottom w:val="nil"/>
              <w:right w:val="nil"/>
            </w:tcBorders>
            <w:vAlign w:val="bottom"/>
          </w:tcPr>
          <w:p w14:paraId="1D8FCF33"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310C8AD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0.428768</w:t>
            </w:r>
          </w:p>
        </w:tc>
      </w:tr>
      <w:tr w:rsidR="00EA38DE" w:rsidRPr="00EA38DE" w14:paraId="10E5BED2" w14:textId="77777777" w:rsidTr="009501B5">
        <w:trPr>
          <w:trHeight w:val="220"/>
        </w:trPr>
        <w:tc>
          <w:tcPr>
            <w:tcW w:w="2120" w:type="dxa"/>
            <w:tcBorders>
              <w:top w:val="nil"/>
              <w:left w:val="nil"/>
              <w:bottom w:val="nil"/>
              <w:right w:val="nil"/>
            </w:tcBorders>
            <w:vAlign w:val="bottom"/>
          </w:tcPr>
          <w:p w14:paraId="797F99E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2F3F1A3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0.310931</w:t>
            </w:r>
          </w:p>
        </w:tc>
        <w:tc>
          <w:tcPr>
            <w:tcW w:w="2300" w:type="dxa"/>
            <w:gridSpan w:val="2"/>
            <w:tcBorders>
              <w:top w:val="nil"/>
              <w:left w:val="nil"/>
              <w:bottom w:val="nil"/>
              <w:right w:val="nil"/>
            </w:tcBorders>
            <w:vAlign w:val="bottom"/>
          </w:tcPr>
          <w:p w14:paraId="22DD82EE"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26F49AD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0.614718</w:t>
            </w:r>
          </w:p>
        </w:tc>
      </w:tr>
      <w:tr w:rsidR="00EA38DE" w:rsidRPr="00EA38DE" w14:paraId="250224B5" w14:textId="77777777" w:rsidTr="009501B5">
        <w:trPr>
          <w:trHeight w:val="220"/>
        </w:trPr>
        <w:tc>
          <w:tcPr>
            <w:tcW w:w="2120" w:type="dxa"/>
            <w:tcBorders>
              <w:top w:val="nil"/>
              <w:left w:val="nil"/>
              <w:bottom w:val="nil"/>
              <w:right w:val="nil"/>
            </w:tcBorders>
            <w:vAlign w:val="bottom"/>
          </w:tcPr>
          <w:p w14:paraId="58D62A0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2B17EB3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2.803656</w:t>
            </w:r>
          </w:p>
        </w:tc>
        <w:tc>
          <w:tcPr>
            <w:tcW w:w="2300" w:type="dxa"/>
            <w:gridSpan w:val="2"/>
            <w:tcBorders>
              <w:top w:val="nil"/>
              <w:left w:val="nil"/>
              <w:bottom w:val="nil"/>
              <w:right w:val="nil"/>
            </w:tcBorders>
            <w:vAlign w:val="bottom"/>
          </w:tcPr>
          <w:p w14:paraId="4FA6B907"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4A150F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0.796113</w:t>
            </w:r>
          </w:p>
        </w:tc>
      </w:tr>
      <w:tr w:rsidR="00EA38DE" w:rsidRPr="00EA38DE" w14:paraId="693DBC69" w14:textId="77777777" w:rsidTr="009501B5">
        <w:trPr>
          <w:trHeight w:val="220"/>
        </w:trPr>
        <w:tc>
          <w:tcPr>
            <w:tcW w:w="2120" w:type="dxa"/>
            <w:tcBorders>
              <w:top w:val="nil"/>
              <w:left w:val="nil"/>
              <w:bottom w:val="nil"/>
              <w:right w:val="nil"/>
            </w:tcBorders>
            <w:vAlign w:val="bottom"/>
          </w:tcPr>
          <w:p w14:paraId="5E470C1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66A7D47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-6.142845</w:t>
            </w:r>
          </w:p>
        </w:tc>
        <w:tc>
          <w:tcPr>
            <w:tcW w:w="2300" w:type="dxa"/>
            <w:gridSpan w:val="2"/>
            <w:tcBorders>
              <w:top w:val="nil"/>
              <w:left w:val="nil"/>
              <w:bottom w:val="nil"/>
              <w:right w:val="nil"/>
            </w:tcBorders>
            <w:vAlign w:val="bottom"/>
          </w:tcPr>
          <w:p w14:paraId="4F8F2B67"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4280FB8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0.675752</w:t>
            </w:r>
          </w:p>
        </w:tc>
      </w:tr>
      <w:tr w:rsidR="00EA38DE" w:rsidRPr="00EA38DE" w14:paraId="43262036" w14:textId="77777777" w:rsidTr="009501B5">
        <w:trPr>
          <w:trHeight w:val="220"/>
        </w:trPr>
        <w:tc>
          <w:tcPr>
            <w:tcW w:w="2120" w:type="dxa"/>
            <w:tcBorders>
              <w:top w:val="nil"/>
              <w:left w:val="nil"/>
              <w:bottom w:val="nil"/>
              <w:right w:val="nil"/>
            </w:tcBorders>
            <w:vAlign w:val="bottom"/>
          </w:tcPr>
          <w:p w14:paraId="0071F09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2E27D9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2.565862</w:t>
            </w:r>
          </w:p>
        </w:tc>
        <w:tc>
          <w:tcPr>
            <w:tcW w:w="1150" w:type="dxa"/>
            <w:tcBorders>
              <w:top w:val="nil"/>
              <w:left w:val="nil"/>
              <w:bottom w:val="nil"/>
              <w:right w:val="nil"/>
            </w:tcBorders>
            <w:vAlign w:val="bottom"/>
          </w:tcPr>
          <w:p w14:paraId="49BCB06A"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66C8A890"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3AF77A93"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2CCFC212" w14:textId="77777777" w:rsidTr="009501B5">
        <w:trPr>
          <w:trHeight w:hRule="exact" w:val="88"/>
        </w:trPr>
        <w:tc>
          <w:tcPr>
            <w:tcW w:w="2120" w:type="dxa"/>
            <w:tcBorders>
              <w:top w:val="nil"/>
              <w:left w:val="nil"/>
              <w:bottom w:val="double" w:sz="6" w:space="2" w:color="auto"/>
              <w:right w:val="nil"/>
            </w:tcBorders>
            <w:vAlign w:val="bottom"/>
          </w:tcPr>
          <w:p w14:paraId="28AE84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A0C7E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C5718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44C66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2088B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ED7B377" w14:textId="77777777" w:rsidTr="009501B5">
        <w:trPr>
          <w:trHeight w:hRule="exact" w:val="132"/>
        </w:trPr>
        <w:tc>
          <w:tcPr>
            <w:tcW w:w="2120" w:type="dxa"/>
            <w:tcBorders>
              <w:top w:val="nil"/>
              <w:left w:val="nil"/>
              <w:bottom w:val="nil"/>
              <w:right w:val="nil"/>
            </w:tcBorders>
            <w:vAlign w:val="bottom"/>
          </w:tcPr>
          <w:p w14:paraId="3954F1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AAF4D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24749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3CFD9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7DFC6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4953A87" w14:textId="77777777" w:rsidTr="009501B5">
        <w:trPr>
          <w:trHeight w:val="220"/>
        </w:trPr>
        <w:tc>
          <w:tcPr>
            <w:tcW w:w="6420" w:type="dxa"/>
            <w:gridSpan w:val="5"/>
            <w:tcBorders>
              <w:top w:val="nil"/>
              <w:left w:val="nil"/>
              <w:bottom w:val="nil"/>
              <w:right w:val="nil"/>
            </w:tcBorders>
            <w:vAlign w:val="bottom"/>
          </w:tcPr>
          <w:p w14:paraId="740CA7F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27743327" w14:textId="77777777" w:rsidTr="009501B5">
        <w:trPr>
          <w:trHeight w:val="220"/>
        </w:trPr>
        <w:tc>
          <w:tcPr>
            <w:tcW w:w="2120" w:type="dxa"/>
            <w:tcBorders>
              <w:top w:val="nil"/>
              <w:left w:val="nil"/>
              <w:bottom w:val="nil"/>
              <w:right w:val="nil"/>
            </w:tcBorders>
            <w:vAlign w:val="bottom"/>
          </w:tcPr>
          <w:p w14:paraId="0BF307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57BB3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5A4DB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09139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E5E01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0F879D8" w14:textId="77777777" w:rsidTr="009501B5">
        <w:trPr>
          <w:trHeight w:val="220"/>
        </w:trPr>
        <w:tc>
          <w:tcPr>
            <w:tcW w:w="2120" w:type="dxa"/>
            <w:tcBorders>
              <w:top w:val="nil"/>
              <w:left w:val="nil"/>
              <w:bottom w:val="nil"/>
              <w:right w:val="nil"/>
            </w:tcBorders>
            <w:vAlign w:val="bottom"/>
          </w:tcPr>
          <w:p w14:paraId="2FDB34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76EDB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2EE50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B90DB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F47CF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77BDB9E" w14:textId="77777777" w:rsidTr="009501B5">
        <w:trPr>
          <w:trHeight w:val="220"/>
        </w:trPr>
        <w:tc>
          <w:tcPr>
            <w:tcW w:w="3170" w:type="dxa"/>
            <w:gridSpan w:val="2"/>
            <w:tcBorders>
              <w:top w:val="nil"/>
              <w:left w:val="nil"/>
              <w:bottom w:val="nil"/>
              <w:right w:val="nil"/>
            </w:tcBorders>
            <w:vAlign w:val="bottom"/>
          </w:tcPr>
          <w:p w14:paraId="67672F8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7C983D7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7F89F351" w14:textId="77777777" w:rsidTr="009501B5">
        <w:trPr>
          <w:trHeight w:hRule="exact" w:val="88"/>
        </w:trPr>
        <w:tc>
          <w:tcPr>
            <w:tcW w:w="2120" w:type="dxa"/>
            <w:tcBorders>
              <w:top w:val="nil"/>
              <w:left w:val="nil"/>
              <w:bottom w:val="double" w:sz="6" w:space="2" w:color="auto"/>
              <w:right w:val="nil"/>
            </w:tcBorders>
            <w:vAlign w:val="bottom"/>
          </w:tcPr>
          <w:p w14:paraId="65A53C4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F0732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21E0C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5C2E3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0A5B1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CB1F9DE" w14:textId="77777777" w:rsidTr="009501B5">
        <w:trPr>
          <w:trHeight w:hRule="exact" w:val="132"/>
        </w:trPr>
        <w:tc>
          <w:tcPr>
            <w:tcW w:w="2120" w:type="dxa"/>
            <w:tcBorders>
              <w:top w:val="nil"/>
              <w:left w:val="nil"/>
              <w:bottom w:val="nil"/>
              <w:right w:val="nil"/>
            </w:tcBorders>
            <w:vAlign w:val="bottom"/>
          </w:tcPr>
          <w:p w14:paraId="6A4855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407B8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743A6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960E3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50C1C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F101B14" w14:textId="77777777" w:rsidTr="009501B5">
        <w:trPr>
          <w:trHeight w:val="220"/>
        </w:trPr>
        <w:tc>
          <w:tcPr>
            <w:tcW w:w="2120" w:type="dxa"/>
            <w:tcBorders>
              <w:top w:val="nil"/>
              <w:left w:val="nil"/>
              <w:bottom w:val="nil"/>
              <w:right w:val="nil"/>
            </w:tcBorders>
            <w:vAlign w:val="bottom"/>
          </w:tcPr>
          <w:p w14:paraId="12CB7CC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237EFB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597A4E2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4414D79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6EA019F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594B7F98" w14:textId="77777777" w:rsidTr="009501B5">
        <w:trPr>
          <w:trHeight w:hRule="exact" w:val="88"/>
        </w:trPr>
        <w:tc>
          <w:tcPr>
            <w:tcW w:w="2120" w:type="dxa"/>
            <w:tcBorders>
              <w:top w:val="nil"/>
              <w:left w:val="nil"/>
              <w:bottom w:val="double" w:sz="6" w:space="2" w:color="auto"/>
              <w:right w:val="nil"/>
            </w:tcBorders>
            <w:vAlign w:val="bottom"/>
          </w:tcPr>
          <w:p w14:paraId="77EB90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31C0D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64B6B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6619C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9C1C2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5F6EE37" w14:textId="77777777" w:rsidTr="009501B5">
        <w:trPr>
          <w:trHeight w:hRule="exact" w:val="132"/>
        </w:trPr>
        <w:tc>
          <w:tcPr>
            <w:tcW w:w="2120" w:type="dxa"/>
            <w:tcBorders>
              <w:top w:val="nil"/>
              <w:left w:val="nil"/>
              <w:bottom w:val="nil"/>
              <w:right w:val="nil"/>
            </w:tcBorders>
            <w:vAlign w:val="bottom"/>
          </w:tcPr>
          <w:p w14:paraId="406AE1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F5712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A6AB4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AA697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40A30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3044C6" w14:textId="77777777" w:rsidTr="009501B5">
        <w:trPr>
          <w:trHeight w:val="220"/>
        </w:trPr>
        <w:tc>
          <w:tcPr>
            <w:tcW w:w="2120" w:type="dxa"/>
            <w:tcBorders>
              <w:top w:val="nil"/>
              <w:left w:val="nil"/>
              <w:bottom w:val="nil"/>
              <w:right w:val="nil"/>
            </w:tcBorders>
            <w:vAlign w:val="bottom"/>
          </w:tcPr>
          <w:p w14:paraId="7D1D9A4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73B3AD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5.068385</w:t>
            </w:r>
          </w:p>
        </w:tc>
        <w:tc>
          <w:tcPr>
            <w:tcW w:w="1150" w:type="dxa"/>
            <w:tcBorders>
              <w:top w:val="nil"/>
              <w:left w:val="nil"/>
              <w:bottom w:val="nil"/>
              <w:right w:val="nil"/>
            </w:tcBorders>
            <w:vAlign w:val="bottom"/>
          </w:tcPr>
          <w:p w14:paraId="4F139A9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3E1F127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2.08</w:t>
            </w:r>
          </w:p>
        </w:tc>
        <w:tc>
          <w:tcPr>
            <w:tcW w:w="950" w:type="dxa"/>
            <w:tcBorders>
              <w:top w:val="nil"/>
              <w:left w:val="nil"/>
              <w:bottom w:val="nil"/>
              <w:right w:val="nil"/>
            </w:tcBorders>
            <w:vAlign w:val="bottom"/>
          </w:tcPr>
          <w:p w14:paraId="49131C4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w:t>
            </w:r>
          </w:p>
        </w:tc>
      </w:tr>
      <w:tr w:rsidR="00EA38DE" w:rsidRPr="00EA38DE" w14:paraId="6203BCF2" w14:textId="77777777" w:rsidTr="009501B5">
        <w:trPr>
          <w:trHeight w:val="220"/>
        </w:trPr>
        <w:tc>
          <w:tcPr>
            <w:tcW w:w="2120" w:type="dxa"/>
            <w:tcBorders>
              <w:top w:val="nil"/>
              <w:left w:val="nil"/>
              <w:bottom w:val="nil"/>
              <w:right w:val="nil"/>
            </w:tcBorders>
            <w:vAlign w:val="bottom"/>
          </w:tcPr>
          <w:p w14:paraId="3FCB6B9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79EB96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5DEF6AD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44E29B7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2.39</w:t>
            </w:r>
          </w:p>
        </w:tc>
        <w:tc>
          <w:tcPr>
            <w:tcW w:w="950" w:type="dxa"/>
            <w:tcBorders>
              <w:top w:val="nil"/>
              <w:left w:val="nil"/>
              <w:bottom w:val="nil"/>
              <w:right w:val="nil"/>
            </w:tcBorders>
            <w:vAlign w:val="bottom"/>
          </w:tcPr>
          <w:p w14:paraId="4471EFA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3.38</w:t>
            </w:r>
          </w:p>
        </w:tc>
      </w:tr>
      <w:tr w:rsidR="00EA38DE" w:rsidRPr="00EA38DE" w14:paraId="2EC9C367" w14:textId="77777777" w:rsidTr="009501B5">
        <w:trPr>
          <w:trHeight w:val="220"/>
        </w:trPr>
        <w:tc>
          <w:tcPr>
            <w:tcW w:w="2120" w:type="dxa"/>
            <w:tcBorders>
              <w:top w:val="nil"/>
              <w:left w:val="nil"/>
              <w:bottom w:val="nil"/>
              <w:right w:val="nil"/>
            </w:tcBorders>
            <w:vAlign w:val="bottom"/>
          </w:tcPr>
          <w:p w14:paraId="447483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4E996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032C6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46FD2A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w:t>
            </w:r>
          </w:p>
        </w:tc>
        <w:tc>
          <w:tcPr>
            <w:tcW w:w="950" w:type="dxa"/>
            <w:tcBorders>
              <w:top w:val="nil"/>
              <w:left w:val="nil"/>
              <w:bottom w:val="nil"/>
              <w:right w:val="nil"/>
            </w:tcBorders>
            <w:vAlign w:val="bottom"/>
          </w:tcPr>
          <w:p w14:paraId="794D8A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3.73</w:t>
            </w:r>
          </w:p>
        </w:tc>
      </w:tr>
      <w:tr w:rsidR="00EA38DE" w:rsidRPr="00EA38DE" w14:paraId="1EBC789D" w14:textId="77777777" w:rsidTr="009501B5">
        <w:trPr>
          <w:trHeight w:val="220"/>
        </w:trPr>
        <w:tc>
          <w:tcPr>
            <w:tcW w:w="2120" w:type="dxa"/>
            <w:tcBorders>
              <w:top w:val="nil"/>
              <w:left w:val="nil"/>
              <w:bottom w:val="nil"/>
              <w:right w:val="nil"/>
            </w:tcBorders>
            <w:vAlign w:val="bottom"/>
          </w:tcPr>
          <w:p w14:paraId="0D5A21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5C253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B0D38F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654E702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3.06</w:t>
            </w:r>
          </w:p>
        </w:tc>
        <w:tc>
          <w:tcPr>
            <w:tcW w:w="950" w:type="dxa"/>
            <w:tcBorders>
              <w:top w:val="nil"/>
              <w:left w:val="nil"/>
              <w:bottom w:val="nil"/>
              <w:right w:val="nil"/>
            </w:tcBorders>
            <w:vAlign w:val="bottom"/>
          </w:tcPr>
          <w:p w14:paraId="0D30A87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4.15</w:t>
            </w:r>
          </w:p>
        </w:tc>
      </w:tr>
      <w:tr w:rsidR="00EA38DE" w:rsidRPr="00EA38DE" w14:paraId="039F57F8" w14:textId="77777777" w:rsidTr="009501B5">
        <w:trPr>
          <w:trHeight w:hRule="exact" w:val="88"/>
        </w:trPr>
        <w:tc>
          <w:tcPr>
            <w:tcW w:w="2120" w:type="dxa"/>
            <w:tcBorders>
              <w:top w:val="nil"/>
              <w:left w:val="nil"/>
              <w:bottom w:val="double" w:sz="6" w:space="0" w:color="auto"/>
              <w:right w:val="nil"/>
            </w:tcBorders>
            <w:vAlign w:val="bottom"/>
          </w:tcPr>
          <w:p w14:paraId="3F6BD1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2643FF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9B11A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A5A0C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2B9EBC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7099192" w14:textId="77777777" w:rsidTr="009501B5">
        <w:trPr>
          <w:trHeight w:hRule="exact" w:val="132"/>
        </w:trPr>
        <w:tc>
          <w:tcPr>
            <w:tcW w:w="2120" w:type="dxa"/>
            <w:tcBorders>
              <w:top w:val="nil"/>
              <w:left w:val="nil"/>
              <w:bottom w:val="nil"/>
              <w:right w:val="nil"/>
            </w:tcBorders>
            <w:vAlign w:val="bottom"/>
          </w:tcPr>
          <w:p w14:paraId="12FE84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924B6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07B88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E2E86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9DAB9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45228699" w14:textId="77777777" w:rsidR="003C6B00" w:rsidRPr="00EA38DE" w:rsidRDefault="003C6B00" w:rsidP="003C6B00">
      <w:r w:rsidRPr="00EA38DE">
        <w:rPr>
          <w:rFonts w:ascii="Arial" w:hAnsi="Arial" w:cs="Arial"/>
          <w:sz w:val="18"/>
          <w:szCs w:val="18"/>
        </w:rPr>
        <w:br/>
      </w:r>
    </w:p>
    <w:p w14:paraId="58927F76" w14:textId="77777777" w:rsidR="003C6B00" w:rsidRPr="00EA38DE" w:rsidRDefault="003C6B00" w:rsidP="003C6B00"/>
    <w:p w14:paraId="0730B095" w14:textId="77777777" w:rsidR="003C6B00" w:rsidRPr="00EA38DE" w:rsidRDefault="003C6B00" w:rsidP="003C6B00"/>
    <w:p w14:paraId="71F2E804" w14:textId="77777777" w:rsidR="003C6B00" w:rsidRPr="00EA38DE" w:rsidRDefault="003C6B00" w:rsidP="003C6B00"/>
    <w:p w14:paraId="0EBBE1E2" w14:textId="77777777" w:rsidR="003C6B00" w:rsidRPr="00EA38DE" w:rsidRDefault="003C6B00" w:rsidP="003C6B00"/>
    <w:p w14:paraId="58D55B77" w14:textId="77777777" w:rsidR="003C6B00" w:rsidRPr="00EA38DE" w:rsidRDefault="003C6B00" w:rsidP="003C6B00"/>
    <w:p w14:paraId="0C22BF32" w14:textId="77777777" w:rsidR="003C6B00" w:rsidRPr="00EA38DE" w:rsidRDefault="003C6B00" w:rsidP="003C6B00"/>
    <w:p w14:paraId="2C0DA846" w14:textId="77777777" w:rsidR="003C6B00" w:rsidRPr="00EA38DE" w:rsidRDefault="003C6B00" w:rsidP="003C6B00"/>
    <w:p w14:paraId="22FD475E" w14:textId="77777777" w:rsidR="003C6B00" w:rsidRPr="00EA38DE" w:rsidRDefault="003C6B00" w:rsidP="003C6B00"/>
    <w:p w14:paraId="61D757ED" w14:textId="77777777" w:rsidR="003C6B00" w:rsidRPr="00EA38DE" w:rsidRDefault="003C6B00" w:rsidP="003C6B00">
      <w:pPr>
        <w:autoSpaceDE w:val="0"/>
        <w:autoSpaceDN w:val="0"/>
        <w:adjustRightInd w:val="0"/>
        <w:spacing w:after="0" w:line="240" w:lineRule="auto"/>
      </w:pPr>
    </w:p>
    <w:p w14:paraId="4726B958" w14:textId="77777777" w:rsidR="00C26BF7" w:rsidRPr="00EA38DE" w:rsidRDefault="00C26BF7"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63377A52" w14:textId="77777777" w:rsidTr="009501B5">
        <w:trPr>
          <w:trHeight w:val="220"/>
        </w:trPr>
        <w:tc>
          <w:tcPr>
            <w:tcW w:w="6420" w:type="dxa"/>
            <w:gridSpan w:val="5"/>
            <w:tcBorders>
              <w:top w:val="nil"/>
              <w:left w:val="nil"/>
              <w:bottom w:val="nil"/>
              <w:right w:val="nil"/>
            </w:tcBorders>
            <w:vAlign w:val="bottom"/>
          </w:tcPr>
          <w:p w14:paraId="1D550F4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Long Run Form and Bounds Test</w:t>
            </w:r>
          </w:p>
        </w:tc>
      </w:tr>
      <w:tr w:rsidR="00EA38DE" w:rsidRPr="00EA38DE" w14:paraId="1016CE99" w14:textId="77777777" w:rsidTr="009501B5">
        <w:trPr>
          <w:trHeight w:val="220"/>
        </w:trPr>
        <w:tc>
          <w:tcPr>
            <w:tcW w:w="5470" w:type="dxa"/>
            <w:gridSpan w:val="4"/>
            <w:tcBorders>
              <w:top w:val="nil"/>
              <w:left w:val="nil"/>
              <w:bottom w:val="nil"/>
              <w:right w:val="nil"/>
            </w:tcBorders>
            <w:vAlign w:val="bottom"/>
          </w:tcPr>
          <w:p w14:paraId="625C74B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D(LSHPC)</w:t>
            </w:r>
          </w:p>
        </w:tc>
        <w:tc>
          <w:tcPr>
            <w:tcW w:w="950" w:type="dxa"/>
            <w:tcBorders>
              <w:top w:val="nil"/>
              <w:left w:val="nil"/>
              <w:bottom w:val="nil"/>
              <w:right w:val="nil"/>
            </w:tcBorders>
            <w:vAlign w:val="bottom"/>
          </w:tcPr>
          <w:p w14:paraId="0FF6F4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E3A05B5" w14:textId="77777777" w:rsidTr="009501B5">
        <w:trPr>
          <w:trHeight w:val="220"/>
        </w:trPr>
        <w:tc>
          <w:tcPr>
            <w:tcW w:w="6420" w:type="dxa"/>
            <w:gridSpan w:val="5"/>
            <w:tcBorders>
              <w:top w:val="nil"/>
              <w:left w:val="nil"/>
              <w:bottom w:val="nil"/>
              <w:right w:val="nil"/>
            </w:tcBorders>
            <w:vAlign w:val="bottom"/>
          </w:tcPr>
          <w:p w14:paraId="56008D4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1, 0, 1, 0, 0)</w:t>
            </w:r>
          </w:p>
        </w:tc>
      </w:tr>
      <w:tr w:rsidR="00EA38DE" w:rsidRPr="00EA38DE" w14:paraId="0A195345" w14:textId="77777777" w:rsidTr="009501B5">
        <w:trPr>
          <w:trHeight w:val="220"/>
        </w:trPr>
        <w:tc>
          <w:tcPr>
            <w:tcW w:w="6420" w:type="dxa"/>
            <w:gridSpan w:val="5"/>
            <w:tcBorders>
              <w:top w:val="nil"/>
              <w:left w:val="nil"/>
              <w:bottom w:val="nil"/>
              <w:right w:val="nil"/>
            </w:tcBorders>
            <w:vAlign w:val="bottom"/>
          </w:tcPr>
          <w:p w14:paraId="42F9F42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131166FE" w14:textId="77777777" w:rsidTr="009501B5">
        <w:trPr>
          <w:trHeight w:val="220"/>
        </w:trPr>
        <w:tc>
          <w:tcPr>
            <w:tcW w:w="5470" w:type="dxa"/>
            <w:gridSpan w:val="4"/>
            <w:tcBorders>
              <w:top w:val="nil"/>
              <w:left w:val="nil"/>
              <w:bottom w:val="nil"/>
              <w:right w:val="nil"/>
            </w:tcBorders>
            <w:vAlign w:val="bottom"/>
          </w:tcPr>
          <w:p w14:paraId="089C274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09:18</w:t>
            </w:r>
          </w:p>
        </w:tc>
        <w:tc>
          <w:tcPr>
            <w:tcW w:w="950" w:type="dxa"/>
            <w:tcBorders>
              <w:top w:val="nil"/>
              <w:left w:val="nil"/>
              <w:bottom w:val="nil"/>
              <w:right w:val="nil"/>
            </w:tcBorders>
            <w:vAlign w:val="bottom"/>
          </w:tcPr>
          <w:p w14:paraId="699BA4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E70F9BD" w14:textId="77777777" w:rsidTr="009501B5">
        <w:trPr>
          <w:trHeight w:val="220"/>
        </w:trPr>
        <w:tc>
          <w:tcPr>
            <w:tcW w:w="4320" w:type="dxa"/>
            <w:gridSpan w:val="3"/>
            <w:tcBorders>
              <w:top w:val="nil"/>
              <w:left w:val="nil"/>
              <w:bottom w:val="nil"/>
              <w:right w:val="nil"/>
            </w:tcBorders>
            <w:vAlign w:val="bottom"/>
          </w:tcPr>
          <w:p w14:paraId="1DA8DF8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72946C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31818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EB1F09F" w14:textId="77777777" w:rsidTr="009501B5">
        <w:trPr>
          <w:trHeight w:val="220"/>
        </w:trPr>
        <w:tc>
          <w:tcPr>
            <w:tcW w:w="5470" w:type="dxa"/>
            <w:gridSpan w:val="4"/>
            <w:tcBorders>
              <w:top w:val="nil"/>
              <w:left w:val="nil"/>
              <w:bottom w:val="nil"/>
              <w:right w:val="nil"/>
            </w:tcBorders>
            <w:vAlign w:val="bottom"/>
          </w:tcPr>
          <w:p w14:paraId="1F29783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34</w:t>
            </w:r>
          </w:p>
        </w:tc>
        <w:tc>
          <w:tcPr>
            <w:tcW w:w="950" w:type="dxa"/>
            <w:tcBorders>
              <w:top w:val="nil"/>
              <w:left w:val="nil"/>
              <w:bottom w:val="nil"/>
              <w:right w:val="nil"/>
            </w:tcBorders>
            <w:vAlign w:val="bottom"/>
          </w:tcPr>
          <w:p w14:paraId="14F5A4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B512536" w14:textId="77777777" w:rsidTr="009501B5">
        <w:trPr>
          <w:trHeight w:hRule="exact" w:val="88"/>
        </w:trPr>
        <w:tc>
          <w:tcPr>
            <w:tcW w:w="2120" w:type="dxa"/>
            <w:tcBorders>
              <w:top w:val="nil"/>
              <w:left w:val="nil"/>
              <w:bottom w:val="double" w:sz="6" w:space="2" w:color="auto"/>
              <w:right w:val="nil"/>
            </w:tcBorders>
            <w:vAlign w:val="bottom"/>
          </w:tcPr>
          <w:p w14:paraId="7B68C3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D1C1BE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A6677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7F238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2769C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99720B4" w14:textId="77777777" w:rsidTr="009501B5">
        <w:trPr>
          <w:trHeight w:hRule="exact" w:val="132"/>
        </w:trPr>
        <w:tc>
          <w:tcPr>
            <w:tcW w:w="2120" w:type="dxa"/>
            <w:tcBorders>
              <w:top w:val="nil"/>
              <w:left w:val="nil"/>
              <w:bottom w:val="nil"/>
              <w:right w:val="nil"/>
            </w:tcBorders>
            <w:vAlign w:val="bottom"/>
          </w:tcPr>
          <w:p w14:paraId="030D66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4222D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E2C91D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EE391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B5EA9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B1EFC00" w14:textId="77777777" w:rsidTr="009501B5">
        <w:trPr>
          <w:trHeight w:val="220"/>
        </w:trPr>
        <w:tc>
          <w:tcPr>
            <w:tcW w:w="6420" w:type="dxa"/>
            <w:gridSpan w:val="5"/>
            <w:tcBorders>
              <w:top w:val="nil"/>
              <w:left w:val="nil"/>
              <w:bottom w:val="nil"/>
              <w:right w:val="nil"/>
            </w:tcBorders>
            <w:vAlign w:val="bottom"/>
          </w:tcPr>
          <w:p w14:paraId="25CE6C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388042C9" w14:textId="77777777" w:rsidTr="009501B5">
        <w:trPr>
          <w:trHeight w:hRule="exact" w:val="88"/>
        </w:trPr>
        <w:tc>
          <w:tcPr>
            <w:tcW w:w="2120" w:type="dxa"/>
            <w:tcBorders>
              <w:top w:val="nil"/>
              <w:left w:val="nil"/>
              <w:bottom w:val="double" w:sz="6" w:space="2" w:color="auto"/>
              <w:right w:val="nil"/>
            </w:tcBorders>
            <w:vAlign w:val="bottom"/>
          </w:tcPr>
          <w:p w14:paraId="6EB687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B6FC1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95298D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0BF35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263C4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9F64735" w14:textId="77777777" w:rsidTr="009501B5">
        <w:trPr>
          <w:trHeight w:hRule="exact" w:val="132"/>
        </w:trPr>
        <w:tc>
          <w:tcPr>
            <w:tcW w:w="2120" w:type="dxa"/>
            <w:tcBorders>
              <w:top w:val="nil"/>
              <w:left w:val="nil"/>
              <w:bottom w:val="nil"/>
              <w:right w:val="nil"/>
            </w:tcBorders>
            <w:vAlign w:val="bottom"/>
          </w:tcPr>
          <w:p w14:paraId="2B8ED9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23EFF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5D042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9245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38394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26631EB" w14:textId="77777777" w:rsidTr="009501B5">
        <w:trPr>
          <w:trHeight w:val="220"/>
        </w:trPr>
        <w:tc>
          <w:tcPr>
            <w:tcW w:w="2120" w:type="dxa"/>
            <w:tcBorders>
              <w:top w:val="nil"/>
              <w:left w:val="nil"/>
              <w:bottom w:val="nil"/>
              <w:right w:val="nil"/>
            </w:tcBorders>
            <w:vAlign w:val="bottom"/>
          </w:tcPr>
          <w:p w14:paraId="081697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65B126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5821E83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27D54CE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3CF4477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63D5CD61" w14:textId="77777777" w:rsidTr="009501B5">
        <w:trPr>
          <w:trHeight w:hRule="exact" w:val="88"/>
        </w:trPr>
        <w:tc>
          <w:tcPr>
            <w:tcW w:w="2120" w:type="dxa"/>
            <w:tcBorders>
              <w:top w:val="nil"/>
              <w:left w:val="nil"/>
              <w:bottom w:val="double" w:sz="6" w:space="2" w:color="auto"/>
              <w:right w:val="nil"/>
            </w:tcBorders>
            <w:vAlign w:val="bottom"/>
          </w:tcPr>
          <w:p w14:paraId="2595B2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AF75A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E5011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0C385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7DF7D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AF33A04" w14:textId="77777777" w:rsidTr="009501B5">
        <w:trPr>
          <w:trHeight w:hRule="exact" w:val="132"/>
        </w:trPr>
        <w:tc>
          <w:tcPr>
            <w:tcW w:w="2120" w:type="dxa"/>
            <w:tcBorders>
              <w:top w:val="nil"/>
              <w:left w:val="nil"/>
              <w:bottom w:val="nil"/>
              <w:right w:val="nil"/>
            </w:tcBorders>
            <w:vAlign w:val="bottom"/>
          </w:tcPr>
          <w:p w14:paraId="1C34F21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638D6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D99B8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45439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53F5D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6F2474B" w14:textId="77777777" w:rsidTr="009501B5">
        <w:trPr>
          <w:trHeight w:val="220"/>
        </w:trPr>
        <w:tc>
          <w:tcPr>
            <w:tcW w:w="2120" w:type="dxa"/>
            <w:tcBorders>
              <w:top w:val="nil"/>
              <w:left w:val="nil"/>
              <w:bottom w:val="nil"/>
              <w:right w:val="nil"/>
            </w:tcBorders>
            <w:vAlign w:val="bottom"/>
          </w:tcPr>
          <w:p w14:paraId="000573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6C30FE7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-1.826117</w:t>
            </w:r>
          </w:p>
        </w:tc>
        <w:tc>
          <w:tcPr>
            <w:tcW w:w="1150" w:type="dxa"/>
            <w:tcBorders>
              <w:top w:val="nil"/>
              <w:left w:val="nil"/>
              <w:bottom w:val="nil"/>
              <w:right w:val="nil"/>
            </w:tcBorders>
            <w:vAlign w:val="bottom"/>
          </w:tcPr>
          <w:p w14:paraId="2E9DF5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2.076983</w:t>
            </w:r>
          </w:p>
        </w:tc>
        <w:tc>
          <w:tcPr>
            <w:tcW w:w="1150" w:type="dxa"/>
            <w:tcBorders>
              <w:top w:val="nil"/>
              <w:left w:val="nil"/>
              <w:bottom w:val="nil"/>
              <w:right w:val="nil"/>
            </w:tcBorders>
            <w:vAlign w:val="bottom"/>
          </w:tcPr>
          <w:p w14:paraId="7CE28C1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-0.879216</w:t>
            </w:r>
          </w:p>
        </w:tc>
        <w:tc>
          <w:tcPr>
            <w:tcW w:w="950" w:type="dxa"/>
            <w:tcBorders>
              <w:top w:val="nil"/>
              <w:left w:val="nil"/>
              <w:bottom w:val="nil"/>
              <w:right w:val="nil"/>
            </w:tcBorders>
            <w:vAlign w:val="bottom"/>
          </w:tcPr>
          <w:p w14:paraId="1A248A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0.3877</w:t>
            </w:r>
          </w:p>
        </w:tc>
      </w:tr>
      <w:tr w:rsidR="00EA38DE" w:rsidRPr="00EA38DE" w14:paraId="1FDD11EA" w14:textId="77777777" w:rsidTr="009501B5">
        <w:trPr>
          <w:trHeight w:val="220"/>
        </w:trPr>
        <w:tc>
          <w:tcPr>
            <w:tcW w:w="2120" w:type="dxa"/>
            <w:tcBorders>
              <w:top w:val="nil"/>
              <w:left w:val="nil"/>
              <w:bottom w:val="nil"/>
              <w:right w:val="nil"/>
            </w:tcBorders>
            <w:vAlign w:val="bottom"/>
          </w:tcPr>
          <w:p w14:paraId="17A5CD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LSHPC(-1)*</w:t>
            </w:r>
          </w:p>
        </w:tc>
        <w:tc>
          <w:tcPr>
            <w:tcW w:w="1050" w:type="dxa"/>
            <w:tcBorders>
              <w:top w:val="nil"/>
              <w:left w:val="nil"/>
              <w:bottom w:val="nil"/>
              <w:right w:val="nil"/>
            </w:tcBorders>
            <w:vAlign w:val="bottom"/>
          </w:tcPr>
          <w:p w14:paraId="4ECE7AF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-0.285658</w:t>
            </w:r>
          </w:p>
        </w:tc>
        <w:tc>
          <w:tcPr>
            <w:tcW w:w="1150" w:type="dxa"/>
            <w:tcBorders>
              <w:top w:val="nil"/>
              <w:left w:val="nil"/>
              <w:bottom w:val="nil"/>
              <w:right w:val="nil"/>
            </w:tcBorders>
            <w:vAlign w:val="bottom"/>
          </w:tcPr>
          <w:p w14:paraId="625061F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0.126400</w:t>
            </w:r>
          </w:p>
        </w:tc>
        <w:tc>
          <w:tcPr>
            <w:tcW w:w="1150" w:type="dxa"/>
            <w:tcBorders>
              <w:top w:val="nil"/>
              <w:left w:val="nil"/>
              <w:bottom w:val="nil"/>
              <w:right w:val="nil"/>
            </w:tcBorders>
            <w:vAlign w:val="bottom"/>
          </w:tcPr>
          <w:p w14:paraId="40CC4E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-2.259953</w:t>
            </w:r>
          </w:p>
        </w:tc>
        <w:tc>
          <w:tcPr>
            <w:tcW w:w="950" w:type="dxa"/>
            <w:tcBorders>
              <w:top w:val="nil"/>
              <w:left w:val="nil"/>
              <w:bottom w:val="nil"/>
              <w:right w:val="nil"/>
            </w:tcBorders>
            <w:vAlign w:val="bottom"/>
          </w:tcPr>
          <w:p w14:paraId="78F310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0.0328</w:t>
            </w:r>
          </w:p>
        </w:tc>
      </w:tr>
      <w:tr w:rsidR="00EA38DE" w:rsidRPr="00EA38DE" w14:paraId="153FB9E9" w14:textId="77777777" w:rsidTr="009501B5">
        <w:trPr>
          <w:trHeight w:val="220"/>
        </w:trPr>
        <w:tc>
          <w:tcPr>
            <w:tcW w:w="2120" w:type="dxa"/>
            <w:tcBorders>
              <w:top w:val="nil"/>
              <w:left w:val="nil"/>
              <w:bottom w:val="nil"/>
              <w:right w:val="nil"/>
            </w:tcBorders>
            <w:vAlign w:val="bottom"/>
          </w:tcPr>
          <w:p w14:paraId="7F0512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EXRTF(-1)</w:t>
            </w:r>
          </w:p>
        </w:tc>
        <w:tc>
          <w:tcPr>
            <w:tcW w:w="1050" w:type="dxa"/>
            <w:tcBorders>
              <w:top w:val="nil"/>
              <w:left w:val="nil"/>
              <w:bottom w:val="nil"/>
              <w:right w:val="nil"/>
            </w:tcBorders>
            <w:vAlign w:val="bottom"/>
          </w:tcPr>
          <w:p w14:paraId="009BFB1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-0.002427</w:t>
            </w:r>
          </w:p>
        </w:tc>
        <w:tc>
          <w:tcPr>
            <w:tcW w:w="1150" w:type="dxa"/>
            <w:tcBorders>
              <w:top w:val="nil"/>
              <w:left w:val="nil"/>
              <w:bottom w:val="nil"/>
              <w:right w:val="nil"/>
            </w:tcBorders>
            <w:vAlign w:val="bottom"/>
          </w:tcPr>
          <w:p w14:paraId="7AFBDF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0.000799</w:t>
            </w:r>
          </w:p>
        </w:tc>
        <w:tc>
          <w:tcPr>
            <w:tcW w:w="1150" w:type="dxa"/>
            <w:tcBorders>
              <w:top w:val="nil"/>
              <w:left w:val="nil"/>
              <w:bottom w:val="nil"/>
              <w:right w:val="nil"/>
            </w:tcBorders>
            <w:vAlign w:val="bottom"/>
          </w:tcPr>
          <w:p w14:paraId="2BB40BD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-3.037154</w:t>
            </w:r>
          </w:p>
        </w:tc>
        <w:tc>
          <w:tcPr>
            <w:tcW w:w="950" w:type="dxa"/>
            <w:tcBorders>
              <w:top w:val="nil"/>
              <w:left w:val="nil"/>
              <w:bottom w:val="nil"/>
              <w:right w:val="nil"/>
            </w:tcBorders>
            <w:vAlign w:val="bottom"/>
          </w:tcPr>
          <w:p w14:paraId="3536E01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0.0055</w:t>
            </w:r>
          </w:p>
        </w:tc>
      </w:tr>
      <w:tr w:rsidR="00EA38DE" w:rsidRPr="00EA38DE" w14:paraId="44C2D565" w14:textId="77777777" w:rsidTr="009501B5">
        <w:trPr>
          <w:trHeight w:val="220"/>
        </w:trPr>
        <w:tc>
          <w:tcPr>
            <w:tcW w:w="2120" w:type="dxa"/>
            <w:tcBorders>
              <w:top w:val="nil"/>
              <w:left w:val="nil"/>
              <w:bottom w:val="nil"/>
              <w:right w:val="nil"/>
            </w:tcBorders>
            <w:vAlign w:val="bottom"/>
          </w:tcPr>
          <w:p w14:paraId="48CBD4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4E975C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0.001094</w:t>
            </w:r>
          </w:p>
        </w:tc>
        <w:tc>
          <w:tcPr>
            <w:tcW w:w="1150" w:type="dxa"/>
            <w:tcBorders>
              <w:top w:val="nil"/>
              <w:left w:val="nil"/>
              <w:bottom w:val="nil"/>
              <w:right w:val="nil"/>
            </w:tcBorders>
            <w:vAlign w:val="bottom"/>
          </w:tcPr>
          <w:p w14:paraId="1FB5FDA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0.001870</w:t>
            </w:r>
          </w:p>
        </w:tc>
        <w:tc>
          <w:tcPr>
            <w:tcW w:w="1150" w:type="dxa"/>
            <w:tcBorders>
              <w:top w:val="nil"/>
              <w:left w:val="nil"/>
              <w:bottom w:val="nil"/>
              <w:right w:val="nil"/>
            </w:tcBorders>
            <w:vAlign w:val="bottom"/>
          </w:tcPr>
          <w:p w14:paraId="23D1F6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0.585123</w:t>
            </w:r>
          </w:p>
        </w:tc>
        <w:tc>
          <w:tcPr>
            <w:tcW w:w="950" w:type="dxa"/>
            <w:tcBorders>
              <w:top w:val="nil"/>
              <w:left w:val="nil"/>
              <w:bottom w:val="nil"/>
              <w:right w:val="nil"/>
            </w:tcBorders>
            <w:vAlign w:val="bottom"/>
          </w:tcPr>
          <w:p w14:paraId="48D8EB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0.5637</w:t>
            </w:r>
          </w:p>
        </w:tc>
      </w:tr>
      <w:tr w:rsidR="00EA38DE" w:rsidRPr="00EA38DE" w14:paraId="0A2AEF8C" w14:textId="77777777" w:rsidTr="009501B5">
        <w:trPr>
          <w:trHeight w:val="220"/>
        </w:trPr>
        <w:tc>
          <w:tcPr>
            <w:tcW w:w="2120" w:type="dxa"/>
            <w:tcBorders>
              <w:top w:val="nil"/>
              <w:left w:val="nil"/>
              <w:bottom w:val="nil"/>
              <w:right w:val="nil"/>
            </w:tcBorders>
            <w:vAlign w:val="bottom"/>
          </w:tcPr>
          <w:p w14:paraId="018158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LLAB(-1)</w:t>
            </w:r>
          </w:p>
        </w:tc>
        <w:tc>
          <w:tcPr>
            <w:tcW w:w="1050" w:type="dxa"/>
            <w:tcBorders>
              <w:top w:val="nil"/>
              <w:left w:val="nil"/>
              <w:bottom w:val="nil"/>
              <w:right w:val="nil"/>
            </w:tcBorders>
            <w:vAlign w:val="bottom"/>
          </w:tcPr>
          <w:p w14:paraId="5A2A84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0.588183</w:t>
            </w:r>
          </w:p>
        </w:tc>
        <w:tc>
          <w:tcPr>
            <w:tcW w:w="1150" w:type="dxa"/>
            <w:tcBorders>
              <w:top w:val="nil"/>
              <w:left w:val="nil"/>
              <w:bottom w:val="nil"/>
              <w:right w:val="nil"/>
            </w:tcBorders>
            <w:vAlign w:val="bottom"/>
          </w:tcPr>
          <w:p w14:paraId="2C38441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0.196824</w:t>
            </w:r>
          </w:p>
        </w:tc>
        <w:tc>
          <w:tcPr>
            <w:tcW w:w="1150" w:type="dxa"/>
            <w:tcBorders>
              <w:top w:val="nil"/>
              <w:left w:val="nil"/>
              <w:bottom w:val="nil"/>
              <w:right w:val="nil"/>
            </w:tcBorders>
            <w:vAlign w:val="bottom"/>
          </w:tcPr>
          <w:p w14:paraId="05990CF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2.988374</w:t>
            </w:r>
          </w:p>
        </w:tc>
        <w:tc>
          <w:tcPr>
            <w:tcW w:w="950" w:type="dxa"/>
            <w:tcBorders>
              <w:top w:val="nil"/>
              <w:left w:val="nil"/>
              <w:bottom w:val="nil"/>
              <w:right w:val="nil"/>
            </w:tcBorders>
            <w:vAlign w:val="bottom"/>
          </w:tcPr>
          <w:p w14:paraId="5B91F9D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0.0062</w:t>
            </w:r>
          </w:p>
        </w:tc>
      </w:tr>
      <w:tr w:rsidR="00EA38DE" w:rsidRPr="00EA38DE" w14:paraId="5880AD80" w14:textId="77777777" w:rsidTr="009501B5">
        <w:trPr>
          <w:trHeight w:val="220"/>
        </w:trPr>
        <w:tc>
          <w:tcPr>
            <w:tcW w:w="2120" w:type="dxa"/>
            <w:tcBorders>
              <w:top w:val="nil"/>
              <w:left w:val="nil"/>
              <w:bottom w:val="nil"/>
              <w:right w:val="nil"/>
            </w:tcBorders>
            <w:vAlign w:val="bottom"/>
          </w:tcPr>
          <w:p w14:paraId="2C348F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77609A3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-0.048632</w:t>
            </w:r>
          </w:p>
        </w:tc>
        <w:tc>
          <w:tcPr>
            <w:tcW w:w="1150" w:type="dxa"/>
            <w:tcBorders>
              <w:top w:val="nil"/>
              <w:left w:val="nil"/>
              <w:bottom w:val="nil"/>
              <w:right w:val="nil"/>
            </w:tcBorders>
            <w:vAlign w:val="bottom"/>
          </w:tcPr>
          <w:p w14:paraId="500A49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0.041277</w:t>
            </w:r>
          </w:p>
        </w:tc>
        <w:tc>
          <w:tcPr>
            <w:tcW w:w="1150" w:type="dxa"/>
            <w:tcBorders>
              <w:top w:val="nil"/>
              <w:left w:val="nil"/>
              <w:bottom w:val="nil"/>
              <w:right w:val="nil"/>
            </w:tcBorders>
            <w:vAlign w:val="bottom"/>
          </w:tcPr>
          <w:p w14:paraId="35AE47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-1.178185</w:t>
            </w:r>
          </w:p>
        </w:tc>
        <w:tc>
          <w:tcPr>
            <w:tcW w:w="950" w:type="dxa"/>
            <w:tcBorders>
              <w:top w:val="nil"/>
              <w:left w:val="nil"/>
              <w:bottom w:val="nil"/>
              <w:right w:val="nil"/>
            </w:tcBorders>
            <w:vAlign w:val="bottom"/>
          </w:tcPr>
          <w:p w14:paraId="79F5746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0.2498</w:t>
            </w:r>
          </w:p>
        </w:tc>
      </w:tr>
      <w:tr w:rsidR="00EA38DE" w:rsidRPr="00EA38DE" w14:paraId="5D2AAABF" w14:textId="77777777" w:rsidTr="009501B5">
        <w:trPr>
          <w:trHeight w:val="220"/>
        </w:trPr>
        <w:tc>
          <w:tcPr>
            <w:tcW w:w="2120" w:type="dxa"/>
            <w:tcBorders>
              <w:top w:val="nil"/>
              <w:left w:val="nil"/>
              <w:bottom w:val="nil"/>
              <w:right w:val="nil"/>
            </w:tcBorders>
            <w:vAlign w:val="bottom"/>
          </w:tcPr>
          <w:p w14:paraId="5B8CE5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D(EXRTF)</w:t>
            </w:r>
          </w:p>
        </w:tc>
        <w:tc>
          <w:tcPr>
            <w:tcW w:w="1050" w:type="dxa"/>
            <w:tcBorders>
              <w:top w:val="nil"/>
              <w:left w:val="nil"/>
              <w:bottom w:val="nil"/>
              <w:right w:val="nil"/>
            </w:tcBorders>
            <w:vAlign w:val="bottom"/>
          </w:tcPr>
          <w:p w14:paraId="475FD04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-0.001066</w:t>
            </w:r>
          </w:p>
        </w:tc>
        <w:tc>
          <w:tcPr>
            <w:tcW w:w="1150" w:type="dxa"/>
            <w:tcBorders>
              <w:top w:val="nil"/>
              <w:left w:val="nil"/>
              <w:bottom w:val="nil"/>
              <w:right w:val="nil"/>
            </w:tcBorders>
            <w:vAlign w:val="bottom"/>
          </w:tcPr>
          <w:p w14:paraId="41C55A6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0.000599</w:t>
            </w:r>
          </w:p>
        </w:tc>
        <w:tc>
          <w:tcPr>
            <w:tcW w:w="1150" w:type="dxa"/>
            <w:tcBorders>
              <w:top w:val="nil"/>
              <w:left w:val="nil"/>
              <w:bottom w:val="nil"/>
              <w:right w:val="nil"/>
            </w:tcBorders>
            <w:vAlign w:val="bottom"/>
          </w:tcPr>
          <w:p w14:paraId="4B2A06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-1.778262</w:t>
            </w:r>
          </w:p>
        </w:tc>
        <w:tc>
          <w:tcPr>
            <w:tcW w:w="950" w:type="dxa"/>
            <w:tcBorders>
              <w:top w:val="nil"/>
              <w:left w:val="nil"/>
              <w:bottom w:val="nil"/>
              <w:right w:val="nil"/>
            </w:tcBorders>
            <w:vAlign w:val="bottom"/>
          </w:tcPr>
          <w:p w14:paraId="2656709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0.0875</w:t>
            </w:r>
          </w:p>
        </w:tc>
      </w:tr>
      <w:tr w:rsidR="00EA38DE" w:rsidRPr="00EA38DE" w14:paraId="37A29B99" w14:textId="77777777" w:rsidTr="009501B5">
        <w:trPr>
          <w:trHeight w:val="220"/>
        </w:trPr>
        <w:tc>
          <w:tcPr>
            <w:tcW w:w="2120" w:type="dxa"/>
            <w:tcBorders>
              <w:top w:val="nil"/>
              <w:left w:val="nil"/>
              <w:bottom w:val="nil"/>
              <w:right w:val="nil"/>
            </w:tcBorders>
            <w:vAlign w:val="bottom"/>
          </w:tcPr>
          <w:p w14:paraId="48E543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1E5463C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10.57180</w:t>
            </w:r>
          </w:p>
        </w:tc>
        <w:tc>
          <w:tcPr>
            <w:tcW w:w="1150" w:type="dxa"/>
            <w:tcBorders>
              <w:top w:val="nil"/>
              <w:left w:val="nil"/>
              <w:bottom w:val="nil"/>
              <w:right w:val="nil"/>
            </w:tcBorders>
            <w:vAlign w:val="bottom"/>
          </w:tcPr>
          <w:p w14:paraId="26848B9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5.401442</w:t>
            </w:r>
          </w:p>
        </w:tc>
        <w:tc>
          <w:tcPr>
            <w:tcW w:w="1150" w:type="dxa"/>
            <w:tcBorders>
              <w:top w:val="nil"/>
              <w:left w:val="nil"/>
              <w:bottom w:val="nil"/>
              <w:right w:val="nil"/>
            </w:tcBorders>
            <w:vAlign w:val="bottom"/>
          </w:tcPr>
          <w:p w14:paraId="45EC89A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1.957218</w:t>
            </w:r>
          </w:p>
        </w:tc>
        <w:tc>
          <w:tcPr>
            <w:tcW w:w="950" w:type="dxa"/>
            <w:tcBorders>
              <w:top w:val="nil"/>
              <w:left w:val="nil"/>
              <w:bottom w:val="nil"/>
              <w:right w:val="nil"/>
            </w:tcBorders>
            <w:vAlign w:val="bottom"/>
          </w:tcPr>
          <w:p w14:paraId="1E68DAE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0.0616</w:t>
            </w:r>
          </w:p>
        </w:tc>
      </w:tr>
      <w:tr w:rsidR="00EA38DE" w:rsidRPr="00EA38DE" w14:paraId="301B5F00" w14:textId="77777777" w:rsidTr="009501B5">
        <w:trPr>
          <w:trHeight w:hRule="exact" w:val="88"/>
        </w:trPr>
        <w:tc>
          <w:tcPr>
            <w:tcW w:w="2120" w:type="dxa"/>
            <w:tcBorders>
              <w:top w:val="nil"/>
              <w:left w:val="nil"/>
              <w:bottom w:val="double" w:sz="6" w:space="2" w:color="auto"/>
              <w:right w:val="nil"/>
            </w:tcBorders>
            <w:vAlign w:val="bottom"/>
          </w:tcPr>
          <w:p w14:paraId="743801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3A1E2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488E6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2EEF3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3FA30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A5586C3" w14:textId="77777777" w:rsidTr="009501B5">
        <w:trPr>
          <w:trHeight w:hRule="exact" w:val="132"/>
        </w:trPr>
        <w:tc>
          <w:tcPr>
            <w:tcW w:w="2120" w:type="dxa"/>
            <w:tcBorders>
              <w:top w:val="nil"/>
              <w:left w:val="nil"/>
              <w:bottom w:val="nil"/>
              <w:right w:val="nil"/>
            </w:tcBorders>
            <w:vAlign w:val="bottom"/>
          </w:tcPr>
          <w:p w14:paraId="25184D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06F8F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2E672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DC55B4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74A59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FD70B6D" w14:textId="77777777" w:rsidTr="009501B5">
        <w:trPr>
          <w:trHeight w:val="220"/>
        </w:trPr>
        <w:tc>
          <w:tcPr>
            <w:tcW w:w="6420" w:type="dxa"/>
            <w:gridSpan w:val="5"/>
            <w:tcBorders>
              <w:top w:val="nil"/>
              <w:left w:val="nil"/>
              <w:bottom w:val="nil"/>
              <w:right w:val="nil"/>
            </w:tcBorders>
            <w:vAlign w:val="bottom"/>
          </w:tcPr>
          <w:p w14:paraId="7E1FAA5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3BE89293" w14:textId="77777777" w:rsidTr="009501B5">
        <w:trPr>
          <w:trHeight w:val="220"/>
        </w:trPr>
        <w:tc>
          <w:tcPr>
            <w:tcW w:w="6420" w:type="dxa"/>
            <w:gridSpan w:val="5"/>
            <w:tcBorders>
              <w:top w:val="nil"/>
              <w:left w:val="nil"/>
              <w:bottom w:val="nil"/>
              <w:right w:val="nil"/>
            </w:tcBorders>
            <w:vAlign w:val="bottom"/>
          </w:tcPr>
          <w:p w14:paraId="17DE081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Variable interpreted as Z = Z(-1) + D(Z).</w:t>
            </w:r>
          </w:p>
        </w:tc>
      </w:tr>
      <w:tr w:rsidR="00EA38DE" w:rsidRPr="00EA38DE" w14:paraId="6824B3F6" w14:textId="77777777" w:rsidTr="009501B5">
        <w:trPr>
          <w:trHeight w:val="220"/>
        </w:trPr>
        <w:tc>
          <w:tcPr>
            <w:tcW w:w="2120" w:type="dxa"/>
            <w:tcBorders>
              <w:top w:val="nil"/>
              <w:left w:val="nil"/>
              <w:bottom w:val="nil"/>
              <w:right w:val="nil"/>
            </w:tcBorders>
            <w:vAlign w:val="bottom"/>
          </w:tcPr>
          <w:p w14:paraId="644BEA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F7B3B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5B88B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3C162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CF042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A202568" w14:textId="77777777" w:rsidTr="009501B5">
        <w:trPr>
          <w:trHeight w:hRule="exact" w:val="88"/>
        </w:trPr>
        <w:tc>
          <w:tcPr>
            <w:tcW w:w="2120" w:type="dxa"/>
            <w:tcBorders>
              <w:top w:val="nil"/>
              <w:left w:val="nil"/>
              <w:bottom w:val="double" w:sz="6" w:space="2" w:color="auto"/>
              <w:right w:val="nil"/>
            </w:tcBorders>
            <w:vAlign w:val="bottom"/>
          </w:tcPr>
          <w:p w14:paraId="6318E0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C648D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8A6A3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BE037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3AE8B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C6EA00D" w14:textId="77777777" w:rsidTr="009501B5">
        <w:trPr>
          <w:trHeight w:hRule="exact" w:val="132"/>
        </w:trPr>
        <w:tc>
          <w:tcPr>
            <w:tcW w:w="2120" w:type="dxa"/>
            <w:tcBorders>
              <w:top w:val="nil"/>
              <w:left w:val="nil"/>
              <w:bottom w:val="nil"/>
              <w:right w:val="nil"/>
            </w:tcBorders>
            <w:vAlign w:val="bottom"/>
          </w:tcPr>
          <w:p w14:paraId="3E47F1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91627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2004F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0F44F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79078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5D0C7EB" w14:textId="77777777" w:rsidTr="009501B5">
        <w:trPr>
          <w:trHeight w:val="220"/>
        </w:trPr>
        <w:tc>
          <w:tcPr>
            <w:tcW w:w="6420" w:type="dxa"/>
            <w:gridSpan w:val="5"/>
            <w:tcBorders>
              <w:top w:val="nil"/>
              <w:left w:val="nil"/>
              <w:bottom w:val="nil"/>
              <w:right w:val="nil"/>
            </w:tcBorders>
            <w:vAlign w:val="bottom"/>
          </w:tcPr>
          <w:p w14:paraId="6AFF0E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1983E554" w14:textId="77777777" w:rsidTr="009501B5">
        <w:trPr>
          <w:trHeight w:val="220"/>
        </w:trPr>
        <w:tc>
          <w:tcPr>
            <w:tcW w:w="6420" w:type="dxa"/>
            <w:gridSpan w:val="5"/>
            <w:tcBorders>
              <w:top w:val="nil"/>
              <w:left w:val="nil"/>
              <w:bottom w:val="nil"/>
              <w:right w:val="nil"/>
            </w:tcBorders>
            <w:vAlign w:val="bottom"/>
          </w:tcPr>
          <w:p w14:paraId="459252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0D150F44" w14:textId="77777777" w:rsidTr="009501B5">
        <w:trPr>
          <w:trHeight w:hRule="exact" w:val="88"/>
        </w:trPr>
        <w:tc>
          <w:tcPr>
            <w:tcW w:w="2120" w:type="dxa"/>
            <w:tcBorders>
              <w:top w:val="nil"/>
              <w:left w:val="nil"/>
              <w:bottom w:val="double" w:sz="6" w:space="2" w:color="auto"/>
              <w:right w:val="nil"/>
            </w:tcBorders>
            <w:vAlign w:val="bottom"/>
          </w:tcPr>
          <w:p w14:paraId="740186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99E5F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BC2FF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2BE92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40DB6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D2D39EE" w14:textId="77777777" w:rsidTr="009501B5">
        <w:trPr>
          <w:trHeight w:hRule="exact" w:val="132"/>
        </w:trPr>
        <w:tc>
          <w:tcPr>
            <w:tcW w:w="2120" w:type="dxa"/>
            <w:tcBorders>
              <w:top w:val="nil"/>
              <w:left w:val="nil"/>
              <w:bottom w:val="nil"/>
              <w:right w:val="nil"/>
            </w:tcBorders>
            <w:vAlign w:val="bottom"/>
          </w:tcPr>
          <w:p w14:paraId="7BF753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A5137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8C985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60805D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CD4DC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97696FA" w14:textId="77777777" w:rsidTr="009501B5">
        <w:trPr>
          <w:trHeight w:val="220"/>
        </w:trPr>
        <w:tc>
          <w:tcPr>
            <w:tcW w:w="2120" w:type="dxa"/>
            <w:tcBorders>
              <w:top w:val="nil"/>
              <w:left w:val="nil"/>
              <w:bottom w:val="nil"/>
              <w:right w:val="nil"/>
            </w:tcBorders>
            <w:vAlign w:val="bottom"/>
          </w:tcPr>
          <w:p w14:paraId="7B144F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553FAA2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067086B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25EC28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6FD27F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0804ADB1" w14:textId="77777777" w:rsidTr="009501B5">
        <w:trPr>
          <w:trHeight w:hRule="exact" w:val="88"/>
        </w:trPr>
        <w:tc>
          <w:tcPr>
            <w:tcW w:w="2120" w:type="dxa"/>
            <w:tcBorders>
              <w:top w:val="nil"/>
              <w:left w:val="nil"/>
              <w:bottom w:val="double" w:sz="6" w:space="2" w:color="auto"/>
              <w:right w:val="nil"/>
            </w:tcBorders>
            <w:vAlign w:val="bottom"/>
          </w:tcPr>
          <w:p w14:paraId="558AF9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F87B1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3B866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43AA9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9972F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7467D7D" w14:textId="77777777" w:rsidTr="009501B5">
        <w:trPr>
          <w:trHeight w:hRule="exact" w:val="132"/>
        </w:trPr>
        <w:tc>
          <w:tcPr>
            <w:tcW w:w="2120" w:type="dxa"/>
            <w:tcBorders>
              <w:top w:val="nil"/>
              <w:left w:val="nil"/>
              <w:bottom w:val="nil"/>
              <w:right w:val="nil"/>
            </w:tcBorders>
            <w:vAlign w:val="bottom"/>
          </w:tcPr>
          <w:p w14:paraId="368821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F75B4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A3DE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6A7290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5DDC1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A6170BC" w14:textId="77777777" w:rsidTr="009501B5">
        <w:trPr>
          <w:trHeight w:val="220"/>
        </w:trPr>
        <w:tc>
          <w:tcPr>
            <w:tcW w:w="2120" w:type="dxa"/>
            <w:tcBorders>
              <w:top w:val="nil"/>
              <w:left w:val="nil"/>
              <w:bottom w:val="nil"/>
              <w:right w:val="nil"/>
            </w:tcBorders>
            <w:vAlign w:val="bottom"/>
          </w:tcPr>
          <w:p w14:paraId="2648F9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EXRTF</w:t>
            </w:r>
          </w:p>
        </w:tc>
        <w:tc>
          <w:tcPr>
            <w:tcW w:w="1050" w:type="dxa"/>
            <w:tcBorders>
              <w:top w:val="nil"/>
              <w:left w:val="nil"/>
              <w:bottom w:val="nil"/>
              <w:right w:val="nil"/>
            </w:tcBorders>
            <w:vAlign w:val="bottom"/>
          </w:tcPr>
          <w:p w14:paraId="58AAD6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-0.849518</w:t>
            </w:r>
          </w:p>
        </w:tc>
        <w:tc>
          <w:tcPr>
            <w:tcW w:w="1150" w:type="dxa"/>
            <w:tcBorders>
              <w:top w:val="nil"/>
              <w:left w:val="nil"/>
              <w:bottom w:val="nil"/>
              <w:right w:val="nil"/>
            </w:tcBorders>
            <w:vAlign w:val="bottom"/>
          </w:tcPr>
          <w:p w14:paraId="2CEBD95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0.425921</w:t>
            </w:r>
          </w:p>
        </w:tc>
        <w:tc>
          <w:tcPr>
            <w:tcW w:w="1150" w:type="dxa"/>
            <w:tcBorders>
              <w:top w:val="nil"/>
              <w:left w:val="nil"/>
              <w:bottom w:val="nil"/>
              <w:right w:val="nil"/>
            </w:tcBorders>
            <w:vAlign w:val="bottom"/>
          </w:tcPr>
          <w:p w14:paraId="6EFE574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-1.994435</w:t>
            </w:r>
          </w:p>
        </w:tc>
        <w:tc>
          <w:tcPr>
            <w:tcW w:w="950" w:type="dxa"/>
            <w:tcBorders>
              <w:top w:val="nil"/>
              <w:left w:val="nil"/>
              <w:bottom w:val="nil"/>
              <w:right w:val="nil"/>
            </w:tcBorders>
            <w:vAlign w:val="bottom"/>
          </w:tcPr>
          <w:p w14:paraId="2E67AC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0.0571</w:t>
            </w:r>
          </w:p>
        </w:tc>
      </w:tr>
      <w:tr w:rsidR="00EA38DE" w:rsidRPr="00EA38DE" w14:paraId="745677D3" w14:textId="77777777" w:rsidTr="009501B5">
        <w:trPr>
          <w:trHeight w:val="220"/>
        </w:trPr>
        <w:tc>
          <w:tcPr>
            <w:tcW w:w="2120" w:type="dxa"/>
            <w:tcBorders>
              <w:top w:val="nil"/>
              <w:left w:val="nil"/>
              <w:bottom w:val="nil"/>
              <w:right w:val="nil"/>
            </w:tcBorders>
            <w:vAlign w:val="bottom"/>
          </w:tcPr>
          <w:p w14:paraId="672ED3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0A721BD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0.003830</w:t>
            </w:r>
          </w:p>
        </w:tc>
        <w:tc>
          <w:tcPr>
            <w:tcW w:w="1150" w:type="dxa"/>
            <w:tcBorders>
              <w:top w:val="nil"/>
              <w:left w:val="nil"/>
              <w:bottom w:val="nil"/>
              <w:right w:val="nil"/>
            </w:tcBorders>
            <w:vAlign w:val="bottom"/>
          </w:tcPr>
          <w:p w14:paraId="56A2209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0.007004</w:t>
            </w:r>
          </w:p>
        </w:tc>
        <w:tc>
          <w:tcPr>
            <w:tcW w:w="1150" w:type="dxa"/>
            <w:tcBorders>
              <w:top w:val="nil"/>
              <w:left w:val="nil"/>
              <w:bottom w:val="nil"/>
              <w:right w:val="nil"/>
            </w:tcBorders>
            <w:vAlign w:val="bottom"/>
          </w:tcPr>
          <w:p w14:paraId="24C9A1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0.546808</w:t>
            </w:r>
          </w:p>
        </w:tc>
        <w:tc>
          <w:tcPr>
            <w:tcW w:w="950" w:type="dxa"/>
            <w:tcBorders>
              <w:top w:val="nil"/>
              <w:left w:val="nil"/>
              <w:bottom w:val="nil"/>
              <w:right w:val="nil"/>
            </w:tcBorders>
            <w:vAlign w:val="bottom"/>
          </w:tcPr>
          <w:p w14:paraId="6648078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0.5894</w:t>
            </w:r>
          </w:p>
        </w:tc>
      </w:tr>
      <w:tr w:rsidR="00EA38DE" w:rsidRPr="00EA38DE" w14:paraId="621C8DEC" w14:textId="77777777" w:rsidTr="009501B5">
        <w:trPr>
          <w:trHeight w:val="220"/>
        </w:trPr>
        <w:tc>
          <w:tcPr>
            <w:tcW w:w="2120" w:type="dxa"/>
            <w:tcBorders>
              <w:top w:val="nil"/>
              <w:left w:val="nil"/>
              <w:bottom w:val="nil"/>
              <w:right w:val="nil"/>
            </w:tcBorders>
            <w:vAlign w:val="bottom"/>
          </w:tcPr>
          <w:p w14:paraId="343FBE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0C6B083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2.059050</w:t>
            </w:r>
          </w:p>
        </w:tc>
        <w:tc>
          <w:tcPr>
            <w:tcW w:w="1150" w:type="dxa"/>
            <w:tcBorders>
              <w:top w:val="nil"/>
              <w:left w:val="nil"/>
              <w:bottom w:val="nil"/>
              <w:right w:val="nil"/>
            </w:tcBorders>
            <w:vAlign w:val="bottom"/>
          </w:tcPr>
          <w:p w14:paraId="0126D36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0.887514</w:t>
            </w:r>
          </w:p>
        </w:tc>
        <w:tc>
          <w:tcPr>
            <w:tcW w:w="1150" w:type="dxa"/>
            <w:tcBorders>
              <w:top w:val="nil"/>
              <w:left w:val="nil"/>
              <w:bottom w:val="nil"/>
              <w:right w:val="nil"/>
            </w:tcBorders>
            <w:vAlign w:val="bottom"/>
          </w:tcPr>
          <w:p w14:paraId="498859A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2.320020</w:t>
            </w:r>
          </w:p>
        </w:tc>
        <w:tc>
          <w:tcPr>
            <w:tcW w:w="950" w:type="dxa"/>
            <w:tcBorders>
              <w:top w:val="nil"/>
              <w:left w:val="nil"/>
              <w:bottom w:val="nil"/>
              <w:right w:val="nil"/>
            </w:tcBorders>
            <w:vAlign w:val="bottom"/>
          </w:tcPr>
          <w:p w14:paraId="0EE429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0.0288</w:t>
            </w:r>
          </w:p>
        </w:tc>
      </w:tr>
      <w:tr w:rsidR="00EA38DE" w:rsidRPr="00EA38DE" w14:paraId="77B52A39" w14:textId="77777777" w:rsidTr="009501B5">
        <w:trPr>
          <w:trHeight w:val="220"/>
        </w:trPr>
        <w:tc>
          <w:tcPr>
            <w:tcW w:w="2120" w:type="dxa"/>
            <w:tcBorders>
              <w:top w:val="nil"/>
              <w:left w:val="nil"/>
              <w:bottom w:val="nil"/>
              <w:right w:val="nil"/>
            </w:tcBorders>
            <w:vAlign w:val="bottom"/>
          </w:tcPr>
          <w:p w14:paraId="7C7D91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7845502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-0.170247</w:t>
            </w:r>
          </w:p>
        </w:tc>
        <w:tc>
          <w:tcPr>
            <w:tcW w:w="1150" w:type="dxa"/>
            <w:tcBorders>
              <w:top w:val="nil"/>
              <w:left w:val="nil"/>
              <w:bottom w:val="nil"/>
              <w:right w:val="nil"/>
            </w:tcBorders>
            <w:vAlign w:val="bottom"/>
          </w:tcPr>
          <w:p w14:paraId="1621775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0.098397</w:t>
            </w:r>
          </w:p>
        </w:tc>
        <w:tc>
          <w:tcPr>
            <w:tcW w:w="1150" w:type="dxa"/>
            <w:tcBorders>
              <w:top w:val="nil"/>
              <w:left w:val="nil"/>
              <w:bottom w:val="nil"/>
              <w:right w:val="nil"/>
            </w:tcBorders>
            <w:vAlign w:val="bottom"/>
          </w:tcPr>
          <w:p w14:paraId="1CEBDF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-1.730209</w:t>
            </w:r>
          </w:p>
        </w:tc>
        <w:tc>
          <w:tcPr>
            <w:tcW w:w="950" w:type="dxa"/>
            <w:tcBorders>
              <w:top w:val="nil"/>
              <w:left w:val="nil"/>
              <w:bottom w:val="nil"/>
              <w:right w:val="nil"/>
            </w:tcBorders>
            <w:vAlign w:val="bottom"/>
          </w:tcPr>
          <w:p w14:paraId="1FEA39B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0.0959</w:t>
            </w:r>
          </w:p>
        </w:tc>
      </w:tr>
      <w:tr w:rsidR="00EA38DE" w:rsidRPr="00EA38DE" w14:paraId="4E566425" w14:textId="77777777" w:rsidTr="009501B5">
        <w:trPr>
          <w:trHeight w:val="220"/>
        </w:trPr>
        <w:tc>
          <w:tcPr>
            <w:tcW w:w="2120" w:type="dxa"/>
            <w:tcBorders>
              <w:top w:val="nil"/>
              <w:left w:val="nil"/>
              <w:bottom w:val="nil"/>
              <w:right w:val="nil"/>
            </w:tcBorders>
            <w:vAlign w:val="bottom"/>
          </w:tcPr>
          <w:p w14:paraId="7C21B9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34D659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-6.392678</w:t>
            </w:r>
          </w:p>
        </w:tc>
        <w:tc>
          <w:tcPr>
            <w:tcW w:w="1150" w:type="dxa"/>
            <w:tcBorders>
              <w:top w:val="nil"/>
              <w:left w:val="nil"/>
              <w:bottom w:val="nil"/>
              <w:right w:val="nil"/>
            </w:tcBorders>
            <w:vAlign w:val="bottom"/>
          </w:tcPr>
          <w:p w14:paraId="1E40533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9.214131</w:t>
            </w:r>
          </w:p>
        </w:tc>
        <w:tc>
          <w:tcPr>
            <w:tcW w:w="1150" w:type="dxa"/>
            <w:tcBorders>
              <w:top w:val="nil"/>
              <w:left w:val="nil"/>
              <w:bottom w:val="nil"/>
              <w:right w:val="nil"/>
            </w:tcBorders>
            <w:vAlign w:val="bottom"/>
          </w:tcPr>
          <w:p w14:paraId="24C4FF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-0.693791</w:t>
            </w:r>
          </w:p>
        </w:tc>
        <w:tc>
          <w:tcPr>
            <w:tcW w:w="950" w:type="dxa"/>
            <w:tcBorders>
              <w:top w:val="nil"/>
              <w:left w:val="nil"/>
              <w:bottom w:val="nil"/>
              <w:right w:val="nil"/>
            </w:tcBorders>
            <w:vAlign w:val="bottom"/>
          </w:tcPr>
          <w:p w14:paraId="348ADD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0.4942</w:t>
            </w:r>
          </w:p>
        </w:tc>
      </w:tr>
      <w:tr w:rsidR="00EA38DE" w:rsidRPr="00EA38DE" w14:paraId="5577F354" w14:textId="77777777" w:rsidTr="009501B5">
        <w:trPr>
          <w:trHeight w:hRule="exact" w:val="88"/>
        </w:trPr>
        <w:tc>
          <w:tcPr>
            <w:tcW w:w="2120" w:type="dxa"/>
            <w:tcBorders>
              <w:top w:val="nil"/>
              <w:left w:val="nil"/>
              <w:bottom w:val="double" w:sz="6" w:space="2" w:color="auto"/>
              <w:right w:val="nil"/>
            </w:tcBorders>
            <w:vAlign w:val="bottom"/>
          </w:tcPr>
          <w:p w14:paraId="634CCA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3FC33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D4A7D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DBC88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4C35A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9289ED5" w14:textId="77777777" w:rsidTr="009501B5">
        <w:trPr>
          <w:trHeight w:hRule="exact" w:val="132"/>
        </w:trPr>
        <w:tc>
          <w:tcPr>
            <w:tcW w:w="2120" w:type="dxa"/>
            <w:tcBorders>
              <w:top w:val="nil"/>
              <w:left w:val="nil"/>
              <w:bottom w:val="nil"/>
              <w:right w:val="nil"/>
            </w:tcBorders>
            <w:vAlign w:val="bottom"/>
          </w:tcPr>
          <w:p w14:paraId="75BEC3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25E9A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264B4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C71A9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F75E6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42E5AE5" w14:textId="77777777" w:rsidTr="009501B5">
        <w:trPr>
          <w:trHeight w:val="220"/>
        </w:trPr>
        <w:tc>
          <w:tcPr>
            <w:tcW w:w="6420" w:type="dxa"/>
            <w:gridSpan w:val="5"/>
            <w:tcBorders>
              <w:top w:val="nil"/>
              <w:left w:val="nil"/>
              <w:bottom w:val="nil"/>
              <w:right w:val="nil"/>
            </w:tcBorders>
            <w:vAlign w:val="bottom"/>
          </w:tcPr>
          <w:p w14:paraId="26624CF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LSHPC - (-0.0085*EXRTF + 0.0038*IFR + 2.0590*LLAB  -0.3654*LGR</w:t>
            </w:r>
          </w:p>
        </w:tc>
      </w:tr>
      <w:tr w:rsidR="00EA38DE" w:rsidRPr="00EA38DE" w14:paraId="62E403AA" w14:textId="77777777" w:rsidTr="009501B5">
        <w:trPr>
          <w:trHeight w:val="220"/>
        </w:trPr>
        <w:tc>
          <w:tcPr>
            <w:tcW w:w="5470" w:type="dxa"/>
            <w:gridSpan w:val="4"/>
            <w:tcBorders>
              <w:top w:val="nil"/>
              <w:left w:val="nil"/>
              <w:bottom w:val="nil"/>
              <w:right w:val="nil"/>
            </w:tcBorders>
            <w:vAlign w:val="bottom"/>
          </w:tcPr>
          <w:p w14:paraId="2161D68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-0.1702*TRF  -6.3927 )</w:t>
            </w:r>
          </w:p>
        </w:tc>
        <w:tc>
          <w:tcPr>
            <w:tcW w:w="950" w:type="dxa"/>
            <w:tcBorders>
              <w:top w:val="nil"/>
              <w:left w:val="nil"/>
              <w:bottom w:val="nil"/>
              <w:right w:val="nil"/>
            </w:tcBorders>
            <w:vAlign w:val="bottom"/>
          </w:tcPr>
          <w:p w14:paraId="416F38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74B6E0C" w14:textId="77777777" w:rsidTr="009501B5">
        <w:trPr>
          <w:trHeight w:hRule="exact" w:val="88"/>
        </w:trPr>
        <w:tc>
          <w:tcPr>
            <w:tcW w:w="2120" w:type="dxa"/>
            <w:tcBorders>
              <w:top w:val="nil"/>
              <w:left w:val="nil"/>
              <w:bottom w:val="double" w:sz="6" w:space="0" w:color="auto"/>
              <w:right w:val="nil"/>
            </w:tcBorders>
            <w:vAlign w:val="bottom"/>
          </w:tcPr>
          <w:p w14:paraId="606D8B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657EC9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4BF6B8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312D0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13D902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2260290" w14:textId="77777777" w:rsidTr="009501B5">
        <w:trPr>
          <w:trHeight w:hRule="exact" w:val="132"/>
        </w:trPr>
        <w:tc>
          <w:tcPr>
            <w:tcW w:w="2120" w:type="dxa"/>
            <w:tcBorders>
              <w:top w:val="nil"/>
              <w:left w:val="nil"/>
              <w:bottom w:val="nil"/>
              <w:right w:val="nil"/>
            </w:tcBorders>
            <w:vAlign w:val="bottom"/>
          </w:tcPr>
          <w:p w14:paraId="73C984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4E24B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87A7B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DCF9F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124F7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473D368A" w14:textId="77777777" w:rsidR="003C6B00" w:rsidRPr="00EA38DE" w:rsidRDefault="003C6B00" w:rsidP="003C6B00">
      <w:r w:rsidRPr="00EA38DE">
        <w:rPr>
          <w:rFonts w:ascii="Arial" w:hAnsi="Arial" w:cs="Arial"/>
          <w:sz w:val="18"/>
          <w:szCs w:val="18"/>
        </w:rPr>
        <w:br/>
      </w:r>
    </w:p>
    <w:p w14:paraId="12621903" w14:textId="77777777" w:rsidR="003C6B00" w:rsidRPr="00EA38DE" w:rsidRDefault="003C6B00" w:rsidP="003C6B00"/>
    <w:p w14:paraId="58664980" w14:textId="77777777" w:rsidR="003C6B00" w:rsidRPr="00EA38DE" w:rsidRDefault="003C6B00" w:rsidP="003C6B00"/>
    <w:p w14:paraId="671EA34A" w14:textId="77777777" w:rsidR="003C6B00" w:rsidRPr="00EA38DE" w:rsidRDefault="003C6B00" w:rsidP="003C6B00"/>
    <w:p w14:paraId="1D6B4E63" w14:textId="77777777" w:rsidR="003C6B00" w:rsidRPr="00EA38DE" w:rsidRDefault="003C6B00" w:rsidP="003C6B00"/>
    <w:p w14:paraId="38AAF326" w14:textId="77777777" w:rsidR="003C6B00" w:rsidRPr="00EA38DE" w:rsidRDefault="003C6B00" w:rsidP="003C6B00"/>
    <w:p w14:paraId="113EC1B7" w14:textId="77777777" w:rsidR="003C6B00" w:rsidRPr="00EA38DE" w:rsidRDefault="003C6B00" w:rsidP="003C6B00"/>
    <w:p w14:paraId="2F9A32D8" w14:textId="77777777" w:rsidR="003C6B00" w:rsidRPr="00EA38DE" w:rsidRDefault="003C6B00" w:rsidP="003C6B00"/>
    <w:p w14:paraId="4B3E4505" w14:textId="77777777" w:rsidR="00C26BF7" w:rsidRPr="00EA38DE" w:rsidRDefault="00C26BF7" w:rsidP="003C6B00"/>
    <w:p w14:paraId="499D4622"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40808903" w14:textId="77777777" w:rsidTr="009501B5">
        <w:trPr>
          <w:trHeight w:val="220"/>
        </w:trPr>
        <w:tc>
          <w:tcPr>
            <w:tcW w:w="6420" w:type="dxa"/>
            <w:gridSpan w:val="5"/>
            <w:tcBorders>
              <w:top w:val="nil"/>
              <w:left w:val="nil"/>
              <w:bottom w:val="nil"/>
              <w:right w:val="nil"/>
            </w:tcBorders>
            <w:vAlign w:val="bottom"/>
          </w:tcPr>
          <w:p w14:paraId="3198730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22C1B752" w14:textId="77777777" w:rsidTr="009501B5">
        <w:trPr>
          <w:trHeight w:val="220"/>
        </w:trPr>
        <w:tc>
          <w:tcPr>
            <w:tcW w:w="5470" w:type="dxa"/>
            <w:gridSpan w:val="4"/>
            <w:tcBorders>
              <w:top w:val="nil"/>
              <w:left w:val="nil"/>
              <w:bottom w:val="nil"/>
              <w:right w:val="nil"/>
            </w:tcBorders>
            <w:vAlign w:val="bottom"/>
          </w:tcPr>
          <w:p w14:paraId="1E1512E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D(LSHPC)</w:t>
            </w:r>
          </w:p>
        </w:tc>
        <w:tc>
          <w:tcPr>
            <w:tcW w:w="950" w:type="dxa"/>
            <w:tcBorders>
              <w:top w:val="nil"/>
              <w:left w:val="nil"/>
              <w:bottom w:val="nil"/>
              <w:right w:val="nil"/>
            </w:tcBorders>
            <w:vAlign w:val="bottom"/>
          </w:tcPr>
          <w:p w14:paraId="298307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4A9A3CE" w14:textId="77777777" w:rsidTr="009501B5">
        <w:trPr>
          <w:trHeight w:val="220"/>
        </w:trPr>
        <w:tc>
          <w:tcPr>
            <w:tcW w:w="6420" w:type="dxa"/>
            <w:gridSpan w:val="5"/>
            <w:tcBorders>
              <w:top w:val="nil"/>
              <w:left w:val="nil"/>
              <w:bottom w:val="nil"/>
              <w:right w:val="nil"/>
            </w:tcBorders>
            <w:vAlign w:val="bottom"/>
          </w:tcPr>
          <w:p w14:paraId="7CA297E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1, 0, 1, 0, 0)</w:t>
            </w:r>
          </w:p>
        </w:tc>
      </w:tr>
      <w:tr w:rsidR="00EA38DE" w:rsidRPr="00EA38DE" w14:paraId="7326EA7E" w14:textId="77777777" w:rsidTr="009501B5">
        <w:trPr>
          <w:trHeight w:val="220"/>
        </w:trPr>
        <w:tc>
          <w:tcPr>
            <w:tcW w:w="6420" w:type="dxa"/>
            <w:gridSpan w:val="5"/>
            <w:tcBorders>
              <w:top w:val="nil"/>
              <w:left w:val="nil"/>
              <w:bottom w:val="nil"/>
              <w:right w:val="nil"/>
            </w:tcBorders>
            <w:vAlign w:val="bottom"/>
          </w:tcPr>
          <w:p w14:paraId="7AFDBC1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45807BB8" w14:textId="77777777" w:rsidTr="009501B5">
        <w:trPr>
          <w:trHeight w:val="220"/>
        </w:trPr>
        <w:tc>
          <w:tcPr>
            <w:tcW w:w="5470" w:type="dxa"/>
            <w:gridSpan w:val="4"/>
            <w:tcBorders>
              <w:top w:val="nil"/>
              <w:left w:val="nil"/>
              <w:bottom w:val="nil"/>
              <w:right w:val="nil"/>
            </w:tcBorders>
            <w:vAlign w:val="bottom"/>
          </w:tcPr>
          <w:p w14:paraId="36FEE01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09:19</w:t>
            </w:r>
          </w:p>
        </w:tc>
        <w:tc>
          <w:tcPr>
            <w:tcW w:w="950" w:type="dxa"/>
            <w:tcBorders>
              <w:top w:val="nil"/>
              <w:left w:val="nil"/>
              <w:bottom w:val="nil"/>
              <w:right w:val="nil"/>
            </w:tcBorders>
            <w:vAlign w:val="bottom"/>
          </w:tcPr>
          <w:p w14:paraId="6AE746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BA206AF" w14:textId="77777777" w:rsidTr="009501B5">
        <w:trPr>
          <w:trHeight w:val="220"/>
        </w:trPr>
        <w:tc>
          <w:tcPr>
            <w:tcW w:w="4320" w:type="dxa"/>
            <w:gridSpan w:val="3"/>
            <w:tcBorders>
              <w:top w:val="nil"/>
              <w:left w:val="nil"/>
              <w:bottom w:val="nil"/>
              <w:right w:val="nil"/>
            </w:tcBorders>
            <w:vAlign w:val="bottom"/>
          </w:tcPr>
          <w:p w14:paraId="6D171EF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2B0C54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314AF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450A1DF" w14:textId="77777777" w:rsidTr="009501B5">
        <w:trPr>
          <w:trHeight w:val="220"/>
        </w:trPr>
        <w:tc>
          <w:tcPr>
            <w:tcW w:w="5470" w:type="dxa"/>
            <w:gridSpan w:val="4"/>
            <w:tcBorders>
              <w:top w:val="nil"/>
              <w:left w:val="nil"/>
              <w:bottom w:val="nil"/>
              <w:right w:val="nil"/>
            </w:tcBorders>
            <w:vAlign w:val="bottom"/>
          </w:tcPr>
          <w:p w14:paraId="31E7299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34</w:t>
            </w:r>
          </w:p>
        </w:tc>
        <w:tc>
          <w:tcPr>
            <w:tcW w:w="950" w:type="dxa"/>
            <w:tcBorders>
              <w:top w:val="nil"/>
              <w:left w:val="nil"/>
              <w:bottom w:val="nil"/>
              <w:right w:val="nil"/>
            </w:tcBorders>
            <w:vAlign w:val="bottom"/>
          </w:tcPr>
          <w:p w14:paraId="0C333A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020E461" w14:textId="77777777" w:rsidTr="009501B5">
        <w:trPr>
          <w:trHeight w:hRule="exact" w:val="88"/>
        </w:trPr>
        <w:tc>
          <w:tcPr>
            <w:tcW w:w="2120" w:type="dxa"/>
            <w:tcBorders>
              <w:top w:val="nil"/>
              <w:left w:val="nil"/>
              <w:bottom w:val="double" w:sz="6" w:space="2" w:color="auto"/>
              <w:right w:val="nil"/>
            </w:tcBorders>
            <w:vAlign w:val="bottom"/>
          </w:tcPr>
          <w:p w14:paraId="445EB2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FE6D4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5823FE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D9DA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09F73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740BF3D" w14:textId="77777777" w:rsidTr="009501B5">
        <w:trPr>
          <w:trHeight w:hRule="exact" w:val="132"/>
        </w:trPr>
        <w:tc>
          <w:tcPr>
            <w:tcW w:w="2120" w:type="dxa"/>
            <w:tcBorders>
              <w:top w:val="nil"/>
              <w:left w:val="nil"/>
              <w:bottom w:val="nil"/>
              <w:right w:val="nil"/>
            </w:tcBorders>
            <w:vAlign w:val="bottom"/>
          </w:tcPr>
          <w:p w14:paraId="48E641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473F9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03A4C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7846B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E27C8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083C921" w14:textId="77777777" w:rsidTr="009501B5">
        <w:trPr>
          <w:trHeight w:val="220"/>
        </w:trPr>
        <w:tc>
          <w:tcPr>
            <w:tcW w:w="6420" w:type="dxa"/>
            <w:gridSpan w:val="5"/>
            <w:tcBorders>
              <w:top w:val="nil"/>
              <w:left w:val="nil"/>
              <w:bottom w:val="nil"/>
              <w:right w:val="nil"/>
            </w:tcBorders>
            <w:vAlign w:val="bottom"/>
          </w:tcPr>
          <w:p w14:paraId="29F53F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7C0284F2" w14:textId="77777777" w:rsidTr="009501B5">
        <w:trPr>
          <w:trHeight w:val="220"/>
        </w:trPr>
        <w:tc>
          <w:tcPr>
            <w:tcW w:w="6420" w:type="dxa"/>
            <w:gridSpan w:val="5"/>
            <w:tcBorders>
              <w:top w:val="nil"/>
              <w:left w:val="nil"/>
              <w:bottom w:val="nil"/>
              <w:right w:val="nil"/>
            </w:tcBorders>
            <w:vAlign w:val="bottom"/>
          </w:tcPr>
          <w:p w14:paraId="1AC7BF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0184FA76" w14:textId="77777777" w:rsidTr="009501B5">
        <w:trPr>
          <w:trHeight w:hRule="exact" w:val="88"/>
        </w:trPr>
        <w:tc>
          <w:tcPr>
            <w:tcW w:w="2120" w:type="dxa"/>
            <w:tcBorders>
              <w:top w:val="nil"/>
              <w:left w:val="nil"/>
              <w:bottom w:val="double" w:sz="6" w:space="2" w:color="auto"/>
              <w:right w:val="nil"/>
            </w:tcBorders>
            <w:vAlign w:val="bottom"/>
          </w:tcPr>
          <w:p w14:paraId="07B33C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234A0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7F91B4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A993B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37B70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9E9255D" w14:textId="77777777" w:rsidTr="009501B5">
        <w:trPr>
          <w:trHeight w:hRule="exact" w:val="132"/>
        </w:trPr>
        <w:tc>
          <w:tcPr>
            <w:tcW w:w="2120" w:type="dxa"/>
            <w:tcBorders>
              <w:top w:val="nil"/>
              <w:left w:val="nil"/>
              <w:bottom w:val="nil"/>
              <w:right w:val="nil"/>
            </w:tcBorders>
            <w:vAlign w:val="bottom"/>
          </w:tcPr>
          <w:p w14:paraId="65892C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A7933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6B3D10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B66980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9E38E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E2C21F" w14:textId="77777777" w:rsidTr="009501B5">
        <w:trPr>
          <w:trHeight w:val="220"/>
        </w:trPr>
        <w:tc>
          <w:tcPr>
            <w:tcW w:w="2120" w:type="dxa"/>
            <w:tcBorders>
              <w:top w:val="nil"/>
              <w:left w:val="nil"/>
              <w:bottom w:val="nil"/>
              <w:right w:val="nil"/>
            </w:tcBorders>
            <w:vAlign w:val="bottom"/>
          </w:tcPr>
          <w:p w14:paraId="504B15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6B8BBD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6AF3C8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255BECC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5296CA7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7D96278E" w14:textId="77777777" w:rsidTr="009501B5">
        <w:trPr>
          <w:trHeight w:hRule="exact" w:val="88"/>
        </w:trPr>
        <w:tc>
          <w:tcPr>
            <w:tcW w:w="2120" w:type="dxa"/>
            <w:tcBorders>
              <w:top w:val="nil"/>
              <w:left w:val="nil"/>
              <w:bottom w:val="double" w:sz="6" w:space="2" w:color="auto"/>
              <w:right w:val="nil"/>
            </w:tcBorders>
            <w:vAlign w:val="bottom"/>
          </w:tcPr>
          <w:p w14:paraId="7F3E1F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D4FA9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42ED00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2EFBB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1E948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3FCE408" w14:textId="77777777" w:rsidTr="009501B5">
        <w:trPr>
          <w:trHeight w:hRule="exact" w:val="132"/>
        </w:trPr>
        <w:tc>
          <w:tcPr>
            <w:tcW w:w="2120" w:type="dxa"/>
            <w:tcBorders>
              <w:top w:val="nil"/>
              <w:left w:val="nil"/>
              <w:bottom w:val="nil"/>
              <w:right w:val="nil"/>
            </w:tcBorders>
            <w:vAlign w:val="bottom"/>
          </w:tcPr>
          <w:p w14:paraId="047865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9D8D8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EE90EC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DE9EF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28FDC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C60EADC" w14:textId="77777777" w:rsidTr="009501B5">
        <w:trPr>
          <w:trHeight w:val="220"/>
        </w:trPr>
        <w:tc>
          <w:tcPr>
            <w:tcW w:w="2120" w:type="dxa"/>
            <w:tcBorders>
              <w:top w:val="nil"/>
              <w:left w:val="nil"/>
              <w:bottom w:val="nil"/>
              <w:right w:val="nil"/>
            </w:tcBorders>
            <w:vAlign w:val="bottom"/>
          </w:tcPr>
          <w:p w14:paraId="47C505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D(EXRTF)</w:t>
            </w:r>
          </w:p>
        </w:tc>
        <w:tc>
          <w:tcPr>
            <w:tcW w:w="1050" w:type="dxa"/>
            <w:tcBorders>
              <w:top w:val="nil"/>
              <w:left w:val="nil"/>
              <w:bottom w:val="nil"/>
              <w:right w:val="nil"/>
            </w:tcBorders>
            <w:vAlign w:val="bottom"/>
          </w:tcPr>
          <w:p w14:paraId="6C6C71D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-0.001066</w:t>
            </w:r>
          </w:p>
        </w:tc>
        <w:tc>
          <w:tcPr>
            <w:tcW w:w="1150" w:type="dxa"/>
            <w:tcBorders>
              <w:top w:val="nil"/>
              <w:left w:val="nil"/>
              <w:bottom w:val="nil"/>
              <w:right w:val="nil"/>
            </w:tcBorders>
            <w:vAlign w:val="bottom"/>
          </w:tcPr>
          <w:p w14:paraId="17574A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0.000247</w:t>
            </w:r>
          </w:p>
        </w:tc>
        <w:tc>
          <w:tcPr>
            <w:tcW w:w="1150" w:type="dxa"/>
            <w:tcBorders>
              <w:top w:val="nil"/>
              <w:left w:val="nil"/>
              <w:bottom w:val="nil"/>
              <w:right w:val="nil"/>
            </w:tcBorders>
            <w:vAlign w:val="bottom"/>
          </w:tcPr>
          <w:p w14:paraId="0ACD0AA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-4.324154</w:t>
            </w:r>
          </w:p>
        </w:tc>
        <w:tc>
          <w:tcPr>
            <w:tcW w:w="950" w:type="dxa"/>
            <w:tcBorders>
              <w:top w:val="nil"/>
              <w:left w:val="nil"/>
              <w:bottom w:val="nil"/>
              <w:right w:val="nil"/>
            </w:tcBorders>
            <w:vAlign w:val="bottom"/>
          </w:tcPr>
          <w:p w14:paraId="771DC6C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68BFEE57" w14:textId="77777777" w:rsidTr="009501B5">
        <w:trPr>
          <w:trHeight w:val="220"/>
        </w:trPr>
        <w:tc>
          <w:tcPr>
            <w:tcW w:w="2120" w:type="dxa"/>
            <w:tcBorders>
              <w:top w:val="nil"/>
              <w:left w:val="nil"/>
              <w:bottom w:val="nil"/>
              <w:right w:val="nil"/>
            </w:tcBorders>
            <w:vAlign w:val="bottom"/>
          </w:tcPr>
          <w:p w14:paraId="3D1ED6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63276C1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10.57180</w:t>
            </w:r>
          </w:p>
        </w:tc>
        <w:tc>
          <w:tcPr>
            <w:tcW w:w="1150" w:type="dxa"/>
            <w:tcBorders>
              <w:top w:val="nil"/>
              <w:left w:val="nil"/>
              <w:bottom w:val="nil"/>
              <w:right w:val="nil"/>
            </w:tcBorders>
            <w:vAlign w:val="bottom"/>
          </w:tcPr>
          <w:p w14:paraId="7A6A276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1.939615</w:t>
            </w:r>
          </w:p>
        </w:tc>
        <w:tc>
          <w:tcPr>
            <w:tcW w:w="1150" w:type="dxa"/>
            <w:tcBorders>
              <w:top w:val="nil"/>
              <w:left w:val="nil"/>
              <w:bottom w:val="nil"/>
              <w:right w:val="nil"/>
            </w:tcBorders>
            <w:vAlign w:val="bottom"/>
          </w:tcPr>
          <w:p w14:paraId="5575DEE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5.450461</w:t>
            </w:r>
          </w:p>
        </w:tc>
        <w:tc>
          <w:tcPr>
            <w:tcW w:w="950" w:type="dxa"/>
            <w:tcBorders>
              <w:top w:val="nil"/>
              <w:left w:val="nil"/>
              <w:bottom w:val="nil"/>
              <w:right w:val="nil"/>
            </w:tcBorders>
            <w:vAlign w:val="bottom"/>
          </w:tcPr>
          <w:p w14:paraId="25F5FB8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7379E8B4" w14:textId="77777777" w:rsidTr="009501B5">
        <w:trPr>
          <w:trHeight w:val="220"/>
        </w:trPr>
        <w:tc>
          <w:tcPr>
            <w:tcW w:w="2120" w:type="dxa"/>
            <w:tcBorders>
              <w:top w:val="nil"/>
              <w:left w:val="nil"/>
              <w:bottom w:val="nil"/>
              <w:right w:val="nil"/>
            </w:tcBorders>
            <w:vAlign w:val="bottom"/>
          </w:tcPr>
          <w:p w14:paraId="262780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547BB8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-0.285658</w:t>
            </w:r>
          </w:p>
        </w:tc>
        <w:tc>
          <w:tcPr>
            <w:tcW w:w="1150" w:type="dxa"/>
            <w:tcBorders>
              <w:top w:val="nil"/>
              <w:left w:val="nil"/>
              <w:bottom w:val="nil"/>
              <w:right w:val="nil"/>
            </w:tcBorders>
            <w:vAlign w:val="bottom"/>
          </w:tcPr>
          <w:p w14:paraId="2964DC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0.050536</w:t>
            </w:r>
          </w:p>
        </w:tc>
        <w:tc>
          <w:tcPr>
            <w:tcW w:w="1150" w:type="dxa"/>
            <w:tcBorders>
              <w:top w:val="nil"/>
              <w:left w:val="nil"/>
              <w:bottom w:val="nil"/>
              <w:right w:val="nil"/>
            </w:tcBorders>
            <w:vAlign w:val="bottom"/>
          </w:tcPr>
          <w:p w14:paraId="1D6494A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-5.652606</w:t>
            </w:r>
          </w:p>
        </w:tc>
        <w:tc>
          <w:tcPr>
            <w:tcW w:w="950" w:type="dxa"/>
            <w:tcBorders>
              <w:top w:val="nil"/>
              <w:left w:val="nil"/>
              <w:bottom w:val="nil"/>
              <w:right w:val="nil"/>
            </w:tcBorders>
            <w:vAlign w:val="bottom"/>
          </w:tcPr>
          <w:p w14:paraId="36A8596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78E63DCF" w14:textId="77777777" w:rsidTr="009501B5">
        <w:trPr>
          <w:trHeight w:hRule="exact" w:val="88"/>
        </w:trPr>
        <w:tc>
          <w:tcPr>
            <w:tcW w:w="2120" w:type="dxa"/>
            <w:tcBorders>
              <w:top w:val="nil"/>
              <w:left w:val="nil"/>
              <w:bottom w:val="double" w:sz="6" w:space="2" w:color="auto"/>
              <w:right w:val="nil"/>
            </w:tcBorders>
            <w:vAlign w:val="bottom"/>
          </w:tcPr>
          <w:p w14:paraId="26E135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8BB4B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453A7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84C0B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85DFE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08EA0A2" w14:textId="77777777" w:rsidTr="009501B5">
        <w:trPr>
          <w:trHeight w:hRule="exact" w:val="132"/>
        </w:trPr>
        <w:tc>
          <w:tcPr>
            <w:tcW w:w="2120" w:type="dxa"/>
            <w:tcBorders>
              <w:top w:val="nil"/>
              <w:left w:val="nil"/>
              <w:bottom w:val="nil"/>
              <w:right w:val="nil"/>
            </w:tcBorders>
            <w:vAlign w:val="bottom"/>
          </w:tcPr>
          <w:p w14:paraId="33DE19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A73BC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503E3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141259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B4C7E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59A5A70" w14:textId="77777777" w:rsidTr="009501B5">
        <w:trPr>
          <w:trHeight w:val="220"/>
        </w:trPr>
        <w:tc>
          <w:tcPr>
            <w:tcW w:w="2120" w:type="dxa"/>
            <w:tcBorders>
              <w:top w:val="nil"/>
              <w:left w:val="nil"/>
              <w:bottom w:val="nil"/>
              <w:right w:val="nil"/>
            </w:tcBorders>
            <w:vAlign w:val="bottom"/>
          </w:tcPr>
          <w:p w14:paraId="6AB543F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46FE124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0.520757</w:t>
            </w:r>
          </w:p>
        </w:tc>
        <w:tc>
          <w:tcPr>
            <w:tcW w:w="2300" w:type="dxa"/>
            <w:gridSpan w:val="2"/>
            <w:tcBorders>
              <w:top w:val="nil"/>
              <w:left w:val="nil"/>
              <w:bottom w:val="nil"/>
              <w:right w:val="nil"/>
            </w:tcBorders>
            <w:vAlign w:val="bottom"/>
          </w:tcPr>
          <w:p w14:paraId="1C10380A"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35428FF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0.005716</w:t>
            </w:r>
          </w:p>
        </w:tc>
      </w:tr>
      <w:tr w:rsidR="00EA38DE" w:rsidRPr="00EA38DE" w14:paraId="462A2805" w14:textId="77777777" w:rsidTr="009501B5">
        <w:trPr>
          <w:trHeight w:val="220"/>
        </w:trPr>
        <w:tc>
          <w:tcPr>
            <w:tcW w:w="2120" w:type="dxa"/>
            <w:tcBorders>
              <w:top w:val="nil"/>
              <w:left w:val="nil"/>
              <w:bottom w:val="nil"/>
              <w:right w:val="nil"/>
            </w:tcBorders>
            <w:vAlign w:val="bottom"/>
          </w:tcPr>
          <w:p w14:paraId="1D8C54C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2B9C305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0.489838</w:t>
            </w:r>
          </w:p>
        </w:tc>
        <w:tc>
          <w:tcPr>
            <w:tcW w:w="2300" w:type="dxa"/>
            <w:gridSpan w:val="2"/>
            <w:tcBorders>
              <w:top w:val="nil"/>
              <w:left w:val="nil"/>
              <w:bottom w:val="nil"/>
              <w:right w:val="nil"/>
            </w:tcBorders>
            <w:vAlign w:val="bottom"/>
          </w:tcPr>
          <w:p w14:paraId="21F6D38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151E4AD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0.140753</w:t>
            </w:r>
          </w:p>
        </w:tc>
      </w:tr>
      <w:tr w:rsidR="00EA38DE" w:rsidRPr="00EA38DE" w14:paraId="6F743F05" w14:textId="77777777" w:rsidTr="009501B5">
        <w:trPr>
          <w:trHeight w:val="220"/>
        </w:trPr>
        <w:tc>
          <w:tcPr>
            <w:tcW w:w="2120" w:type="dxa"/>
            <w:tcBorders>
              <w:top w:val="nil"/>
              <w:left w:val="nil"/>
              <w:bottom w:val="nil"/>
              <w:right w:val="nil"/>
            </w:tcBorders>
            <w:vAlign w:val="bottom"/>
          </w:tcPr>
          <w:p w14:paraId="5A4E22B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029639E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0.100534</w:t>
            </w:r>
          </w:p>
        </w:tc>
        <w:tc>
          <w:tcPr>
            <w:tcW w:w="2300" w:type="dxa"/>
            <w:gridSpan w:val="2"/>
            <w:tcBorders>
              <w:top w:val="nil"/>
              <w:left w:val="nil"/>
              <w:bottom w:val="nil"/>
              <w:right w:val="nil"/>
            </w:tcBorders>
            <w:vAlign w:val="bottom"/>
          </w:tcPr>
          <w:p w14:paraId="5837CC40"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6FA386B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-1.672545</w:t>
            </w:r>
          </w:p>
        </w:tc>
      </w:tr>
      <w:tr w:rsidR="00EA38DE" w:rsidRPr="00EA38DE" w14:paraId="0E6C3ED9" w14:textId="77777777" w:rsidTr="009501B5">
        <w:trPr>
          <w:trHeight w:val="220"/>
        </w:trPr>
        <w:tc>
          <w:tcPr>
            <w:tcW w:w="2120" w:type="dxa"/>
            <w:tcBorders>
              <w:top w:val="nil"/>
              <w:left w:val="nil"/>
              <w:bottom w:val="nil"/>
              <w:right w:val="nil"/>
            </w:tcBorders>
            <w:vAlign w:val="bottom"/>
          </w:tcPr>
          <w:p w14:paraId="59A29E8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4EA8505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0.313319</w:t>
            </w:r>
          </w:p>
        </w:tc>
        <w:tc>
          <w:tcPr>
            <w:tcW w:w="2300" w:type="dxa"/>
            <w:gridSpan w:val="2"/>
            <w:tcBorders>
              <w:top w:val="nil"/>
              <w:left w:val="nil"/>
              <w:bottom w:val="nil"/>
              <w:right w:val="nil"/>
            </w:tcBorders>
            <w:vAlign w:val="bottom"/>
          </w:tcPr>
          <w:p w14:paraId="2A1E4B3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6738F0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-1.537866</w:t>
            </w:r>
          </w:p>
        </w:tc>
      </w:tr>
      <w:tr w:rsidR="00EA38DE" w:rsidRPr="00EA38DE" w14:paraId="1622DF65" w14:textId="77777777" w:rsidTr="009501B5">
        <w:trPr>
          <w:trHeight w:val="220"/>
        </w:trPr>
        <w:tc>
          <w:tcPr>
            <w:tcW w:w="2120" w:type="dxa"/>
            <w:tcBorders>
              <w:top w:val="nil"/>
              <w:left w:val="nil"/>
              <w:bottom w:val="nil"/>
              <w:right w:val="nil"/>
            </w:tcBorders>
            <w:vAlign w:val="bottom"/>
          </w:tcPr>
          <w:p w14:paraId="69B3B59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2E4B3D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31.43327</w:t>
            </w:r>
          </w:p>
        </w:tc>
        <w:tc>
          <w:tcPr>
            <w:tcW w:w="2300" w:type="dxa"/>
            <w:gridSpan w:val="2"/>
            <w:tcBorders>
              <w:top w:val="nil"/>
              <w:left w:val="nil"/>
              <w:bottom w:val="nil"/>
              <w:right w:val="nil"/>
            </w:tcBorders>
            <w:vAlign w:val="bottom"/>
          </w:tcPr>
          <w:p w14:paraId="177E5096"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63E6539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-1.626616</w:t>
            </w:r>
          </w:p>
        </w:tc>
      </w:tr>
      <w:tr w:rsidR="00EA38DE" w:rsidRPr="00EA38DE" w14:paraId="09A50188" w14:textId="77777777" w:rsidTr="009501B5">
        <w:trPr>
          <w:trHeight w:val="220"/>
        </w:trPr>
        <w:tc>
          <w:tcPr>
            <w:tcW w:w="2120" w:type="dxa"/>
            <w:tcBorders>
              <w:top w:val="nil"/>
              <w:left w:val="nil"/>
              <w:bottom w:val="nil"/>
              <w:right w:val="nil"/>
            </w:tcBorders>
            <w:vAlign w:val="bottom"/>
          </w:tcPr>
          <w:p w14:paraId="52E0D6F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16A4BC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2.128364</w:t>
            </w:r>
          </w:p>
        </w:tc>
        <w:tc>
          <w:tcPr>
            <w:tcW w:w="1150" w:type="dxa"/>
            <w:tcBorders>
              <w:top w:val="nil"/>
              <w:left w:val="nil"/>
              <w:bottom w:val="nil"/>
              <w:right w:val="nil"/>
            </w:tcBorders>
            <w:vAlign w:val="bottom"/>
          </w:tcPr>
          <w:p w14:paraId="48CECFCE"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4106FB8F"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43ED821A"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3B0A0D94" w14:textId="77777777" w:rsidTr="009501B5">
        <w:trPr>
          <w:trHeight w:hRule="exact" w:val="88"/>
        </w:trPr>
        <w:tc>
          <w:tcPr>
            <w:tcW w:w="2120" w:type="dxa"/>
            <w:tcBorders>
              <w:top w:val="nil"/>
              <w:left w:val="nil"/>
              <w:bottom w:val="double" w:sz="6" w:space="2" w:color="auto"/>
              <w:right w:val="nil"/>
            </w:tcBorders>
            <w:vAlign w:val="bottom"/>
          </w:tcPr>
          <w:p w14:paraId="1A3868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11FAC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71C98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F0CBC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6B724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F7CBB7E" w14:textId="77777777" w:rsidTr="009501B5">
        <w:trPr>
          <w:trHeight w:hRule="exact" w:val="132"/>
        </w:trPr>
        <w:tc>
          <w:tcPr>
            <w:tcW w:w="2120" w:type="dxa"/>
            <w:tcBorders>
              <w:top w:val="nil"/>
              <w:left w:val="nil"/>
              <w:bottom w:val="nil"/>
              <w:right w:val="nil"/>
            </w:tcBorders>
            <w:vAlign w:val="bottom"/>
          </w:tcPr>
          <w:p w14:paraId="0BB7BE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308D0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424F9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97410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49BFE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2FD3195" w14:textId="77777777" w:rsidTr="009501B5">
        <w:trPr>
          <w:trHeight w:val="220"/>
        </w:trPr>
        <w:tc>
          <w:tcPr>
            <w:tcW w:w="6420" w:type="dxa"/>
            <w:gridSpan w:val="5"/>
            <w:tcBorders>
              <w:top w:val="nil"/>
              <w:left w:val="nil"/>
              <w:bottom w:val="nil"/>
              <w:right w:val="nil"/>
            </w:tcBorders>
            <w:vAlign w:val="bottom"/>
          </w:tcPr>
          <w:p w14:paraId="4F31C27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5DA26CD5" w14:textId="77777777" w:rsidTr="009501B5">
        <w:trPr>
          <w:trHeight w:val="220"/>
        </w:trPr>
        <w:tc>
          <w:tcPr>
            <w:tcW w:w="2120" w:type="dxa"/>
            <w:tcBorders>
              <w:top w:val="nil"/>
              <w:left w:val="nil"/>
              <w:bottom w:val="nil"/>
              <w:right w:val="nil"/>
            </w:tcBorders>
            <w:vAlign w:val="bottom"/>
          </w:tcPr>
          <w:p w14:paraId="0663F46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3A2D9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9714B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A5F50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5A3F2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C250D45" w14:textId="77777777" w:rsidTr="009501B5">
        <w:trPr>
          <w:trHeight w:val="220"/>
        </w:trPr>
        <w:tc>
          <w:tcPr>
            <w:tcW w:w="2120" w:type="dxa"/>
            <w:tcBorders>
              <w:top w:val="nil"/>
              <w:left w:val="nil"/>
              <w:bottom w:val="nil"/>
              <w:right w:val="nil"/>
            </w:tcBorders>
            <w:vAlign w:val="bottom"/>
          </w:tcPr>
          <w:p w14:paraId="3B35FC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132DA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6F5DC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10CD5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4780A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B77983D" w14:textId="77777777" w:rsidTr="009501B5">
        <w:trPr>
          <w:trHeight w:val="220"/>
        </w:trPr>
        <w:tc>
          <w:tcPr>
            <w:tcW w:w="3170" w:type="dxa"/>
            <w:gridSpan w:val="2"/>
            <w:tcBorders>
              <w:top w:val="nil"/>
              <w:left w:val="nil"/>
              <w:bottom w:val="nil"/>
              <w:right w:val="nil"/>
            </w:tcBorders>
            <w:vAlign w:val="bottom"/>
          </w:tcPr>
          <w:p w14:paraId="347B1DC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723161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4BF5D589" w14:textId="77777777" w:rsidTr="009501B5">
        <w:trPr>
          <w:trHeight w:hRule="exact" w:val="88"/>
        </w:trPr>
        <w:tc>
          <w:tcPr>
            <w:tcW w:w="2120" w:type="dxa"/>
            <w:tcBorders>
              <w:top w:val="nil"/>
              <w:left w:val="nil"/>
              <w:bottom w:val="double" w:sz="6" w:space="2" w:color="auto"/>
              <w:right w:val="nil"/>
            </w:tcBorders>
            <w:vAlign w:val="bottom"/>
          </w:tcPr>
          <w:p w14:paraId="661843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BE1D8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23A47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C517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43623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CE143CF" w14:textId="77777777" w:rsidTr="009501B5">
        <w:trPr>
          <w:trHeight w:hRule="exact" w:val="132"/>
        </w:trPr>
        <w:tc>
          <w:tcPr>
            <w:tcW w:w="2120" w:type="dxa"/>
            <w:tcBorders>
              <w:top w:val="nil"/>
              <w:left w:val="nil"/>
              <w:bottom w:val="nil"/>
              <w:right w:val="nil"/>
            </w:tcBorders>
            <w:vAlign w:val="bottom"/>
          </w:tcPr>
          <w:p w14:paraId="310DB8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66A2D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26D09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C0840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397AD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5B77692" w14:textId="77777777" w:rsidTr="009501B5">
        <w:trPr>
          <w:trHeight w:val="220"/>
        </w:trPr>
        <w:tc>
          <w:tcPr>
            <w:tcW w:w="2120" w:type="dxa"/>
            <w:tcBorders>
              <w:top w:val="nil"/>
              <w:left w:val="nil"/>
              <w:bottom w:val="nil"/>
              <w:right w:val="nil"/>
            </w:tcBorders>
            <w:vAlign w:val="bottom"/>
          </w:tcPr>
          <w:p w14:paraId="48F3434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3769B86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6DD493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0F268D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55165B4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6857F12B" w14:textId="77777777" w:rsidTr="009501B5">
        <w:trPr>
          <w:trHeight w:hRule="exact" w:val="88"/>
        </w:trPr>
        <w:tc>
          <w:tcPr>
            <w:tcW w:w="2120" w:type="dxa"/>
            <w:tcBorders>
              <w:top w:val="nil"/>
              <w:left w:val="nil"/>
              <w:bottom w:val="double" w:sz="6" w:space="2" w:color="auto"/>
              <w:right w:val="nil"/>
            </w:tcBorders>
            <w:vAlign w:val="bottom"/>
          </w:tcPr>
          <w:p w14:paraId="7A4CB4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BB391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2EDEA7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C480A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2C4F0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FEBC628" w14:textId="77777777" w:rsidTr="009501B5">
        <w:trPr>
          <w:trHeight w:hRule="exact" w:val="132"/>
        </w:trPr>
        <w:tc>
          <w:tcPr>
            <w:tcW w:w="2120" w:type="dxa"/>
            <w:tcBorders>
              <w:top w:val="nil"/>
              <w:left w:val="nil"/>
              <w:bottom w:val="nil"/>
              <w:right w:val="nil"/>
            </w:tcBorders>
            <w:vAlign w:val="bottom"/>
          </w:tcPr>
          <w:p w14:paraId="10CBFE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CDC17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287DA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0DF9BA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D62BC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4DDADF4" w14:textId="77777777" w:rsidTr="009501B5">
        <w:trPr>
          <w:trHeight w:val="220"/>
        </w:trPr>
        <w:tc>
          <w:tcPr>
            <w:tcW w:w="2120" w:type="dxa"/>
            <w:tcBorders>
              <w:top w:val="nil"/>
              <w:left w:val="nil"/>
              <w:bottom w:val="nil"/>
              <w:right w:val="nil"/>
            </w:tcBorders>
            <w:vAlign w:val="bottom"/>
          </w:tcPr>
          <w:p w14:paraId="531DB98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3664724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3.681101</w:t>
            </w:r>
          </w:p>
        </w:tc>
        <w:tc>
          <w:tcPr>
            <w:tcW w:w="1150" w:type="dxa"/>
            <w:tcBorders>
              <w:top w:val="nil"/>
              <w:left w:val="nil"/>
              <w:bottom w:val="nil"/>
              <w:right w:val="nil"/>
            </w:tcBorders>
            <w:vAlign w:val="bottom"/>
          </w:tcPr>
          <w:p w14:paraId="4681B52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790FC0C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2.08</w:t>
            </w:r>
          </w:p>
        </w:tc>
        <w:tc>
          <w:tcPr>
            <w:tcW w:w="950" w:type="dxa"/>
            <w:tcBorders>
              <w:top w:val="nil"/>
              <w:left w:val="nil"/>
              <w:bottom w:val="nil"/>
              <w:right w:val="nil"/>
            </w:tcBorders>
            <w:vAlign w:val="bottom"/>
          </w:tcPr>
          <w:p w14:paraId="6C639F2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w:t>
            </w:r>
          </w:p>
        </w:tc>
      </w:tr>
      <w:tr w:rsidR="00EA38DE" w:rsidRPr="00EA38DE" w14:paraId="648FCDCF" w14:textId="77777777" w:rsidTr="009501B5">
        <w:trPr>
          <w:trHeight w:val="220"/>
        </w:trPr>
        <w:tc>
          <w:tcPr>
            <w:tcW w:w="2120" w:type="dxa"/>
            <w:tcBorders>
              <w:top w:val="nil"/>
              <w:left w:val="nil"/>
              <w:bottom w:val="nil"/>
              <w:right w:val="nil"/>
            </w:tcBorders>
            <w:vAlign w:val="bottom"/>
          </w:tcPr>
          <w:p w14:paraId="07673D3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1EA322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736498A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754053F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2.39</w:t>
            </w:r>
          </w:p>
        </w:tc>
        <w:tc>
          <w:tcPr>
            <w:tcW w:w="950" w:type="dxa"/>
            <w:tcBorders>
              <w:top w:val="nil"/>
              <w:left w:val="nil"/>
              <w:bottom w:val="nil"/>
              <w:right w:val="nil"/>
            </w:tcBorders>
            <w:vAlign w:val="bottom"/>
          </w:tcPr>
          <w:p w14:paraId="3FE238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3.38</w:t>
            </w:r>
          </w:p>
        </w:tc>
      </w:tr>
      <w:tr w:rsidR="00EA38DE" w:rsidRPr="00EA38DE" w14:paraId="3A6566D6" w14:textId="77777777" w:rsidTr="009501B5">
        <w:trPr>
          <w:trHeight w:val="220"/>
        </w:trPr>
        <w:tc>
          <w:tcPr>
            <w:tcW w:w="2120" w:type="dxa"/>
            <w:tcBorders>
              <w:top w:val="nil"/>
              <w:left w:val="nil"/>
              <w:bottom w:val="nil"/>
              <w:right w:val="nil"/>
            </w:tcBorders>
            <w:vAlign w:val="bottom"/>
          </w:tcPr>
          <w:p w14:paraId="7BD762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0DD57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67FE6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43A8EF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w:t>
            </w:r>
          </w:p>
        </w:tc>
        <w:tc>
          <w:tcPr>
            <w:tcW w:w="950" w:type="dxa"/>
            <w:tcBorders>
              <w:top w:val="nil"/>
              <w:left w:val="nil"/>
              <w:bottom w:val="nil"/>
              <w:right w:val="nil"/>
            </w:tcBorders>
            <w:vAlign w:val="bottom"/>
          </w:tcPr>
          <w:p w14:paraId="42E731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3.73</w:t>
            </w:r>
          </w:p>
        </w:tc>
      </w:tr>
      <w:tr w:rsidR="00EA38DE" w:rsidRPr="00EA38DE" w14:paraId="299082FF" w14:textId="77777777" w:rsidTr="009501B5">
        <w:trPr>
          <w:trHeight w:val="220"/>
        </w:trPr>
        <w:tc>
          <w:tcPr>
            <w:tcW w:w="2120" w:type="dxa"/>
            <w:tcBorders>
              <w:top w:val="nil"/>
              <w:left w:val="nil"/>
              <w:bottom w:val="nil"/>
              <w:right w:val="nil"/>
            </w:tcBorders>
            <w:vAlign w:val="bottom"/>
          </w:tcPr>
          <w:p w14:paraId="5F26ED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36FEF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84D81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4070C2B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3.06</w:t>
            </w:r>
          </w:p>
        </w:tc>
        <w:tc>
          <w:tcPr>
            <w:tcW w:w="950" w:type="dxa"/>
            <w:tcBorders>
              <w:top w:val="nil"/>
              <w:left w:val="nil"/>
              <w:bottom w:val="nil"/>
              <w:right w:val="nil"/>
            </w:tcBorders>
            <w:vAlign w:val="bottom"/>
          </w:tcPr>
          <w:p w14:paraId="40EB9A7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4.15</w:t>
            </w:r>
          </w:p>
        </w:tc>
      </w:tr>
      <w:tr w:rsidR="00EA38DE" w:rsidRPr="00EA38DE" w14:paraId="70CA9549" w14:textId="77777777" w:rsidTr="009501B5">
        <w:trPr>
          <w:trHeight w:hRule="exact" w:val="88"/>
        </w:trPr>
        <w:tc>
          <w:tcPr>
            <w:tcW w:w="2120" w:type="dxa"/>
            <w:tcBorders>
              <w:top w:val="nil"/>
              <w:left w:val="nil"/>
              <w:bottom w:val="double" w:sz="6" w:space="0" w:color="auto"/>
              <w:right w:val="nil"/>
            </w:tcBorders>
            <w:vAlign w:val="bottom"/>
          </w:tcPr>
          <w:p w14:paraId="27FE2E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5D5D0B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58D4A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87B05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129171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28D6049" w14:textId="77777777" w:rsidTr="009501B5">
        <w:trPr>
          <w:trHeight w:hRule="exact" w:val="132"/>
        </w:trPr>
        <w:tc>
          <w:tcPr>
            <w:tcW w:w="2120" w:type="dxa"/>
            <w:tcBorders>
              <w:top w:val="nil"/>
              <w:left w:val="nil"/>
              <w:bottom w:val="nil"/>
              <w:right w:val="nil"/>
            </w:tcBorders>
            <w:vAlign w:val="bottom"/>
          </w:tcPr>
          <w:p w14:paraId="26CDF5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64F08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110DB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EB1D3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70DAC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54B39EE5" w14:textId="77777777" w:rsidR="003C6B00" w:rsidRPr="00EA38DE" w:rsidRDefault="003C6B00" w:rsidP="003C6B00">
      <w:r w:rsidRPr="00EA38DE">
        <w:rPr>
          <w:rFonts w:ascii="Arial" w:hAnsi="Arial" w:cs="Arial"/>
          <w:sz w:val="18"/>
          <w:szCs w:val="18"/>
        </w:rPr>
        <w:br/>
      </w:r>
    </w:p>
    <w:p w14:paraId="09E390E2" w14:textId="77777777" w:rsidR="003C6B00" w:rsidRPr="00EA38DE" w:rsidRDefault="003C6B00" w:rsidP="003C6B00"/>
    <w:p w14:paraId="7A39F1D5" w14:textId="77777777" w:rsidR="003C6B00" w:rsidRPr="00EA38DE" w:rsidRDefault="003C6B00" w:rsidP="003C6B00"/>
    <w:p w14:paraId="1BFF8060" w14:textId="77777777" w:rsidR="003C6B00" w:rsidRPr="00EA38DE" w:rsidRDefault="003C6B00" w:rsidP="003C6B00"/>
    <w:p w14:paraId="33ECB06D" w14:textId="77777777" w:rsidR="003C6B00" w:rsidRPr="00EA38DE" w:rsidRDefault="003C6B00" w:rsidP="003C6B00"/>
    <w:p w14:paraId="1A391F5D" w14:textId="77777777" w:rsidR="003C6B00" w:rsidRPr="00EA38DE" w:rsidRDefault="003C6B00" w:rsidP="003C6B00"/>
    <w:p w14:paraId="1C74FD7E" w14:textId="77777777" w:rsidR="003C6B00" w:rsidRPr="00EA38DE" w:rsidRDefault="003C6B00" w:rsidP="003C6B00"/>
    <w:p w14:paraId="4F2D81EC" w14:textId="77777777" w:rsidR="003C6B00" w:rsidRPr="00EA38DE" w:rsidRDefault="003C6B00" w:rsidP="003C6B00"/>
    <w:p w14:paraId="7A3A70DE" w14:textId="77777777" w:rsidR="00C26BF7" w:rsidRPr="00EA38DE" w:rsidRDefault="00C26BF7" w:rsidP="003C6B00"/>
    <w:p w14:paraId="1FDE0896" w14:textId="77777777" w:rsidR="003C6B00" w:rsidRPr="00EA38DE" w:rsidRDefault="003C6B00" w:rsidP="003C6B00"/>
    <w:p w14:paraId="23FC31C5"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3F0D5A07" w14:textId="77777777" w:rsidTr="009501B5">
        <w:trPr>
          <w:trHeight w:val="220"/>
        </w:trPr>
        <w:tc>
          <w:tcPr>
            <w:tcW w:w="6420" w:type="dxa"/>
            <w:gridSpan w:val="5"/>
            <w:tcBorders>
              <w:top w:val="nil"/>
              <w:left w:val="nil"/>
              <w:bottom w:val="nil"/>
              <w:right w:val="nil"/>
            </w:tcBorders>
            <w:vAlign w:val="bottom"/>
          </w:tcPr>
          <w:p w14:paraId="1D0E0CC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Long Run Form and Bounds Test</w:t>
            </w:r>
          </w:p>
        </w:tc>
      </w:tr>
      <w:tr w:rsidR="00EA38DE" w:rsidRPr="00EA38DE" w14:paraId="20A1620A" w14:textId="77777777" w:rsidTr="009501B5">
        <w:trPr>
          <w:trHeight w:val="220"/>
        </w:trPr>
        <w:tc>
          <w:tcPr>
            <w:tcW w:w="5470" w:type="dxa"/>
            <w:gridSpan w:val="4"/>
            <w:tcBorders>
              <w:top w:val="nil"/>
              <w:left w:val="nil"/>
              <w:bottom w:val="nil"/>
              <w:right w:val="nil"/>
            </w:tcBorders>
            <w:vAlign w:val="bottom"/>
          </w:tcPr>
          <w:p w14:paraId="7E43A4A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D(LCTP)</w:t>
            </w:r>
          </w:p>
        </w:tc>
        <w:tc>
          <w:tcPr>
            <w:tcW w:w="950" w:type="dxa"/>
            <w:tcBorders>
              <w:top w:val="nil"/>
              <w:left w:val="nil"/>
              <w:bottom w:val="nil"/>
              <w:right w:val="nil"/>
            </w:tcBorders>
            <w:vAlign w:val="bottom"/>
          </w:tcPr>
          <w:p w14:paraId="041124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0A9F100" w14:textId="77777777" w:rsidTr="009501B5">
        <w:trPr>
          <w:trHeight w:val="220"/>
        </w:trPr>
        <w:tc>
          <w:tcPr>
            <w:tcW w:w="6420" w:type="dxa"/>
            <w:gridSpan w:val="5"/>
            <w:tcBorders>
              <w:top w:val="nil"/>
              <w:left w:val="nil"/>
              <w:bottom w:val="nil"/>
              <w:right w:val="nil"/>
            </w:tcBorders>
            <w:vAlign w:val="bottom"/>
          </w:tcPr>
          <w:p w14:paraId="6A3AE68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3, 3, 2, 2, 1)</w:t>
            </w:r>
          </w:p>
        </w:tc>
      </w:tr>
      <w:tr w:rsidR="00EA38DE" w:rsidRPr="00EA38DE" w14:paraId="15B351E3" w14:textId="77777777" w:rsidTr="009501B5">
        <w:trPr>
          <w:trHeight w:val="220"/>
        </w:trPr>
        <w:tc>
          <w:tcPr>
            <w:tcW w:w="6420" w:type="dxa"/>
            <w:gridSpan w:val="5"/>
            <w:tcBorders>
              <w:top w:val="nil"/>
              <w:left w:val="nil"/>
              <w:bottom w:val="nil"/>
              <w:right w:val="nil"/>
            </w:tcBorders>
            <w:vAlign w:val="bottom"/>
          </w:tcPr>
          <w:p w14:paraId="428F7CC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2E3E4458" w14:textId="77777777" w:rsidTr="009501B5">
        <w:trPr>
          <w:trHeight w:val="220"/>
        </w:trPr>
        <w:tc>
          <w:tcPr>
            <w:tcW w:w="5470" w:type="dxa"/>
            <w:gridSpan w:val="4"/>
            <w:tcBorders>
              <w:top w:val="nil"/>
              <w:left w:val="nil"/>
              <w:bottom w:val="nil"/>
              <w:right w:val="nil"/>
            </w:tcBorders>
            <w:vAlign w:val="bottom"/>
          </w:tcPr>
          <w:p w14:paraId="1B5938A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09:22</w:t>
            </w:r>
          </w:p>
        </w:tc>
        <w:tc>
          <w:tcPr>
            <w:tcW w:w="950" w:type="dxa"/>
            <w:tcBorders>
              <w:top w:val="nil"/>
              <w:left w:val="nil"/>
              <w:bottom w:val="nil"/>
              <w:right w:val="nil"/>
            </w:tcBorders>
            <w:vAlign w:val="bottom"/>
          </w:tcPr>
          <w:p w14:paraId="48DF01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511DC66" w14:textId="77777777" w:rsidTr="009501B5">
        <w:trPr>
          <w:trHeight w:val="220"/>
        </w:trPr>
        <w:tc>
          <w:tcPr>
            <w:tcW w:w="4320" w:type="dxa"/>
            <w:gridSpan w:val="3"/>
            <w:tcBorders>
              <w:top w:val="nil"/>
              <w:left w:val="nil"/>
              <w:bottom w:val="nil"/>
              <w:right w:val="nil"/>
            </w:tcBorders>
            <w:vAlign w:val="bottom"/>
          </w:tcPr>
          <w:p w14:paraId="25D0A1A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4FD5B0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3E0E0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1816741" w14:textId="77777777" w:rsidTr="009501B5">
        <w:trPr>
          <w:trHeight w:val="220"/>
        </w:trPr>
        <w:tc>
          <w:tcPr>
            <w:tcW w:w="5470" w:type="dxa"/>
            <w:gridSpan w:val="4"/>
            <w:tcBorders>
              <w:top w:val="nil"/>
              <w:left w:val="nil"/>
              <w:bottom w:val="nil"/>
              <w:right w:val="nil"/>
            </w:tcBorders>
            <w:vAlign w:val="bottom"/>
          </w:tcPr>
          <w:p w14:paraId="49413AF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667F6C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D92D87E" w14:textId="77777777" w:rsidTr="009501B5">
        <w:trPr>
          <w:trHeight w:hRule="exact" w:val="88"/>
        </w:trPr>
        <w:tc>
          <w:tcPr>
            <w:tcW w:w="2120" w:type="dxa"/>
            <w:tcBorders>
              <w:top w:val="nil"/>
              <w:left w:val="nil"/>
              <w:bottom w:val="double" w:sz="6" w:space="2" w:color="auto"/>
              <w:right w:val="nil"/>
            </w:tcBorders>
            <w:vAlign w:val="bottom"/>
          </w:tcPr>
          <w:p w14:paraId="1C630F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F4A97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BAF6F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4502A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27500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A9C0A0D" w14:textId="77777777" w:rsidTr="009501B5">
        <w:trPr>
          <w:trHeight w:hRule="exact" w:val="132"/>
        </w:trPr>
        <w:tc>
          <w:tcPr>
            <w:tcW w:w="2120" w:type="dxa"/>
            <w:tcBorders>
              <w:top w:val="nil"/>
              <w:left w:val="nil"/>
              <w:bottom w:val="nil"/>
              <w:right w:val="nil"/>
            </w:tcBorders>
            <w:vAlign w:val="bottom"/>
          </w:tcPr>
          <w:p w14:paraId="55881F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23A01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665C9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9DD30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58C83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15F8895" w14:textId="77777777" w:rsidTr="009501B5">
        <w:trPr>
          <w:trHeight w:val="220"/>
        </w:trPr>
        <w:tc>
          <w:tcPr>
            <w:tcW w:w="6420" w:type="dxa"/>
            <w:gridSpan w:val="5"/>
            <w:tcBorders>
              <w:top w:val="nil"/>
              <w:left w:val="nil"/>
              <w:bottom w:val="nil"/>
              <w:right w:val="nil"/>
            </w:tcBorders>
            <w:vAlign w:val="bottom"/>
          </w:tcPr>
          <w:p w14:paraId="2F3A79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1EF62942" w14:textId="77777777" w:rsidTr="009501B5">
        <w:trPr>
          <w:trHeight w:hRule="exact" w:val="88"/>
        </w:trPr>
        <w:tc>
          <w:tcPr>
            <w:tcW w:w="2120" w:type="dxa"/>
            <w:tcBorders>
              <w:top w:val="nil"/>
              <w:left w:val="nil"/>
              <w:bottom w:val="double" w:sz="6" w:space="2" w:color="auto"/>
              <w:right w:val="nil"/>
            </w:tcBorders>
            <w:vAlign w:val="bottom"/>
          </w:tcPr>
          <w:p w14:paraId="7907B78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818E2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DC593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FBA8E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2E825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C752217" w14:textId="77777777" w:rsidTr="009501B5">
        <w:trPr>
          <w:trHeight w:hRule="exact" w:val="132"/>
        </w:trPr>
        <w:tc>
          <w:tcPr>
            <w:tcW w:w="2120" w:type="dxa"/>
            <w:tcBorders>
              <w:top w:val="nil"/>
              <w:left w:val="nil"/>
              <w:bottom w:val="nil"/>
              <w:right w:val="nil"/>
            </w:tcBorders>
            <w:vAlign w:val="bottom"/>
          </w:tcPr>
          <w:p w14:paraId="64998C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1C0BA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9BA60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E0932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1F2D8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7C6AABF" w14:textId="77777777" w:rsidTr="009501B5">
        <w:trPr>
          <w:trHeight w:val="220"/>
        </w:trPr>
        <w:tc>
          <w:tcPr>
            <w:tcW w:w="2120" w:type="dxa"/>
            <w:tcBorders>
              <w:top w:val="nil"/>
              <w:left w:val="nil"/>
              <w:bottom w:val="nil"/>
              <w:right w:val="nil"/>
            </w:tcBorders>
            <w:vAlign w:val="bottom"/>
          </w:tcPr>
          <w:p w14:paraId="64A9CD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614A39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7789C44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7B3C45D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525025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2FB4247E" w14:textId="77777777" w:rsidTr="009501B5">
        <w:trPr>
          <w:trHeight w:hRule="exact" w:val="88"/>
        </w:trPr>
        <w:tc>
          <w:tcPr>
            <w:tcW w:w="2120" w:type="dxa"/>
            <w:tcBorders>
              <w:top w:val="nil"/>
              <w:left w:val="nil"/>
              <w:bottom w:val="double" w:sz="6" w:space="2" w:color="auto"/>
              <w:right w:val="nil"/>
            </w:tcBorders>
            <w:vAlign w:val="bottom"/>
          </w:tcPr>
          <w:p w14:paraId="4B913E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E1B4B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83C7C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380CC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F3FDA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C709C29" w14:textId="77777777" w:rsidTr="009501B5">
        <w:trPr>
          <w:trHeight w:hRule="exact" w:val="132"/>
        </w:trPr>
        <w:tc>
          <w:tcPr>
            <w:tcW w:w="2120" w:type="dxa"/>
            <w:tcBorders>
              <w:top w:val="nil"/>
              <w:left w:val="nil"/>
              <w:bottom w:val="nil"/>
              <w:right w:val="nil"/>
            </w:tcBorders>
            <w:vAlign w:val="bottom"/>
          </w:tcPr>
          <w:p w14:paraId="2CE8B7D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6E254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3D858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DD3A1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AE348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8863AC8" w14:textId="77777777" w:rsidTr="009501B5">
        <w:trPr>
          <w:trHeight w:val="220"/>
        </w:trPr>
        <w:tc>
          <w:tcPr>
            <w:tcW w:w="2120" w:type="dxa"/>
            <w:tcBorders>
              <w:top w:val="nil"/>
              <w:left w:val="nil"/>
              <w:bottom w:val="nil"/>
              <w:right w:val="nil"/>
            </w:tcBorders>
            <w:vAlign w:val="bottom"/>
          </w:tcPr>
          <w:p w14:paraId="4723AD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3EBE5B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-9.080302</w:t>
            </w:r>
          </w:p>
        </w:tc>
        <w:tc>
          <w:tcPr>
            <w:tcW w:w="1150" w:type="dxa"/>
            <w:tcBorders>
              <w:top w:val="nil"/>
              <w:left w:val="nil"/>
              <w:bottom w:val="nil"/>
              <w:right w:val="nil"/>
            </w:tcBorders>
            <w:vAlign w:val="bottom"/>
          </w:tcPr>
          <w:p w14:paraId="27C6E0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3.978396</w:t>
            </w:r>
          </w:p>
        </w:tc>
        <w:tc>
          <w:tcPr>
            <w:tcW w:w="1150" w:type="dxa"/>
            <w:tcBorders>
              <w:top w:val="nil"/>
              <w:left w:val="nil"/>
              <w:bottom w:val="nil"/>
              <w:right w:val="nil"/>
            </w:tcBorders>
            <w:vAlign w:val="bottom"/>
          </w:tcPr>
          <w:p w14:paraId="13A568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-2.282402</w:t>
            </w:r>
          </w:p>
        </w:tc>
        <w:tc>
          <w:tcPr>
            <w:tcW w:w="950" w:type="dxa"/>
            <w:tcBorders>
              <w:top w:val="nil"/>
              <w:left w:val="nil"/>
              <w:bottom w:val="nil"/>
              <w:right w:val="nil"/>
            </w:tcBorders>
            <w:vAlign w:val="bottom"/>
          </w:tcPr>
          <w:p w14:paraId="4BA1C81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0.0386</w:t>
            </w:r>
          </w:p>
        </w:tc>
      </w:tr>
      <w:tr w:rsidR="00EA38DE" w:rsidRPr="00EA38DE" w14:paraId="75384CB8" w14:textId="77777777" w:rsidTr="009501B5">
        <w:trPr>
          <w:trHeight w:val="220"/>
        </w:trPr>
        <w:tc>
          <w:tcPr>
            <w:tcW w:w="2120" w:type="dxa"/>
            <w:tcBorders>
              <w:top w:val="nil"/>
              <w:left w:val="nil"/>
              <w:bottom w:val="nil"/>
              <w:right w:val="nil"/>
            </w:tcBorders>
            <w:vAlign w:val="bottom"/>
          </w:tcPr>
          <w:p w14:paraId="7089BA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LCTP(-1)*</w:t>
            </w:r>
          </w:p>
        </w:tc>
        <w:tc>
          <w:tcPr>
            <w:tcW w:w="1050" w:type="dxa"/>
            <w:tcBorders>
              <w:top w:val="nil"/>
              <w:left w:val="nil"/>
              <w:bottom w:val="nil"/>
              <w:right w:val="nil"/>
            </w:tcBorders>
            <w:vAlign w:val="bottom"/>
          </w:tcPr>
          <w:p w14:paraId="6EB1D72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-0.466421</w:t>
            </w:r>
          </w:p>
        </w:tc>
        <w:tc>
          <w:tcPr>
            <w:tcW w:w="1150" w:type="dxa"/>
            <w:tcBorders>
              <w:top w:val="nil"/>
              <w:left w:val="nil"/>
              <w:bottom w:val="nil"/>
              <w:right w:val="nil"/>
            </w:tcBorders>
            <w:vAlign w:val="bottom"/>
          </w:tcPr>
          <w:p w14:paraId="37972F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0.179554</w:t>
            </w:r>
          </w:p>
        </w:tc>
        <w:tc>
          <w:tcPr>
            <w:tcW w:w="1150" w:type="dxa"/>
            <w:tcBorders>
              <w:top w:val="nil"/>
              <w:left w:val="nil"/>
              <w:bottom w:val="nil"/>
              <w:right w:val="nil"/>
            </w:tcBorders>
            <w:vAlign w:val="bottom"/>
          </w:tcPr>
          <w:p w14:paraId="3E0C270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-2.597665</w:t>
            </w:r>
          </w:p>
        </w:tc>
        <w:tc>
          <w:tcPr>
            <w:tcW w:w="950" w:type="dxa"/>
            <w:tcBorders>
              <w:top w:val="nil"/>
              <w:left w:val="nil"/>
              <w:bottom w:val="nil"/>
              <w:right w:val="nil"/>
            </w:tcBorders>
            <w:vAlign w:val="bottom"/>
          </w:tcPr>
          <w:p w14:paraId="73433A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0.0211</w:t>
            </w:r>
          </w:p>
        </w:tc>
      </w:tr>
      <w:tr w:rsidR="00EA38DE" w:rsidRPr="00EA38DE" w14:paraId="37E7485D" w14:textId="77777777" w:rsidTr="009501B5">
        <w:trPr>
          <w:trHeight w:val="220"/>
        </w:trPr>
        <w:tc>
          <w:tcPr>
            <w:tcW w:w="2120" w:type="dxa"/>
            <w:tcBorders>
              <w:top w:val="nil"/>
              <w:left w:val="nil"/>
              <w:bottom w:val="nil"/>
              <w:right w:val="nil"/>
            </w:tcBorders>
            <w:vAlign w:val="bottom"/>
          </w:tcPr>
          <w:p w14:paraId="0BE418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LFSH(-1)</w:t>
            </w:r>
          </w:p>
        </w:tc>
        <w:tc>
          <w:tcPr>
            <w:tcW w:w="1050" w:type="dxa"/>
            <w:tcBorders>
              <w:top w:val="nil"/>
              <w:left w:val="nil"/>
              <w:bottom w:val="nil"/>
              <w:right w:val="nil"/>
            </w:tcBorders>
            <w:vAlign w:val="bottom"/>
          </w:tcPr>
          <w:p w14:paraId="489517A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-0.641481</w:t>
            </w:r>
          </w:p>
        </w:tc>
        <w:tc>
          <w:tcPr>
            <w:tcW w:w="1150" w:type="dxa"/>
            <w:tcBorders>
              <w:top w:val="nil"/>
              <w:left w:val="nil"/>
              <w:bottom w:val="nil"/>
              <w:right w:val="nil"/>
            </w:tcBorders>
            <w:vAlign w:val="bottom"/>
          </w:tcPr>
          <w:p w14:paraId="1AB8F5C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0.332700</w:t>
            </w:r>
          </w:p>
        </w:tc>
        <w:tc>
          <w:tcPr>
            <w:tcW w:w="1150" w:type="dxa"/>
            <w:tcBorders>
              <w:top w:val="nil"/>
              <w:left w:val="nil"/>
              <w:bottom w:val="nil"/>
              <w:right w:val="nil"/>
            </w:tcBorders>
            <w:vAlign w:val="bottom"/>
          </w:tcPr>
          <w:p w14:paraId="44B8944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-1.928108</w:t>
            </w:r>
          </w:p>
        </w:tc>
        <w:tc>
          <w:tcPr>
            <w:tcW w:w="950" w:type="dxa"/>
            <w:tcBorders>
              <w:top w:val="nil"/>
              <w:left w:val="nil"/>
              <w:bottom w:val="nil"/>
              <w:right w:val="nil"/>
            </w:tcBorders>
            <w:vAlign w:val="bottom"/>
          </w:tcPr>
          <w:p w14:paraId="781E27B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0.0744</w:t>
            </w:r>
          </w:p>
        </w:tc>
      </w:tr>
      <w:tr w:rsidR="00EA38DE" w:rsidRPr="00EA38DE" w14:paraId="38093774" w14:textId="77777777" w:rsidTr="009501B5">
        <w:trPr>
          <w:trHeight w:val="220"/>
        </w:trPr>
        <w:tc>
          <w:tcPr>
            <w:tcW w:w="2120" w:type="dxa"/>
            <w:tcBorders>
              <w:top w:val="nil"/>
              <w:left w:val="nil"/>
              <w:bottom w:val="nil"/>
              <w:right w:val="nil"/>
            </w:tcBorders>
            <w:vAlign w:val="bottom"/>
          </w:tcPr>
          <w:p w14:paraId="3ECFF5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IFR(-1)</w:t>
            </w:r>
          </w:p>
        </w:tc>
        <w:tc>
          <w:tcPr>
            <w:tcW w:w="1050" w:type="dxa"/>
            <w:tcBorders>
              <w:top w:val="nil"/>
              <w:left w:val="nil"/>
              <w:bottom w:val="nil"/>
              <w:right w:val="nil"/>
            </w:tcBorders>
            <w:vAlign w:val="bottom"/>
          </w:tcPr>
          <w:p w14:paraId="4B0512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-0.003069</w:t>
            </w:r>
          </w:p>
        </w:tc>
        <w:tc>
          <w:tcPr>
            <w:tcW w:w="1150" w:type="dxa"/>
            <w:tcBorders>
              <w:top w:val="nil"/>
              <w:left w:val="nil"/>
              <w:bottom w:val="nil"/>
              <w:right w:val="nil"/>
            </w:tcBorders>
            <w:vAlign w:val="bottom"/>
          </w:tcPr>
          <w:p w14:paraId="1C9D120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0.003494</w:t>
            </w:r>
          </w:p>
        </w:tc>
        <w:tc>
          <w:tcPr>
            <w:tcW w:w="1150" w:type="dxa"/>
            <w:tcBorders>
              <w:top w:val="nil"/>
              <w:left w:val="nil"/>
              <w:bottom w:val="nil"/>
              <w:right w:val="nil"/>
            </w:tcBorders>
            <w:vAlign w:val="bottom"/>
          </w:tcPr>
          <w:p w14:paraId="50C99DD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-0.878506</w:t>
            </w:r>
          </w:p>
        </w:tc>
        <w:tc>
          <w:tcPr>
            <w:tcW w:w="950" w:type="dxa"/>
            <w:tcBorders>
              <w:top w:val="nil"/>
              <w:left w:val="nil"/>
              <w:bottom w:val="nil"/>
              <w:right w:val="nil"/>
            </w:tcBorders>
            <w:vAlign w:val="bottom"/>
          </w:tcPr>
          <w:p w14:paraId="61BA02C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0.3945</w:t>
            </w:r>
          </w:p>
        </w:tc>
      </w:tr>
      <w:tr w:rsidR="00EA38DE" w:rsidRPr="00EA38DE" w14:paraId="67E40156" w14:textId="77777777" w:rsidTr="009501B5">
        <w:trPr>
          <w:trHeight w:val="220"/>
        </w:trPr>
        <w:tc>
          <w:tcPr>
            <w:tcW w:w="2120" w:type="dxa"/>
            <w:tcBorders>
              <w:top w:val="nil"/>
              <w:left w:val="nil"/>
              <w:bottom w:val="nil"/>
              <w:right w:val="nil"/>
            </w:tcBorders>
            <w:vAlign w:val="bottom"/>
          </w:tcPr>
          <w:p w14:paraId="54A128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LLAB(-1)</w:t>
            </w:r>
          </w:p>
        </w:tc>
        <w:tc>
          <w:tcPr>
            <w:tcW w:w="1050" w:type="dxa"/>
            <w:tcBorders>
              <w:top w:val="nil"/>
              <w:left w:val="nil"/>
              <w:bottom w:val="nil"/>
              <w:right w:val="nil"/>
            </w:tcBorders>
            <w:vAlign w:val="bottom"/>
          </w:tcPr>
          <w:p w14:paraId="459F25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2.184089</w:t>
            </w:r>
          </w:p>
        </w:tc>
        <w:tc>
          <w:tcPr>
            <w:tcW w:w="1150" w:type="dxa"/>
            <w:tcBorders>
              <w:top w:val="nil"/>
              <w:left w:val="nil"/>
              <w:bottom w:val="nil"/>
              <w:right w:val="nil"/>
            </w:tcBorders>
            <w:vAlign w:val="bottom"/>
          </w:tcPr>
          <w:p w14:paraId="05759BF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0.696950</w:t>
            </w:r>
          </w:p>
        </w:tc>
        <w:tc>
          <w:tcPr>
            <w:tcW w:w="1150" w:type="dxa"/>
            <w:tcBorders>
              <w:top w:val="nil"/>
              <w:left w:val="nil"/>
              <w:bottom w:val="nil"/>
              <w:right w:val="nil"/>
            </w:tcBorders>
            <w:vAlign w:val="bottom"/>
          </w:tcPr>
          <w:p w14:paraId="0BEC3F9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3.133783</w:t>
            </w:r>
          </w:p>
        </w:tc>
        <w:tc>
          <w:tcPr>
            <w:tcW w:w="950" w:type="dxa"/>
            <w:tcBorders>
              <w:top w:val="nil"/>
              <w:left w:val="nil"/>
              <w:bottom w:val="nil"/>
              <w:right w:val="nil"/>
            </w:tcBorders>
            <w:vAlign w:val="bottom"/>
          </w:tcPr>
          <w:p w14:paraId="014FA7C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0.0073</w:t>
            </w:r>
          </w:p>
        </w:tc>
      </w:tr>
      <w:tr w:rsidR="00EA38DE" w:rsidRPr="00EA38DE" w14:paraId="2AE9510B" w14:textId="77777777" w:rsidTr="009501B5">
        <w:trPr>
          <w:trHeight w:val="220"/>
        </w:trPr>
        <w:tc>
          <w:tcPr>
            <w:tcW w:w="2120" w:type="dxa"/>
            <w:tcBorders>
              <w:top w:val="nil"/>
              <w:left w:val="nil"/>
              <w:bottom w:val="nil"/>
              <w:right w:val="nil"/>
            </w:tcBorders>
            <w:vAlign w:val="bottom"/>
          </w:tcPr>
          <w:p w14:paraId="311439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TRF(-1)</w:t>
            </w:r>
          </w:p>
        </w:tc>
        <w:tc>
          <w:tcPr>
            <w:tcW w:w="1050" w:type="dxa"/>
            <w:tcBorders>
              <w:top w:val="nil"/>
              <w:left w:val="nil"/>
              <w:bottom w:val="nil"/>
              <w:right w:val="nil"/>
            </w:tcBorders>
            <w:vAlign w:val="bottom"/>
          </w:tcPr>
          <w:p w14:paraId="6FDF7F3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0.099937</w:t>
            </w:r>
          </w:p>
        </w:tc>
        <w:tc>
          <w:tcPr>
            <w:tcW w:w="1150" w:type="dxa"/>
            <w:tcBorders>
              <w:top w:val="nil"/>
              <w:left w:val="nil"/>
              <w:bottom w:val="nil"/>
              <w:right w:val="nil"/>
            </w:tcBorders>
            <w:vAlign w:val="bottom"/>
          </w:tcPr>
          <w:p w14:paraId="6C2093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0.039360</w:t>
            </w:r>
          </w:p>
        </w:tc>
        <w:tc>
          <w:tcPr>
            <w:tcW w:w="1150" w:type="dxa"/>
            <w:tcBorders>
              <w:top w:val="nil"/>
              <w:left w:val="nil"/>
              <w:bottom w:val="nil"/>
              <w:right w:val="nil"/>
            </w:tcBorders>
            <w:vAlign w:val="bottom"/>
          </w:tcPr>
          <w:p w14:paraId="38C0233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2.539035</w:t>
            </w:r>
          </w:p>
        </w:tc>
        <w:tc>
          <w:tcPr>
            <w:tcW w:w="950" w:type="dxa"/>
            <w:tcBorders>
              <w:top w:val="nil"/>
              <w:left w:val="nil"/>
              <w:bottom w:val="nil"/>
              <w:right w:val="nil"/>
            </w:tcBorders>
            <w:vAlign w:val="bottom"/>
          </w:tcPr>
          <w:p w14:paraId="3E1446B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0.0236</w:t>
            </w:r>
          </w:p>
        </w:tc>
      </w:tr>
      <w:tr w:rsidR="00EA38DE" w:rsidRPr="00EA38DE" w14:paraId="29A2217D" w14:textId="77777777" w:rsidTr="009501B5">
        <w:trPr>
          <w:trHeight w:val="220"/>
        </w:trPr>
        <w:tc>
          <w:tcPr>
            <w:tcW w:w="2120" w:type="dxa"/>
            <w:tcBorders>
              <w:top w:val="nil"/>
              <w:left w:val="nil"/>
              <w:bottom w:val="nil"/>
              <w:right w:val="nil"/>
            </w:tcBorders>
            <w:vAlign w:val="bottom"/>
          </w:tcPr>
          <w:p w14:paraId="53D6CA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w:t>
            </w:r>
          </w:p>
        </w:tc>
        <w:tc>
          <w:tcPr>
            <w:tcW w:w="1050" w:type="dxa"/>
            <w:tcBorders>
              <w:top w:val="nil"/>
              <w:left w:val="nil"/>
              <w:bottom w:val="nil"/>
              <w:right w:val="nil"/>
            </w:tcBorders>
            <w:vAlign w:val="bottom"/>
          </w:tcPr>
          <w:p w14:paraId="722F9A2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0.340790</w:t>
            </w:r>
          </w:p>
        </w:tc>
        <w:tc>
          <w:tcPr>
            <w:tcW w:w="1150" w:type="dxa"/>
            <w:tcBorders>
              <w:top w:val="nil"/>
              <w:left w:val="nil"/>
              <w:bottom w:val="nil"/>
              <w:right w:val="nil"/>
            </w:tcBorders>
            <w:vAlign w:val="bottom"/>
          </w:tcPr>
          <w:p w14:paraId="2738B48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0.264633</w:t>
            </w:r>
          </w:p>
        </w:tc>
        <w:tc>
          <w:tcPr>
            <w:tcW w:w="1150" w:type="dxa"/>
            <w:tcBorders>
              <w:top w:val="nil"/>
              <w:left w:val="nil"/>
              <w:bottom w:val="nil"/>
              <w:right w:val="nil"/>
            </w:tcBorders>
            <w:vAlign w:val="bottom"/>
          </w:tcPr>
          <w:p w14:paraId="4572CFC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1.287783</w:t>
            </w:r>
          </w:p>
        </w:tc>
        <w:tc>
          <w:tcPr>
            <w:tcW w:w="950" w:type="dxa"/>
            <w:tcBorders>
              <w:top w:val="nil"/>
              <w:left w:val="nil"/>
              <w:bottom w:val="nil"/>
              <w:right w:val="nil"/>
            </w:tcBorders>
            <w:vAlign w:val="bottom"/>
          </w:tcPr>
          <w:p w14:paraId="609AB1C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0.2187</w:t>
            </w:r>
          </w:p>
        </w:tc>
      </w:tr>
      <w:tr w:rsidR="00EA38DE" w:rsidRPr="00EA38DE" w14:paraId="7A8AC009" w14:textId="77777777" w:rsidTr="009501B5">
        <w:trPr>
          <w:trHeight w:val="220"/>
        </w:trPr>
        <w:tc>
          <w:tcPr>
            <w:tcW w:w="2120" w:type="dxa"/>
            <w:tcBorders>
              <w:top w:val="nil"/>
              <w:left w:val="nil"/>
              <w:bottom w:val="nil"/>
              <w:right w:val="nil"/>
            </w:tcBorders>
            <w:vAlign w:val="bottom"/>
          </w:tcPr>
          <w:p w14:paraId="4BEB93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D(LFSH(-1))</w:t>
            </w:r>
          </w:p>
        </w:tc>
        <w:tc>
          <w:tcPr>
            <w:tcW w:w="1050" w:type="dxa"/>
            <w:tcBorders>
              <w:top w:val="nil"/>
              <w:left w:val="nil"/>
              <w:bottom w:val="nil"/>
              <w:right w:val="nil"/>
            </w:tcBorders>
            <w:vAlign w:val="bottom"/>
          </w:tcPr>
          <w:p w14:paraId="277BD1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0.967938</w:t>
            </w:r>
          </w:p>
        </w:tc>
        <w:tc>
          <w:tcPr>
            <w:tcW w:w="1150" w:type="dxa"/>
            <w:tcBorders>
              <w:top w:val="nil"/>
              <w:left w:val="nil"/>
              <w:bottom w:val="nil"/>
              <w:right w:val="nil"/>
            </w:tcBorders>
            <w:vAlign w:val="bottom"/>
          </w:tcPr>
          <w:p w14:paraId="541701B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0.472407</w:t>
            </w:r>
          </w:p>
        </w:tc>
        <w:tc>
          <w:tcPr>
            <w:tcW w:w="1150" w:type="dxa"/>
            <w:tcBorders>
              <w:top w:val="nil"/>
              <w:left w:val="nil"/>
              <w:bottom w:val="nil"/>
              <w:right w:val="nil"/>
            </w:tcBorders>
            <w:vAlign w:val="bottom"/>
          </w:tcPr>
          <w:p w14:paraId="11A9297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2.048947</w:t>
            </w:r>
          </w:p>
        </w:tc>
        <w:tc>
          <w:tcPr>
            <w:tcW w:w="950" w:type="dxa"/>
            <w:tcBorders>
              <w:top w:val="nil"/>
              <w:left w:val="nil"/>
              <w:bottom w:val="nil"/>
              <w:right w:val="nil"/>
            </w:tcBorders>
            <w:vAlign w:val="bottom"/>
          </w:tcPr>
          <w:p w14:paraId="21A964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0.0597</w:t>
            </w:r>
          </w:p>
        </w:tc>
      </w:tr>
      <w:tr w:rsidR="00EA38DE" w:rsidRPr="00EA38DE" w14:paraId="0CCC9A3F" w14:textId="77777777" w:rsidTr="009501B5">
        <w:trPr>
          <w:trHeight w:val="220"/>
        </w:trPr>
        <w:tc>
          <w:tcPr>
            <w:tcW w:w="2120" w:type="dxa"/>
            <w:tcBorders>
              <w:top w:val="nil"/>
              <w:left w:val="nil"/>
              <w:bottom w:val="nil"/>
              <w:right w:val="nil"/>
            </w:tcBorders>
            <w:vAlign w:val="bottom"/>
          </w:tcPr>
          <w:p w14:paraId="37F612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D(LFSH(-2))</w:t>
            </w:r>
          </w:p>
        </w:tc>
        <w:tc>
          <w:tcPr>
            <w:tcW w:w="1050" w:type="dxa"/>
            <w:tcBorders>
              <w:top w:val="nil"/>
              <w:left w:val="nil"/>
              <w:bottom w:val="nil"/>
              <w:right w:val="nil"/>
            </w:tcBorders>
            <w:vAlign w:val="bottom"/>
          </w:tcPr>
          <w:p w14:paraId="7630B4C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1.070219</w:t>
            </w:r>
          </w:p>
        </w:tc>
        <w:tc>
          <w:tcPr>
            <w:tcW w:w="1150" w:type="dxa"/>
            <w:tcBorders>
              <w:top w:val="nil"/>
              <w:left w:val="nil"/>
              <w:bottom w:val="nil"/>
              <w:right w:val="nil"/>
            </w:tcBorders>
            <w:vAlign w:val="bottom"/>
          </w:tcPr>
          <w:p w14:paraId="459529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0.402604</w:t>
            </w:r>
          </w:p>
        </w:tc>
        <w:tc>
          <w:tcPr>
            <w:tcW w:w="1150" w:type="dxa"/>
            <w:tcBorders>
              <w:top w:val="nil"/>
              <w:left w:val="nil"/>
              <w:bottom w:val="nil"/>
              <w:right w:val="nil"/>
            </w:tcBorders>
            <w:vAlign w:val="bottom"/>
          </w:tcPr>
          <w:p w14:paraId="0670F4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2.658245</w:t>
            </w:r>
          </w:p>
        </w:tc>
        <w:tc>
          <w:tcPr>
            <w:tcW w:w="950" w:type="dxa"/>
            <w:tcBorders>
              <w:top w:val="nil"/>
              <w:left w:val="nil"/>
              <w:bottom w:val="nil"/>
              <w:right w:val="nil"/>
            </w:tcBorders>
            <w:vAlign w:val="bottom"/>
          </w:tcPr>
          <w:p w14:paraId="364EEC5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0.0187</w:t>
            </w:r>
          </w:p>
        </w:tc>
      </w:tr>
      <w:tr w:rsidR="00EA38DE" w:rsidRPr="00EA38DE" w14:paraId="271D9FF1" w14:textId="77777777" w:rsidTr="009501B5">
        <w:trPr>
          <w:trHeight w:val="220"/>
        </w:trPr>
        <w:tc>
          <w:tcPr>
            <w:tcW w:w="2120" w:type="dxa"/>
            <w:tcBorders>
              <w:top w:val="nil"/>
              <w:left w:val="nil"/>
              <w:bottom w:val="nil"/>
              <w:right w:val="nil"/>
            </w:tcBorders>
            <w:vAlign w:val="bottom"/>
          </w:tcPr>
          <w:p w14:paraId="20462C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3F35F8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-0.001239</w:t>
            </w:r>
          </w:p>
        </w:tc>
        <w:tc>
          <w:tcPr>
            <w:tcW w:w="1150" w:type="dxa"/>
            <w:tcBorders>
              <w:top w:val="nil"/>
              <w:left w:val="nil"/>
              <w:bottom w:val="nil"/>
              <w:right w:val="nil"/>
            </w:tcBorders>
            <w:vAlign w:val="bottom"/>
          </w:tcPr>
          <w:p w14:paraId="148C45F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0.003113</w:t>
            </w:r>
          </w:p>
        </w:tc>
        <w:tc>
          <w:tcPr>
            <w:tcW w:w="1150" w:type="dxa"/>
            <w:tcBorders>
              <w:top w:val="nil"/>
              <w:left w:val="nil"/>
              <w:bottom w:val="nil"/>
              <w:right w:val="nil"/>
            </w:tcBorders>
            <w:vAlign w:val="bottom"/>
          </w:tcPr>
          <w:p w14:paraId="6465A07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-0.398090</w:t>
            </w:r>
          </w:p>
        </w:tc>
        <w:tc>
          <w:tcPr>
            <w:tcW w:w="950" w:type="dxa"/>
            <w:tcBorders>
              <w:top w:val="nil"/>
              <w:left w:val="nil"/>
              <w:bottom w:val="nil"/>
              <w:right w:val="nil"/>
            </w:tcBorders>
            <w:vAlign w:val="bottom"/>
          </w:tcPr>
          <w:p w14:paraId="29C935B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0.6966</w:t>
            </w:r>
          </w:p>
        </w:tc>
      </w:tr>
      <w:tr w:rsidR="00EA38DE" w:rsidRPr="00EA38DE" w14:paraId="470D024A" w14:textId="77777777" w:rsidTr="009501B5">
        <w:trPr>
          <w:trHeight w:val="220"/>
        </w:trPr>
        <w:tc>
          <w:tcPr>
            <w:tcW w:w="2120" w:type="dxa"/>
            <w:tcBorders>
              <w:top w:val="nil"/>
              <w:left w:val="nil"/>
              <w:bottom w:val="nil"/>
              <w:right w:val="nil"/>
            </w:tcBorders>
            <w:vAlign w:val="bottom"/>
          </w:tcPr>
          <w:p w14:paraId="368DB5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758507E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0.005136</w:t>
            </w:r>
          </w:p>
        </w:tc>
        <w:tc>
          <w:tcPr>
            <w:tcW w:w="1150" w:type="dxa"/>
            <w:tcBorders>
              <w:top w:val="nil"/>
              <w:left w:val="nil"/>
              <w:bottom w:val="nil"/>
              <w:right w:val="nil"/>
            </w:tcBorders>
            <w:vAlign w:val="bottom"/>
          </w:tcPr>
          <w:p w14:paraId="0B8C7E1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0.002705</w:t>
            </w:r>
          </w:p>
        </w:tc>
        <w:tc>
          <w:tcPr>
            <w:tcW w:w="1150" w:type="dxa"/>
            <w:tcBorders>
              <w:top w:val="nil"/>
              <w:left w:val="nil"/>
              <w:bottom w:val="nil"/>
              <w:right w:val="nil"/>
            </w:tcBorders>
            <w:vAlign w:val="bottom"/>
          </w:tcPr>
          <w:p w14:paraId="27CCE33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1.899138</w:t>
            </w:r>
          </w:p>
        </w:tc>
        <w:tc>
          <w:tcPr>
            <w:tcW w:w="950" w:type="dxa"/>
            <w:tcBorders>
              <w:top w:val="nil"/>
              <w:left w:val="nil"/>
              <w:bottom w:val="nil"/>
              <w:right w:val="nil"/>
            </w:tcBorders>
            <w:vAlign w:val="bottom"/>
          </w:tcPr>
          <w:p w14:paraId="7A3464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0.0783</w:t>
            </w:r>
          </w:p>
        </w:tc>
      </w:tr>
      <w:tr w:rsidR="00EA38DE" w:rsidRPr="00EA38DE" w14:paraId="2448925C" w14:textId="77777777" w:rsidTr="009501B5">
        <w:trPr>
          <w:trHeight w:val="220"/>
        </w:trPr>
        <w:tc>
          <w:tcPr>
            <w:tcW w:w="2120" w:type="dxa"/>
            <w:tcBorders>
              <w:top w:val="nil"/>
              <w:left w:val="nil"/>
              <w:bottom w:val="nil"/>
              <w:right w:val="nil"/>
            </w:tcBorders>
            <w:vAlign w:val="bottom"/>
          </w:tcPr>
          <w:p w14:paraId="591DB2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D(IFR(-2))</w:t>
            </w:r>
          </w:p>
        </w:tc>
        <w:tc>
          <w:tcPr>
            <w:tcW w:w="1050" w:type="dxa"/>
            <w:tcBorders>
              <w:top w:val="nil"/>
              <w:left w:val="nil"/>
              <w:bottom w:val="nil"/>
              <w:right w:val="nil"/>
            </w:tcBorders>
            <w:vAlign w:val="bottom"/>
          </w:tcPr>
          <w:p w14:paraId="635BFF2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0.006140</w:t>
            </w:r>
          </w:p>
        </w:tc>
        <w:tc>
          <w:tcPr>
            <w:tcW w:w="1150" w:type="dxa"/>
            <w:tcBorders>
              <w:top w:val="nil"/>
              <w:left w:val="nil"/>
              <w:bottom w:val="nil"/>
              <w:right w:val="nil"/>
            </w:tcBorders>
            <w:vAlign w:val="bottom"/>
          </w:tcPr>
          <w:p w14:paraId="5B59058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0.002328</w:t>
            </w:r>
          </w:p>
        </w:tc>
        <w:tc>
          <w:tcPr>
            <w:tcW w:w="1150" w:type="dxa"/>
            <w:tcBorders>
              <w:top w:val="nil"/>
              <w:left w:val="nil"/>
              <w:bottom w:val="nil"/>
              <w:right w:val="nil"/>
            </w:tcBorders>
            <w:vAlign w:val="bottom"/>
          </w:tcPr>
          <w:p w14:paraId="01364EB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2.636960</w:t>
            </w:r>
          </w:p>
        </w:tc>
        <w:tc>
          <w:tcPr>
            <w:tcW w:w="950" w:type="dxa"/>
            <w:tcBorders>
              <w:top w:val="nil"/>
              <w:left w:val="nil"/>
              <w:bottom w:val="nil"/>
              <w:right w:val="nil"/>
            </w:tcBorders>
            <w:vAlign w:val="bottom"/>
          </w:tcPr>
          <w:p w14:paraId="1B764BD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0.0195</w:t>
            </w:r>
          </w:p>
        </w:tc>
      </w:tr>
      <w:tr w:rsidR="00EA38DE" w:rsidRPr="00EA38DE" w14:paraId="389929E1" w14:textId="77777777" w:rsidTr="009501B5">
        <w:trPr>
          <w:trHeight w:val="220"/>
        </w:trPr>
        <w:tc>
          <w:tcPr>
            <w:tcW w:w="2120" w:type="dxa"/>
            <w:tcBorders>
              <w:top w:val="nil"/>
              <w:left w:val="nil"/>
              <w:bottom w:val="nil"/>
              <w:right w:val="nil"/>
            </w:tcBorders>
            <w:vAlign w:val="bottom"/>
          </w:tcPr>
          <w:p w14:paraId="0F23A0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64C51B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-6.071625</w:t>
            </w:r>
          </w:p>
        </w:tc>
        <w:tc>
          <w:tcPr>
            <w:tcW w:w="1150" w:type="dxa"/>
            <w:tcBorders>
              <w:top w:val="nil"/>
              <w:left w:val="nil"/>
              <w:bottom w:val="nil"/>
              <w:right w:val="nil"/>
            </w:tcBorders>
            <w:vAlign w:val="bottom"/>
          </w:tcPr>
          <w:p w14:paraId="78BFDF8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2.125730</w:t>
            </w:r>
          </w:p>
        </w:tc>
        <w:tc>
          <w:tcPr>
            <w:tcW w:w="1150" w:type="dxa"/>
            <w:tcBorders>
              <w:top w:val="nil"/>
              <w:left w:val="nil"/>
              <w:bottom w:val="nil"/>
              <w:right w:val="nil"/>
            </w:tcBorders>
            <w:vAlign w:val="bottom"/>
          </w:tcPr>
          <w:p w14:paraId="73F04A9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-2.856253</w:t>
            </w:r>
          </w:p>
        </w:tc>
        <w:tc>
          <w:tcPr>
            <w:tcW w:w="950" w:type="dxa"/>
            <w:tcBorders>
              <w:top w:val="nil"/>
              <w:left w:val="nil"/>
              <w:bottom w:val="nil"/>
              <w:right w:val="nil"/>
            </w:tcBorders>
            <w:vAlign w:val="bottom"/>
          </w:tcPr>
          <w:p w14:paraId="646959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0.0127</w:t>
            </w:r>
          </w:p>
        </w:tc>
      </w:tr>
      <w:tr w:rsidR="00EA38DE" w:rsidRPr="00EA38DE" w14:paraId="3F7F2C18" w14:textId="77777777" w:rsidTr="009501B5">
        <w:trPr>
          <w:trHeight w:val="220"/>
        </w:trPr>
        <w:tc>
          <w:tcPr>
            <w:tcW w:w="2120" w:type="dxa"/>
            <w:tcBorders>
              <w:top w:val="nil"/>
              <w:left w:val="nil"/>
              <w:bottom w:val="nil"/>
              <w:right w:val="nil"/>
            </w:tcBorders>
            <w:vAlign w:val="bottom"/>
          </w:tcPr>
          <w:p w14:paraId="66E870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7E3C876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27.44669</w:t>
            </w:r>
          </w:p>
        </w:tc>
        <w:tc>
          <w:tcPr>
            <w:tcW w:w="1150" w:type="dxa"/>
            <w:tcBorders>
              <w:top w:val="nil"/>
              <w:left w:val="nil"/>
              <w:bottom w:val="nil"/>
              <w:right w:val="nil"/>
            </w:tcBorders>
            <w:vAlign w:val="bottom"/>
          </w:tcPr>
          <w:p w14:paraId="732311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11.38050</w:t>
            </w:r>
          </w:p>
        </w:tc>
        <w:tc>
          <w:tcPr>
            <w:tcW w:w="1150" w:type="dxa"/>
            <w:tcBorders>
              <w:top w:val="nil"/>
              <w:left w:val="nil"/>
              <w:bottom w:val="nil"/>
              <w:right w:val="nil"/>
            </w:tcBorders>
            <w:vAlign w:val="bottom"/>
          </w:tcPr>
          <w:p w14:paraId="23630CE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2.411729</w:t>
            </w:r>
          </w:p>
        </w:tc>
        <w:tc>
          <w:tcPr>
            <w:tcW w:w="950" w:type="dxa"/>
            <w:tcBorders>
              <w:top w:val="nil"/>
              <w:left w:val="nil"/>
              <w:bottom w:val="nil"/>
              <w:right w:val="nil"/>
            </w:tcBorders>
            <w:vAlign w:val="bottom"/>
          </w:tcPr>
          <w:p w14:paraId="29F1E23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0.0302</w:t>
            </w:r>
          </w:p>
        </w:tc>
      </w:tr>
      <w:tr w:rsidR="00EA38DE" w:rsidRPr="00EA38DE" w14:paraId="4E111446" w14:textId="77777777" w:rsidTr="009501B5">
        <w:trPr>
          <w:trHeight w:val="220"/>
        </w:trPr>
        <w:tc>
          <w:tcPr>
            <w:tcW w:w="2120" w:type="dxa"/>
            <w:tcBorders>
              <w:top w:val="nil"/>
              <w:left w:val="nil"/>
              <w:bottom w:val="nil"/>
              <w:right w:val="nil"/>
            </w:tcBorders>
            <w:vAlign w:val="bottom"/>
          </w:tcPr>
          <w:p w14:paraId="0CCB7A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752EE0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0.057434</w:t>
            </w:r>
          </w:p>
        </w:tc>
        <w:tc>
          <w:tcPr>
            <w:tcW w:w="1150" w:type="dxa"/>
            <w:tcBorders>
              <w:top w:val="nil"/>
              <w:left w:val="nil"/>
              <w:bottom w:val="nil"/>
              <w:right w:val="nil"/>
            </w:tcBorders>
            <w:vAlign w:val="bottom"/>
          </w:tcPr>
          <w:p w14:paraId="226DF0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0.031278</w:t>
            </w:r>
          </w:p>
        </w:tc>
        <w:tc>
          <w:tcPr>
            <w:tcW w:w="1150" w:type="dxa"/>
            <w:tcBorders>
              <w:top w:val="nil"/>
              <w:left w:val="nil"/>
              <w:bottom w:val="nil"/>
              <w:right w:val="nil"/>
            </w:tcBorders>
            <w:vAlign w:val="bottom"/>
          </w:tcPr>
          <w:p w14:paraId="6EADDD5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1.836254</w:t>
            </w:r>
          </w:p>
        </w:tc>
        <w:tc>
          <w:tcPr>
            <w:tcW w:w="950" w:type="dxa"/>
            <w:tcBorders>
              <w:top w:val="nil"/>
              <w:left w:val="nil"/>
              <w:bottom w:val="nil"/>
              <w:right w:val="nil"/>
            </w:tcBorders>
            <w:vAlign w:val="bottom"/>
          </w:tcPr>
          <w:p w14:paraId="1F10441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0.0876</w:t>
            </w:r>
          </w:p>
        </w:tc>
      </w:tr>
      <w:tr w:rsidR="00EA38DE" w:rsidRPr="00EA38DE" w14:paraId="1C2741AF" w14:textId="77777777" w:rsidTr="009501B5">
        <w:trPr>
          <w:trHeight w:hRule="exact" w:val="88"/>
        </w:trPr>
        <w:tc>
          <w:tcPr>
            <w:tcW w:w="2120" w:type="dxa"/>
            <w:tcBorders>
              <w:top w:val="nil"/>
              <w:left w:val="nil"/>
              <w:bottom w:val="double" w:sz="6" w:space="2" w:color="auto"/>
              <w:right w:val="nil"/>
            </w:tcBorders>
            <w:vAlign w:val="bottom"/>
          </w:tcPr>
          <w:p w14:paraId="0043AD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F5778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9C342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2EB1A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06FCD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6BC97A5" w14:textId="77777777" w:rsidTr="009501B5">
        <w:trPr>
          <w:trHeight w:hRule="exact" w:val="132"/>
        </w:trPr>
        <w:tc>
          <w:tcPr>
            <w:tcW w:w="2120" w:type="dxa"/>
            <w:tcBorders>
              <w:top w:val="nil"/>
              <w:left w:val="nil"/>
              <w:bottom w:val="nil"/>
              <w:right w:val="nil"/>
            </w:tcBorders>
            <w:vAlign w:val="bottom"/>
          </w:tcPr>
          <w:p w14:paraId="290F8D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4B700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B93FA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70ECF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E36C8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73142DB" w14:textId="77777777" w:rsidTr="009501B5">
        <w:trPr>
          <w:trHeight w:val="220"/>
        </w:trPr>
        <w:tc>
          <w:tcPr>
            <w:tcW w:w="6420" w:type="dxa"/>
            <w:gridSpan w:val="5"/>
            <w:tcBorders>
              <w:top w:val="nil"/>
              <w:left w:val="nil"/>
              <w:bottom w:val="nil"/>
              <w:right w:val="nil"/>
            </w:tcBorders>
            <w:vAlign w:val="bottom"/>
          </w:tcPr>
          <w:p w14:paraId="7C125AC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22AFE441" w14:textId="77777777" w:rsidTr="009501B5">
        <w:trPr>
          <w:trHeight w:val="220"/>
        </w:trPr>
        <w:tc>
          <w:tcPr>
            <w:tcW w:w="2120" w:type="dxa"/>
            <w:tcBorders>
              <w:top w:val="nil"/>
              <w:left w:val="nil"/>
              <w:bottom w:val="nil"/>
              <w:right w:val="nil"/>
            </w:tcBorders>
            <w:vAlign w:val="bottom"/>
          </w:tcPr>
          <w:p w14:paraId="67DEBF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758DF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77902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85BEC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986C7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B869C1F" w14:textId="77777777" w:rsidTr="009501B5">
        <w:trPr>
          <w:trHeight w:hRule="exact" w:val="88"/>
        </w:trPr>
        <w:tc>
          <w:tcPr>
            <w:tcW w:w="2120" w:type="dxa"/>
            <w:tcBorders>
              <w:top w:val="nil"/>
              <w:left w:val="nil"/>
              <w:bottom w:val="double" w:sz="6" w:space="2" w:color="auto"/>
              <w:right w:val="nil"/>
            </w:tcBorders>
            <w:vAlign w:val="bottom"/>
          </w:tcPr>
          <w:p w14:paraId="50D444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A4E96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3E9A4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5466B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9876D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9F7A901" w14:textId="77777777" w:rsidTr="009501B5">
        <w:trPr>
          <w:trHeight w:hRule="exact" w:val="132"/>
        </w:trPr>
        <w:tc>
          <w:tcPr>
            <w:tcW w:w="2120" w:type="dxa"/>
            <w:tcBorders>
              <w:top w:val="nil"/>
              <w:left w:val="nil"/>
              <w:bottom w:val="nil"/>
              <w:right w:val="nil"/>
            </w:tcBorders>
            <w:vAlign w:val="bottom"/>
          </w:tcPr>
          <w:p w14:paraId="762046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F3007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099E8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885C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94513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F9A56F0" w14:textId="77777777" w:rsidTr="009501B5">
        <w:trPr>
          <w:trHeight w:val="220"/>
        </w:trPr>
        <w:tc>
          <w:tcPr>
            <w:tcW w:w="6420" w:type="dxa"/>
            <w:gridSpan w:val="5"/>
            <w:tcBorders>
              <w:top w:val="nil"/>
              <w:left w:val="nil"/>
              <w:bottom w:val="nil"/>
              <w:right w:val="nil"/>
            </w:tcBorders>
            <w:vAlign w:val="bottom"/>
          </w:tcPr>
          <w:p w14:paraId="0D1B69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79A02D13" w14:textId="77777777" w:rsidTr="009501B5">
        <w:trPr>
          <w:trHeight w:val="220"/>
        </w:trPr>
        <w:tc>
          <w:tcPr>
            <w:tcW w:w="6420" w:type="dxa"/>
            <w:gridSpan w:val="5"/>
            <w:tcBorders>
              <w:top w:val="nil"/>
              <w:left w:val="nil"/>
              <w:bottom w:val="nil"/>
              <w:right w:val="nil"/>
            </w:tcBorders>
            <w:vAlign w:val="bottom"/>
          </w:tcPr>
          <w:p w14:paraId="0F0624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380E2358" w14:textId="77777777" w:rsidTr="009501B5">
        <w:trPr>
          <w:trHeight w:hRule="exact" w:val="88"/>
        </w:trPr>
        <w:tc>
          <w:tcPr>
            <w:tcW w:w="2120" w:type="dxa"/>
            <w:tcBorders>
              <w:top w:val="nil"/>
              <w:left w:val="nil"/>
              <w:bottom w:val="double" w:sz="6" w:space="2" w:color="auto"/>
              <w:right w:val="nil"/>
            </w:tcBorders>
            <w:vAlign w:val="bottom"/>
          </w:tcPr>
          <w:p w14:paraId="10EE35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D8C21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3F003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9C9DB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FF43E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058C22E" w14:textId="77777777" w:rsidTr="009501B5">
        <w:trPr>
          <w:trHeight w:hRule="exact" w:val="132"/>
        </w:trPr>
        <w:tc>
          <w:tcPr>
            <w:tcW w:w="2120" w:type="dxa"/>
            <w:tcBorders>
              <w:top w:val="nil"/>
              <w:left w:val="nil"/>
              <w:bottom w:val="nil"/>
              <w:right w:val="nil"/>
            </w:tcBorders>
            <w:vAlign w:val="bottom"/>
          </w:tcPr>
          <w:p w14:paraId="116EA9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D7ADE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AF99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4AA29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F1269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F193F68" w14:textId="77777777" w:rsidTr="009501B5">
        <w:trPr>
          <w:trHeight w:val="220"/>
        </w:trPr>
        <w:tc>
          <w:tcPr>
            <w:tcW w:w="2120" w:type="dxa"/>
            <w:tcBorders>
              <w:top w:val="nil"/>
              <w:left w:val="nil"/>
              <w:bottom w:val="nil"/>
              <w:right w:val="nil"/>
            </w:tcBorders>
            <w:vAlign w:val="bottom"/>
          </w:tcPr>
          <w:p w14:paraId="581E1D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165BB9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57F0502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394014F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6A70A93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4BDE013F" w14:textId="77777777" w:rsidTr="009501B5">
        <w:trPr>
          <w:trHeight w:hRule="exact" w:val="88"/>
        </w:trPr>
        <w:tc>
          <w:tcPr>
            <w:tcW w:w="2120" w:type="dxa"/>
            <w:tcBorders>
              <w:top w:val="nil"/>
              <w:left w:val="nil"/>
              <w:bottom w:val="double" w:sz="6" w:space="2" w:color="auto"/>
              <w:right w:val="nil"/>
            </w:tcBorders>
            <w:vAlign w:val="bottom"/>
          </w:tcPr>
          <w:p w14:paraId="06A266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F33CDE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16E3A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CB9EF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41EC7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0B190D4" w14:textId="77777777" w:rsidTr="009501B5">
        <w:trPr>
          <w:trHeight w:hRule="exact" w:val="132"/>
        </w:trPr>
        <w:tc>
          <w:tcPr>
            <w:tcW w:w="2120" w:type="dxa"/>
            <w:tcBorders>
              <w:top w:val="nil"/>
              <w:left w:val="nil"/>
              <w:bottom w:val="nil"/>
              <w:right w:val="nil"/>
            </w:tcBorders>
            <w:vAlign w:val="bottom"/>
          </w:tcPr>
          <w:p w14:paraId="1EE2B4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A40659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386F2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B1CA5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50E4D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4FE95C1" w14:textId="77777777" w:rsidTr="009501B5">
        <w:trPr>
          <w:trHeight w:val="220"/>
        </w:trPr>
        <w:tc>
          <w:tcPr>
            <w:tcW w:w="2120" w:type="dxa"/>
            <w:tcBorders>
              <w:top w:val="nil"/>
              <w:left w:val="nil"/>
              <w:bottom w:val="nil"/>
              <w:right w:val="nil"/>
            </w:tcBorders>
            <w:vAlign w:val="bottom"/>
          </w:tcPr>
          <w:p w14:paraId="570DE4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LFSH</w:t>
            </w:r>
          </w:p>
        </w:tc>
        <w:tc>
          <w:tcPr>
            <w:tcW w:w="1050" w:type="dxa"/>
            <w:tcBorders>
              <w:top w:val="nil"/>
              <w:left w:val="nil"/>
              <w:bottom w:val="nil"/>
              <w:right w:val="nil"/>
            </w:tcBorders>
            <w:vAlign w:val="bottom"/>
          </w:tcPr>
          <w:p w14:paraId="4B018B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-1.375325</w:t>
            </w:r>
          </w:p>
        </w:tc>
        <w:tc>
          <w:tcPr>
            <w:tcW w:w="1150" w:type="dxa"/>
            <w:tcBorders>
              <w:top w:val="nil"/>
              <w:left w:val="nil"/>
              <w:bottom w:val="nil"/>
              <w:right w:val="nil"/>
            </w:tcBorders>
            <w:vAlign w:val="bottom"/>
          </w:tcPr>
          <w:p w14:paraId="1546470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1.027834</w:t>
            </w:r>
          </w:p>
        </w:tc>
        <w:tc>
          <w:tcPr>
            <w:tcW w:w="1150" w:type="dxa"/>
            <w:tcBorders>
              <w:top w:val="nil"/>
              <w:left w:val="nil"/>
              <w:bottom w:val="nil"/>
              <w:right w:val="nil"/>
            </w:tcBorders>
            <w:vAlign w:val="bottom"/>
          </w:tcPr>
          <w:p w14:paraId="441F71B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-1.338081</w:t>
            </w:r>
          </w:p>
        </w:tc>
        <w:tc>
          <w:tcPr>
            <w:tcW w:w="950" w:type="dxa"/>
            <w:tcBorders>
              <w:top w:val="nil"/>
              <w:left w:val="nil"/>
              <w:bottom w:val="nil"/>
              <w:right w:val="nil"/>
            </w:tcBorders>
            <w:vAlign w:val="bottom"/>
          </w:tcPr>
          <w:p w14:paraId="05597C3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0.2022</w:t>
            </w:r>
          </w:p>
        </w:tc>
      </w:tr>
      <w:tr w:rsidR="00EA38DE" w:rsidRPr="00EA38DE" w14:paraId="284302E8" w14:textId="77777777" w:rsidTr="009501B5">
        <w:trPr>
          <w:trHeight w:val="220"/>
        </w:trPr>
        <w:tc>
          <w:tcPr>
            <w:tcW w:w="2120" w:type="dxa"/>
            <w:tcBorders>
              <w:top w:val="nil"/>
              <w:left w:val="nil"/>
              <w:bottom w:val="nil"/>
              <w:right w:val="nil"/>
            </w:tcBorders>
            <w:vAlign w:val="bottom"/>
          </w:tcPr>
          <w:p w14:paraId="45C3F6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09C7761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-0.006580</w:t>
            </w:r>
          </w:p>
        </w:tc>
        <w:tc>
          <w:tcPr>
            <w:tcW w:w="1150" w:type="dxa"/>
            <w:tcBorders>
              <w:top w:val="nil"/>
              <w:left w:val="nil"/>
              <w:bottom w:val="nil"/>
              <w:right w:val="nil"/>
            </w:tcBorders>
            <w:vAlign w:val="bottom"/>
          </w:tcPr>
          <w:p w14:paraId="4408FE4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0.008700</w:t>
            </w:r>
          </w:p>
        </w:tc>
        <w:tc>
          <w:tcPr>
            <w:tcW w:w="1150" w:type="dxa"/>
            <w:tcBorders>
              <w:top w:val="nil"/>
              <w:left w:val="nil"/>
              <w:bottom w:val="nil"/>
              <w:right w:val="nil"/>
            </w:tcBorders>
            <w:vAlign w:val="bottom"/>
          </w:tcPr>
          <w:p w14:paraId="280EF78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-0.756361</w:t>
            </w:r>
          </w:p>
        </w:tc>
        <w:tc>
          <w:tcPr>
            <w:tcW w:w="950" w:type="dxa"/>
            <w:tcBorders>
              <w:top w:val="nil"/>
              <w:left w:val="nil"/>
              <w:bottom w:val="nil"/>
              <w:right w:val="nil"/>
            </w:tcBorders>
            <w:vAlign w:val="bottom"/>
          </w:tcPr>
          <w:p w14:paraId="613ACFC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0.4620</w:t>
            </w:r>
          </w:p>
        </w:tc>
      </w:tr>
      <w:tr w:rsidR="00EA38DE" w:rsidRPr="00EA38DE" w14:paraId="51DA4C05" w14:textId="77777777" w:rsidTr="009501B5">
        <w:trPr>
          <w:trHeight w:val="220"/>
        </w:trPr>
        <w:tc>
          <w:tcPr>
            <w:tcW w:w="2120" w:type="dxa"/>
            <w:tcBorders>
              <w:top w:val="nil"/>
              <w:left w:val="nil"/>
              <w:bottom w:val="nil"/>
              <w:right w:val="nil"/>
            </w:tcBorders>
            <w:vAlign w:val="bottom"/>
          </w:tcPr>
          <w:p w14:paraId="2DD335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1AB58A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4.682652</w:t>
            </w:r>
          </w:p>
        </w:tc>
        <w:tc>
          <w:tcPr>
            <w:tcW w:w="1150" w:type="dxa"/>
            <w:tcBorders>
              <w:top w:val="nil"/>
              <w:left w:val="nil"/>
              <w:bottom w:val="nil"/>
              <w:right w:val="nil"/>
            </w:tcBorders>
            <w:vAlign w:val="bottom"/>
          </w:tcPr>
          <w:p w14:paraId="419B1CD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2.185840</w:t>
            </w:r>
          </w:p>
        </w:tc>
        <w:tc>
          <w:tcPr>
            <w:tcW w:w="1150" w:type="dxa"/>
            <w:tcBorders>
              <w:top w:val="nil"/>
              <w:left w:val="nil"/>
              <w:bottom w:val="nil"/>
              <w:right w:val="nil"/>
            </w:tcBorders>
            <w:vAlign w:val="bottom"/>
          </w:tcPr>
          <w:p w14:paraId="76AE1E5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2.142267</w:t>
            </w:r>
          </w:p>
        </w:tc>
        <w:tc>
          <w:tcPr>
            <w:tcW w:w="950" w:type="dxa"/>
            <w:tcBorders>
              <w:top w:val="nil"/>
              <w:left w:val="nil"/>
              <w:bottom w:val="nil"/>
              <w:right w:val="nil"/>
            </w:tcBorders>
            <w:vAlign w:val="bottom"/>
          </w:tcPr>
          <w:p w14:paraId="10CE352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0.0502</w:t>
            </w:r>
          </w:p>
        </w:tc>
      </w:tr>
      <w:tr w:rsidR="00EA38DE" w:rsidRPr="00EA38DE" w14:paraId="43E31B16" w14:textId="77777777" w:rsidTr="009501B5">
        <w:trPr>
          <w:trHeight w:val="220"/>
        </w:trPr>
        <w:tc>
          <w:tcPr>
            <w:tcW w:w="2120" w:type="dxa"/>
            <w:tcBorders>
              <w:top w:val="nil"/>
              <w:left w:val="nil"/>
              <w:bottom w:val="nil"/>
              <w:right w:val="nil"/>
            </w:tcBorders>
            <w:vAlign w:val="bottom"/>
          </w:tcPr>
          <w:p w14:paraId="3EA34B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199E398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0.214263</w:t>
            </w:r>
          </w:p>
        </w:tc>
        <w:tc>
          <w:tcPr>
            <w:tcW w:w="1150" w:type="dxa"/>
            <w:tcBorders>
              <w:top w:val="nil"/>
              <w:left w:val="nil"/>
              <w:bottom w:val="nil"/>
              <w:right w:val="nil"/>
            </w:tcBorders>
            <w:vAlign w:val="bottom"/>
          </w:tcPr>
          <w:p w14:paraId="6612BB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0.074409</w:t>
            </w:r>
          </w:p>
        </w:tc>
        <w:tc>
          <w:tcPr>
            <w:tcW w:w="1150" w:type="dxa"/>
            <w:tcBorders>
              <w:top w:val="nil"/>
              <w:left w:val="nil"/>
              <w:bottom w:val="nil"/>
              <w:right w:val="nil"/>
            </w:tcBorders>
            <w:vAlign w:val="bottom"/>
          </w:tcPr>
          <w:p w14:paraId="77B0F3B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2.879542</w:t>
            </w:r>
          </w:p>
        </w:tc>
        <w:tc>
          <w:tcPr>
            <w:tcW w:w="950" w:type="dxa"/>
            <w:tcBorders>
              <w:top w:val="nil"/>
              <w:left w:val="nil"/>
              <w:bottom w:val="nil"/>
              <w:right w:val="nil"/>
            </w:tcBorders>
            <w:vAlign w:val="bottom"/>
          </w:tcPr>
          <w:p w14:paraId="5A81E2B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0.0121</w:t>
            </w:r>
          </w:p>
        </w:tc>
      </w:tr>
      <w:tr w:rsidR="00EA38DE" w:rsidRPr="00EA38DE" w14:paraId="20913BA1" w14:textId="77777777" w:rsidTr="009501B5">
        <w:trPr>
          <w:trHeight w:val="220"/>
        </w:trPr>
        <w:tc>
          <w:tcPr>
            <w:tcW w:w="2120" w:type="dxa"/>
            <w:tcBorders>
              <w:top w:val="nil"/>
              <w:left w:val="nil"/>
              <w:bottom w:val="nil"/>
              <w:right w:val="nil"/>
            </w:tcBorders>
            <w:vAlign w:val="bottom"/>
          </w:tcPr>
          <w:p w14:paraId="7A92F2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727F844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-19.46802</w:t>
            </w:r>
          </w:p>
        </w:tc>
        <w:tc>
          <w:tcPr>
            <w:tcW w:w="1150" w:type="dxa"/>
            <w:tcBorders>
              <w:top w:val="nil"/>
              <w:left w:val="nil"/>
              <w:bottom w:val="nil"/>
              <w:right w:val="nil"/>
            </w:tcBorders>
            <w:vAlign w:val="bottom"/>
          </w:tcPr>
          <w:p w14:paraId="2102B1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11.49121</w:t>
            </w:r>
          </w:p>
        </w:tc>
        <w:tc>
          <w:tcPr>
            <w:tcW w:w="1150" w:type="dxa"/>
            <w:tcBorders>
              <w:top w:val="nil"/>
              <w:left w:val="nil"/>
              <w:bottom w:val="nil"/>
              <w:right w:val="nil"/>
            </w:tcBorders>
            <w:vAlign w:val="bottom"/>
          </w:tcPr>
          <w:p w14:paraId="7F7076A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-1.694166</w:t>
            </w:r>
          </w:p>
        </w:tc>
        <w:tc>
          <w:tcPr>
            <w:tcW w:w="950" w:type="dxa"/>
            <w:tcBorders>
              <w:top w:val="nil"/>
              <w:left w:val="nil"/>
              <w:bottom w:val="nil"/>
              <w:right w:val="nil"/>
            </w:tcBorders>
            <w:vAlign w:val="bottom"/>
          </w:tcPr>
          <w:p w14:paraId="1884252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0.1124</w:t>
            </w:r>
          </w:p>
        </w:tc>
      </w:tr>
      <w:tr w:rsidR="00EA38DE" w:rsidRPr="00EA38DE" w14:paraId="379286AE" w14:textId="77777777" w:rsidTr="009501B5">
        <w:trPr>
          <w:trHeight w:hRule="exact" w:val="88"/>
        </w:trPr>
        <w:tc>
          <w:tcPr>
            <w:tcW w:w="2120" w:type="dxa"/>
            <w:tcBorders>
              <w:top w:val="nil"/>
              <w:left w:val="nil"/>
              <w:bottom w:val="double" w:sz="6" w:space="2" w:color="auto"/>
              <w:right w:val="nil"/>
            </w:tcBorders>
            <w:vAlign w:val="bottom"/>
          </w:tcPr>
          <w:p w14:paraId="7EA964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38B351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E8008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0D5AD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07730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1B0F45C" w14:textId="77777777" w:rsidTr="009501B5">
        <w:trPr>
          <w:trHeight w:hRule="exact" w:val="132"/>
        </w:trPr>
        <w:tc>
          <w:tcPr>
            <w:tcW w:w="2120" w:type="dxa"/>
            <w:tcBorders>
              <w:top w:val="nil"/>
              <w:left w:val="nil"/>
              <w:bottom w:val="nil"/>
              <w:right w:val="nil"/>
            </w:tcBorders>
            <w:vAlign w:val="bottom"/>
          </w:tcPr>
          <w:p w14:paraId="0B459F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900CB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E9AE0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6AC96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61AEA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2A7629" w14:textId="77777777" w:rsidTr="009501B5">
        <w:trPr>
          <w:trHeight w:val="220"/>
        </w:trPr>
        <w:tc>
          <w:tcPr>
            <w:tcW w:w="6420" w:type="dxa"/>
            <w:gridSpan w:val="5"/>
            <w:tcBorders>
              <w:top w:val="nil"/>
              <w:left w:val="nil"/>
              <w:bottom w:val="nil"/>
              <w:right w:val="nil"/>
            </w:tcBorders>
            <w:vAlign w:val="bottom"/>
          </w:tcPr>
          <w:p w14:paraId="7C9B196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LCTP - (-1.3753*LFSH  -0.0066*IFR + 4.6827*LLAB  -0.8478*LGR +</w:t>
            </w:r>
          </w:p>
        </w:tc>
      </w:tr>
      <w:tr w:rsidR="00EA38DE" w:rsidRPr="00EA38DE" w14:paraId="7AD9F9E5" w14:textId="77777777" w:rsidTr="009501B5">
        <w:trPr>
          <w:trHeight w:val="220"/>
        </w:trPr>
        <w:tc>
          <w:tcPr>
            <w:tcW w:w="5470" w:type="dxa"/>
            <w:gridSpan w:val="4"/>
            <w:tcBorders>
              <w:top w:val="nil"/>
              <w:left w:val="nil"/>
              <w:bottom w:val="nil"/>
              <w:right w:val="nil"/>
            </w:tcBorders>
            <w:vAlign w:val="bottom"/>
          </w:tcPr>
          <w:p w14:paraId="2903E97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0.2143*TRF  -19.4680 )</w:t>
            </w:r>
          </w:p>
        </w:tc>
        <w:tc>
          <w:tcPr>
            <w:tcW w:w="950" w:type="dxa"/>
            <w:tcBorders>
              <w:top w:val="nil"/>
              <w:left w:val="nil"/>
              <w:bottom w:val="nil"/>
              <w:right w:val="nil"/>
            </w:tcBorders>
            <w:vAlign w:val="bottom"/>
          </w:tcPr>
          <w:p w14:paraId="162093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8057F07" w14:textId="77777777" w:rsidTr="009501B5">
        <w:trPr>
          <w:trHeight w:hRule="exact" w:val="88"/>
        </w:trPr>
        <w:tc>
          <w:tcPr>
            <w:tcW w:w="2120" w:type="dxa"/>
            <w:tcBorders>
              <w:top w:val="nil"/>
              <w:left w:val="nil"/>
              <w:bottom w:val="double" w:sz="6" w:space="0" w:color="auto"/>
              <w:right w:val="nil"/>
            </w:tcBorders>
            <w:vAlign w:val="bottom"/>
          </w:tcPr>
          <w:p w14:paraId="1754AD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269A2D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3BF8C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668CC4A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4160C2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2EF9F95" w14:textId="77777777" w:rsidTr="009501B5">
        <w:trPr>
          <w:trHeight w:hRule="exact" w:val="132"/>
        </w:trPr>
        <w:tc>
          <w:tcPr>
            <w:tcW w:w="2120" w:type="dxa"/>
            <w:tcBorders>
              <w:top w:val="nil"/>
              <w:left w:val="nil"/>
              <w:bottom w:val="nil"/>
              <w:right w:val="nil"/>
            </w:tcBorders>
            <w:vAlign w:val="bottom"/>
          </w:tcPr>
          <w:p w14:paraId="45E70B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BA1E3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C99C8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2A62F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C6CBF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3DC9D65E" w14:textId="77777777" w:rsidR="003C6B00" w:rsidRPr="00EA38DE" w:rsidRDefault="003C6B00" w:rsidP="003C6B00">
      <w:r w:rsidRPr="00EA38DE">
        <w:rPr>
          <w:rFonts w:ascii="Arial" w:hAnsi="Arial" w:cs="Arial"/>
          <w:sz w:val="18"/>
          <w:szCs w:val="18"/>
        </w:rPr>
        <w:br/>
      </w:r>
    </w:p>
    <w:p w14:paraId="0331B9AF" w14:textId="77777777" w:rsidR="003C6B00" w:rsidRPr="00EA38DE" w:rsidRDefault="003C6B00" w:rsidP="003C6B00"/>
    <w:p w14:paraId="25AD1769" w14:textId="77777777" w:rsidR="003C6B00" w:rsidRPr="00EA38DE" w:rsidRDefault="003C6B00" w:rsidP="003C6B00"/>
    <w:p w14:paraId="7C67F0C2" w14:textId="77777777" w:rsidR="003C6B00" w:rsidRPr="00EA38DE" w:rsidRDefault="003C6B00" w:rsidP="003C6B00"/>
    <w:p w14:paraId="024AA78A" w14:textId="77777777" w:rsidR="00C26BF7" w:rsidRPr="00EA38DE" w:rsidRDefault="00C26BF7" w:rsidP="003C6B00"/>
    <w:p w14:paraId="3A8C3C9C"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1CBF9C17" w14:textId="77777777" w:rsidTr="009501B5">
        <w:trPr>
          <w:trHeight w:val="220"/>
        </w:trPr>
        <w:tc>
          <w:tcPr>
            <w:tcW w:w="6420" w:type="dxa"/>
            <w:gridSpan w:val="5"/>
            <w:tcBorders>
              <w:top w:val="nil"/>
              <w:left w:val="nil"/>
              <w:bottom w:val="nil"/>
              <w:right w:val="nil"/>
            </w:tcBorders>
            <w:vAlign w:val="bottom"/>
          </w:tcPr>
          <w:p w14:paraId="30FE098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ARDL Error Correction Regression</w:t>
            </w:r>
          </w:p>
        </w:tc>
      </w:tr>
      <w:tr w:rsidR="00EA38DE" w:rsidRPr="00EA38DE" w14:paraId="3757FB68" w14:textId="77777777" w:rsidTr="009501B5">
        <w:trPr>
          <w:trHeight w:val="220"/>
        </w:trPr>
        <w:tc>
          <w:tcPr>
            <w:tcW w:w="5470" w:type="dxa"/>
            <w:gridSpan w:val="4"/>
            <w:tcBorders>
              <w:top w:val="nil"/>
              <w:left w:val="nil"/>
              <w:bottom w:val="nil"/>
              <w:right w:val="nil"/>
            </w:tcBorders>
            <w:vAlign w:val="bottom"/>
          </w:tcPr>
          <w:p w14:paraId="7DD3EC5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D(LCTP)</w:t>
            </w:r>
          </w:p>
        </w:tc>
        <w:tc>
          <w:tcPr>
            <w:tcW w:w="950" w:type="dxa"/>
            <w:tcBorders>
              <w:top w:val="nil"/>
              <w:left w:val="nil"/>
              <w:bottom w:val="nil"/>
              <w:right w:val="nil"/>
            </w:tcBorders>
            <w:vAlign w:val="bottom"/>
          </w:tcPr>
          <w:p w14:paraId="461F3C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B392137" w14:textId="77777777" w:rsidTr="009501B5">
        <w:trPr>
          <w:trHeight w:val="220"/>
        </w:trPr>
        <w:tc>
          <w:tcPr>
            <w:tcW w:w="6420" w:type="dxa"/>
            <w:gridSpan w:val="5"/>
            <w:tcBorders>
              <w:top w:val="nil"/>
              <w:left w:val="nil"/>
              <w:bottom w:val="nil"/>
              <w:right w:val="nil"/>
            </w:tcBorders>
            <w:vAlign w:val="bottom"/>
          </w:tcPr>
          <w:p w14:paraId="4554A48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3, 3, 2, 2, 1)</w:t>
            </w:r>
          </w:p>
        </w:tc>
      </w:tr>
      <w:tr w:rsidR="00EA38DE" w:rsidRPr="00EA38DE" w14:paraId="025A4CBA" w14:textId="77777777" w:rsidTr="009501B5">
        <w:trPr>
          <w:trHeight w:val="220"/>
        </w:trPr>
        <w:tc>
          <w:tcPr>
            <w:tcW w:w="6420" w:type="dxa"/>
            <w:gridSpan w:val="5"/>
            <w:tcBorders>
              <w:top w:val="nil"/>
              <w:left w:val="nil"/>
              <w:bottom w:val="nil"/>
              <w:right w:val="nil"/>
            </w:tcBorders>
            <w:vAlign w:val="bottom"/>
          </w:tcPr>
          <w:p w14:paraId="39BC281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49FA18FA" w14:textId="77777777" w:rsidTr="009501B5">
        <w:trPr>
          <w:trHeight w:val="220"/>
        </w:trPr>
        <w:tc>
          <w:tcPr>
            <w:tcW w:w="5470" w:type="dxa"/>
            <w:gridSpan w:val="4"/>
            <w:tcBorders>
              <w:top w:val="nil"/>
              <w:left w:val="nil"/>
              <w:bottom w:val="nil"/>
              <w:right w:val="nil"/>
            </w:tcBorders>
            <w:vAlign w:val="bottom"/>
          </w:tcPr>
          <w:p w14:paraId="5D3E3DA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09:23</w:t>
            </w:r>
          </w:p>
        </w:tc>
        <w:tc>
          <w:tcPr>
            <w:tcW w:w="950" w:type="dxa"/>
            <w:tcBorders>
              <w:top w:val="nil"/>
              <w:left w:val="nil"/>
              <w:bottom w:val="nil"/>
              <w:right w:val="nil"/>
            </w:tcBorders>
            <w:vAlign w:val="bottom"/>
          </w:tcPr>
          <w:p w14:paraId="37D037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20C04D3" w14:textId="77777777" w:rsidTr="009501B5">
        <w:trPr>
          <w:trHeight w:val="220"/>
        </w:trPr>
        <w:tc>
          <w:tcPr>
            <w:tcW w:w="4320" w:type="dxa"/>
            <w:gridSpan w:val="3"/>
            <w:tcBorders>
              <w:top w:val="nil"/>
              <w:left w:val="nil"/>
              <w:bottom w:val="nil"/>
              <w:right w:val="nil"/>
            </w:tcBorders>
            <w:vAlign w:val="bottom"/>
          </w:tcPr>
          <w:p w14:paraId="1A9D16A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177B94E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B0B78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E6E0E86" w14:textId="77777777" w:rsidTr="009501B5">
        <w:trPr>
          <w:trHeight w:val="220"/>
        </w:trPr>
        <w:tc>
          <w:tcPr>
            <w:tcW w:w="5470" w:type="dxa"/>
            <w:gridSpan w:val="4"/>
            <w:tcBorders>
              <w:top w:val="nil"/>
              <w:left w:val="nil"/>
              <w:bottom w:val="nil"/>
              <w:right w:val="nil"/>
            </w:tcBorders>
            <w:vAlign w:val="bottom"/>
          </w:tcPr>
          <w:p w14:paraId="2221B1C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01ACD4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EFDC3DE" w14:textId="77777777" w:rsidTr="009501B5">
        <w:trPr>
          <w:trHeight w:hRule="exact" w:val="88"/>
        </w:trPr>
        <w:tc>
          <w:tcPr>
            <w:tcW w:w="2120" w:type="dxa"/>
            <w:tcBorders>
              <w:top w:val="nil"/>
              <w:left w:val="nil"/>
              <w:bottom w:val="double" w:sz="6" w:space="2" w:color="auto"/>
              <w:right w:val="nil"/>
            </w:tcBorders>
            <w:vAlign w:val="bottom"/>
          </w:tcPr>
          <w:p w14:paraId="3F3023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4CA95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ADE2D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8864A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2D84C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A23BF74" w14:textId="77777777" w:rsidTr="009501B5">
        <w:trPr>
          <w:trHeight w:hRule="exact" w:val="132"/>
        </w:trPr>
        <w:tc>
          <w:tcPr>
            <w:tcW w:w="2120" w:type="dxa"/>
            <w:tcBorders>
              <w:top w:val="nil"/>
              <w:left w:val="nil"/>
              <w:bottom w:val="nil"/>
              <w:right w:val="nil"/>
            </w:tcBorders>
            <w:vAlign w:val="bottom"/>
          </w:tcPr>
          <w:p w14:paraId="185005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0E532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3E251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C6DE3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EBE00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6B17DAA" w14:textId="77777777" w:rsidTr="009501B5">
        <w:trPr>
          <w:trHeight w:val="220"/>
        </w:trPr>
        <w:tc>
          <w:tcPr>
            <w:tcW w:w="6420" w:type="dxa"/>
            <w:gridSpan w:val="5"/>
            <w:tcBorders>
              <w:top w:val="nil"/>
              <w:left w:val="nil"/>
              <w:bottom w:val="nil"/>
              <w:right w:val="nil"/>
            </w:tcBorders>
            <w:vAlign w:val="bottom"/>
          </w:tcPr>
          <w:p w14:paraId="687474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08B50C59" w14:textId="77777777" w:rsidTr="009501B5">
        <w:trPr>
          <w:trHeight w:val="220"/>
        </w:trPr>
        <w:tc>
          <w:tcPr>
            <w:tcW w:w="6420" w:type="dxa"/>
            <w:gridSpan w:val="5"/>
            <w:tcBorders>
              <w:top w:val="nil"/>
              <w:left w:val="nil"/>
              <w:bottom w:val="nil"/>
              <w:right w:val="nil"/>
            </w:tcBorders>
            <w:vAlign w:val="bottom"/>
          </w:tcPr>
          <w:p w14:paraId="722ECE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4D87503A" w14:textId="77777777" w:rsidTr="009501B5">
        <w:trPr>
          <w:trHeight w:hRule="exact" w:val="88"/>
        </w:trPr>
        <w:tc>
          <w:tcPr>
            <w:tcW w:w="2120" w:type="dxa"/>
            <w:tcBorders>
              <w:top w:val="nil"/>
              <w:left w:val="nil"/>
              <w:bottom w:val="double" w:sz="6" w:space="2" w:color="auto"/>
              <w:right w:val="nil"/>
            </w:tcBorders>
            <w:vAlign w:val="bottom"/>
          </w:tcPr>
          <w:p w14:paraId="24A771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6CB32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C6D51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8E3B1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21CFF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0214683" w14:textId="77777777" w:rsidTr="009501B5">
        <w:trPr>
          <w:trHeight w:hRule="exact" w:val="132"/>
        </w:trPr>
        <w:tc>
          <w:tcPr>
            <w:tcW w:w="2120" w:type="dxa"/>
            <w:tcBorders>
              <w:top w:val="nil"/>
              <w:left w:val="nil"/>
              <w:bottom w:val="nil"/>
              <w:right w:val="nil"/>
            </w:tcBorders>
            <w:vAlign w:val="bottom"/>
          </w:tcPr>
          <w:p w14:paraId="5B1D96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91A76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73A8D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C56DD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B7F5D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88460C4" w14:textId="77777777" w:rsidTr="009501B5">
        <w:trPr>
          <w:trHeight w:val="220"/>
        </w:trPr>
        <w:tc>
          <w:tcPr>
            <w:tcW w:w="2120" w:type="dxa"/>
            <w:tcBorders>
              <w:top w:val="nil"/>
              <w:left w:val="nil"/>
              <w:bottom w:val="nil"/>
              <w:right w:val="nil"/>
            </w:tcBorders>
            <w:vAlign w:val="bottom"/>
          </w:tcPr>
          <w:p w14:paraId="779AEF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0DDFE84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61DF21A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481A8AB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3D4844C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090BDCA9" w14:textId="77777777" w:rsidTr="009501B5">
        <w:trPr>
          <w:trHeight w:hRule="exact" w:val="88"/>
        </w:trPr>
        <w:tc>
          <w:tcPr>
            <w:tcW w:w="2120" w:type="dxa"/>
            <w:tcBorders>
              <w:top w:val="nil"/>
              <w:left w:val="nil"/>
              <w:bottom w:val="double" w:sz="6" w:space="2" w:color="auto"/>
              <w:right w:val="nil"/>
            </w:tcBorders>
            <w:vAlign w:val="bottom"/>
          </w:tcPr>
          <w:p w14:paraId="2980EF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260D5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7DBB2B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264DF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2D60F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47B7194" w14:textId="77777777" w:rsidTr="009501B5">
        <w:trPr>
          <w:trHeight w:hRule="exact" w:val="132"/>
        </w:trPr>
        <w:tc>
          <w:tcPr>
            <w:tcW w:w="2120" w:type="dxa"/>
            <w:tcBorders>
              <w:top w:val="nil"/>
              <w:left w:val="nil"/>
              <w:bottom w:val="nil"/>
              <w:right w:val="nil"/>
            </w:tcBorders>
            <w:vAlign w:val="bottom"/>
          </w:tcPr>
          <w:p w14:paraId="271CF3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CBDC5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7456D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D90A4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0F790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A422941" w14:textId="77777777" w:rsidTr="009501B5">
        <w:trPr>
          <w:trHeight w:val="220"/>
        </w:trPr>
        <w:tc>
          <w:tcPr>
            <w:tcW w:w="2120" w:type="dxa"/>
            <w:tcBorders>
              <w:top w:val="nil"/>
              <w:left w:val="nil"/>
              <w:bottom w:val="nil"/>
              <w:right w:val="nil"/>
            </w:tcBorders>
            <w:vAlign w:val="bottom"/>
          </w:tcPr>
          <w:p w14:paraId="2EC0F1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w:t>
            </w:r>
          </w:p>
        </w:tc>
        <w:tc>
          <w:tcPr>
            <w:tcW w:w="1050" w:type="dxa"/>
            <w:tcBorders>
              <w:top w:val="nil"/>
              <w:left w:val="nil"/>
              <w:bottom w:val="nil"/>
              <w:right w:val="nil"/>
            </w:tcBorders>
            <w:vAlign w:val="bottom"/>
          </w:tcPr>
          <w:p w14:paraId="3AFC2CA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0.340790</w:t>
            </w:r>
          </w:p>
        </w:tc>
        <w:tc>
          <w:tcPr>
            <w:tcW w:w="1150" w:type="dxa"/>
            <w:tcBorders>
              <w:top w:val="nil"/>
              <w:left w:val="nil"/>
              <w:bottom w:val="nil"/>
              <w:right w:val="nil"/>
            </w:tcBorders>
            <w:vAlign w:val="bottom"/>
          </w:tcPr>
          <w:p w14:paraId="77492AD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0.179598</w:t>
            </w:r>
          </w:p>
        </w:tc>
        <w:tc>
          <w:tcPr>
            <w:tcW w:w="1150" w:type="dxa"/>
            <w:tcBorders>
              <w:top w:val="nil"/>
              <w:left w:val="nil"/>
              <w:bottom w:val="nil"/>
              <w:right w:val="nil"/>
            </w:tcBorders>
            <w:vAlign w:val="bottom"/>
          </w:tcPr>
          <w:p w14:paraId="4CFDCB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1.897509</w:t>
            </w:r>
          </w:p>
        </w:tc>
        <w:tc>
          <w:tcPr>
            <w:tcW w:w="950" w:type="dxa"/>
            <w:tcBorders>
              <w:top w:val="nil"/>
              <w:left w:val="nil"/>
              <w:bottom w:val="nil"/>
              <w:right w:val="nil"/>
            </w:tcBorders>
            <w:vAlign w:val="bottom"/>
          </w:tcPr>
          <w:p w14:paraId="3F75EE4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0.0786</w:t>
            </w:r>
          </w:p>
        </w:tc>
      </w:tr>
      <w:tr w:rsidR="00EA38DE" w:rsidRPr="00EA38DE" w14:paraId="438B11E1" w14:textId="77777777" w:rsidTr="009501B5">
        <w:trPr>
          <w:trHeight w:val="220"/>
        </w:trPr>
        <w:tc>
          <w:tcPr>
            <w:tcW w:w="2120" w:type="dxa"/>
            <w:tcBorders>
              <w:top w:val="nil"/>
              <w:left w:val="nil"/>
              <w:bottom w:val="nil"/>
              <w:right w:val="nil"/>
            </w:tcBorders>
            <w:vAlign w:val="bottom"/>
          </w:tcPr>
          <w:p w14:paraId="47355C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D(LFSH(-1))</w:t>
            </w:r>
          </w:p>
        </w:tc>
        <w:tc>
          <w:tcPr>
            <w:tcW w:w="1050" w:type="dxa"/>
            <w:tcBorders>
              <w:top w:val="nil"/>
              <w:left w:val="nil"/>
              <w:bottom w:val="nil"/>
              <w:right w:val="nil"/>
            </w:tcBorders>
            <w:vAlign w:val="bottom"/>
          </w:tcPr>
          <w:p w14:paraId="653736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0.967938</w:t>
            </w:r>
          </w:p>
        </w:tc>
        <w:tc>
          <w:tcPr>
            <w:tcW w:w="1150" w:type="dxa"/>
            <w:tcBorders>
              <w:top w:val="nil"/>
              <w:left w:val="nil"/>
              <w:bottom w:val="nil"/>
              <w:right w:val="nil"/>
            </w:tcBorders>
            <w:vAlign w:val="bottom"/>
          </w:tcPr>
          <w:p w14:paraId="122E5A1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0.205815</w:t>
            </w:r>
          </w:p>
        </w:tc>
        <w:tc>
          <w:tcPr>
            <w:tcW w:w="1150" w:type="dxa"/>
            <w:tcBorders>
              <w:top w:val="nil"/>
              <w:left w:val="nil"/>
              <w:bottom w:val="nil"/>
              <w:right w:val="nil"/>
            </w:tcBorders>
            <w:vAlign w:val="bottom"/>
          </w:tcPr>
          <w:p w14:paraId="1743144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4.702953</w:t>
            </w:r>
          </w:p>
        </w:tc>
        <w:tc>
          <w:tcPr>
            <w:tcW w:w="950" w:type="dxa"/>
            <w:tcBorders>
              <w:top w:val="nil"/>
              <w:left w:val="nil"/>
              <w:bottom w:val="nil"/>
              <w:right w:val="nil"/>
            </w:tcBorders>
            <w:vAlign w:val="bottom"/>
          </w:tcPr>
          <w:p w14:paraId="036E8F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0.0003</w:t>
            </w:r>
          </w:p>
        </w:tc>
      </w:tr>
      <w:tr w:rsidR="00EA38DE" w:rsidRPr="00EA38DE" w14:paraId="1615A03B" w14:textId="77777777" w:rsidTr="009501B5">
        <w:trPr>
          <w:trHeight w:val="220"/>
        </w:trPr>
        <w:tc>
          <w:tcPr>
            <w:tcW w:w="2120" w:type="dxa"/>
            <w:tcBorders>
              <w:top w:val="nil"/>
              <w:left w:val="nil"/>
              <w:bottom w:val="nil"/>
              <w:right w:val="nil"/>
            </w:tcBorders>
            <w:vAlign w:val="bottom"/>
          </w:tcPr>
          <w:p w14:paraId="4939AE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D(LFSH(-2))</w:t>
            </w:r>
          </w:p>
        </w:tc>
        <w:tc>
          <w:tcPr>
            <w:tcW w:w="1050" w:type="dxa"/>
            <w:tcBorders>
              <w:top w:val="nil"/>
              <w:left w:val="nil"/>
              <w:bottom w:val="nil"/>
              <w:right w:val="nil"/>
            </w:tcBorders>
            <w:vAlign w:val="bottom"/>
          </w:tcPr>
          <w:p w14:paraId="44E421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1.070219</w:t>
            </w:r>
          </w:p>
        </w:tc>
        <w:tc>
          <w:tcPr>
            <w:tcW w:w="1150" w:type="dxa"/>
            <w:tcBorders>
              <w:top w:val="nil"/>
              <w:left w:val="nil"/>
              <w:bottom w:val="nil"/>
              <w:right w:val="nil"/>
            </w:tcBorders>
            <w:vAlign w:val="bottom"/>
          </w:tcPr>
          <w:p w14:paraId="7EE11AB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0.212787</w:t>
            </w:r>
          </w:p>
        </w:tc>
        <w:tc>
          <w:tcPr>
            <w:tcW w:w="1150" w:type="dxa"/>
            <w:tcBorders>
              <w:top w:val="nil"/>
              <w:left w:val="nil"/>
              <w:bottom w:val="nil"/>
              <w:right w:val="nil"/>
            </w:tcBorders>
            <w:vAlign w:val="bottom"/>
          </w:tcPr>
          <w:p w14:paraId="1CC9E8B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5.029526</w:t>
            </w:r>
          </w:p>
        </w:tc>
        <w:tc>
          <w:tcPr>
            <w:tcW w:w="950" w:type="dxa"/>
            <w:tcBorders>
              <w:top w:val="nil"/>
              <w:left w:val="nil"/>
              <w:bottom w:val="nil"/>
              <w:right w:val="nil"/>
            </w:tcBorders>
            <w:vAlign w:val="bottom"/>
          </w:tcPr>
          <w:p w14:paraId="08F0B9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62047E36" w14:textId="77777777" w:rsidTr="009501B5">
        <w:trPr>
          <w:trHeight w:val="220"/>
        </w:trPr>
        <w:tc>
          <w:tcPr>
            <w:tcW w:w="2120" w:type="dxa"/>
            <w:tcBorders>
              <w:top w:val="nil"/>
              <w:left w:val="nil"/>
              <w:bottom w:val="nil"/>
              <w:right w:val="nil"/>
            </w:tcBorders>
            <w:vAlign w:val="bottom"/>
          </w:tcPr>
          <w:p w14:paraId="56B0C3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5642942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-0.001239</w:t>
            </w:r>
          </w:p>
        </w:tc>
        <w:tc>
          <w:tcPr>
            <w:tcW w:w="1150" w:type="dxa"/>
            <w:tcBorders>
              <w:top w:val="nil"/>
              <w:left w:val="nil"/>
              <w:bottom w:val="nil"/>
              <w:right w:val="nil"/>
            </w:tcBorders>
            <w:vAlign w:val="bottom"/>
          </w:tcPr>
          <w:p w14:paraId="533A9B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0.001861</w:t>
            </w:r>
          </w:p>
        </w:tc>
        <w:tc>
          <w:tcPr>
            <w:tcW w:w="1150" w:type="dxa"/>
            <w:tcBorders>
              <w:top w:val="nil"/>
              <w:left w:val="nil"/>
              <w:bottom w:val="nil"/>
              <w:right w:val="nil"/>
            </w:tcBorders>
            <w:vAlign w:val="bottom"/>
          </w:tcPr>
          <w:p w14:paraId="0A5FBC4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-0.665826</w:t>
            </w:r>
          </w:p>
        </w:tc>
        <w:tc>
          <w:tcPr>
            <w:tcW w:w="950" w:type="dxa"/>
            <w:tcBorders>
              <w:top w:val="nil"/>
              <w:left w:val="nil"/>
              <w:bottom w:val="nil"/>
              <w:right w:val="nil"/>
            </w:tcBorders>
            <w:vAlign w:val="bottom"/>
          </w:tcPr>
          <w:p w14:paraId="15C5D83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0.5163</w:t>
            </w:r>
          </w:p>
        </w:tc>
      </w:tr>
      <w:tr w:rsidR="00EA38DE" w:rsidRPr="00EA38DE" w14:paraId="072D4F89" w14:textId="77777777" w:rsidTr="009501B5">
        <w:trPr>
          <w:trHeight w:val="220"/>
        </w:trPr>
        <w:tc>
          <w:tcPr>
            <w:tcW w:w="2120" w:type="dxa"/>
            <w:tcBorders>
              <w:top w:val="nil"/>
              <w:left w:val="nil"/>
              <w:bottom w:val="nil"/>
              <w:right w:val="nil"/>
            </w:tcBorders>
            <w:vAlign w:val="bottom"/>
          </w:tcPr>
          <w:p w14:paraId="616ABB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56A24E7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0.005136</w:t>
            </w:r>
          </w:p>
        </w:tc>
        <w:tc>
          <w:tcPr>
            <w:tcW w:w="1150" w:type="dxa"/>
            <w:tcBorders>
              <w:top w:val="nil"/>
              <w:left w:val="nil"/>
              <w:bottom w:val="nil"/>
              <w:right w:val="nil"/>
            </w:tcBorders>
            <w:vAlign w:val="bottom"/>
          </w:tcPr>
          <w:p w14:paraId="2BA87B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0.001555</w:t>
            </w:r>
          </w:p>
        </w:tc>
        <w:tc>
          <w:tcPr>
            <w:tcW w:w="1150" w:type="dxa"/>
            <w:tcBorders>
              <w:top w:val="nil"/>
              <w:left w:val="nil"/>
              <w:bottom w:val="nil"/>
              <w:right w:val="nil"/>
            </w:tcBorders>
            <w:vAlign w:val="bottom"/>
          </w:tcPr>
          <w:p w14:paraId="7985836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3.302899</w:t>
            </w:r>
          </w:p>
        </w:tc>
        <w:tc>
          <w:tcPr>
            <w:tcW w:w="950" w:type="dxa"/>
            <w:tcBorders>
              <w:top w:val="nil"/>
              <w:left w:val="nil"/>
              <w:bottom w:val="nil"/>
              <w:right w:val="nil"/>
            </w:tcBorders>
            <w:vAlign w:val="bottom"/>
          </w:tcPr>
          <w:p w14:paraId="120FE76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0.0052</w:t>
            </w:r>
          </w:p>
        </w:tc>
      </w:tr>
      <w:tr w:rsidR="00EA38DE" w:rsidRPr="00EA38DE" w14:paraId="4B10B502" w14:textId="77777777" w:rsidTr="009501B5">
        <w:trPr>
          <w:trHeight w:val="220"/>
        </w:trPr>
        <w:tc>
          <w:tcPr>
            <w:tcW w:w="2120" w:type="dxa"/>
            <w:tcBorders>
              <w:top w:val="nil"/>
              <w:left w:val="nil"/>
              <w:bottom w:val="nil"/>
              <w:right w:val="nil"/>
            </w:tcBorders>
            <w:vAlign w:val="bottom"/>
          </w:tcPr>
          <w:p w14:paraId="7050EA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D(IFR(-2))</w:t>
            </w:r>
          </w:p>
        </w:tc>
        <w:tc>
          <w:tcPr>
            <w:tcW w:w="1050" w:type="dxa"/>
            <w:tcBorders>
              <w:top w:val="nil"/>
              <w:left w:val="nil"/>
              <w:bottom w:val="nil"/>
              <w:right w:val="nil"/>
            </w:tcBorders>
            <w:vAlign w:val="bottom"/>
          </w:tcPr>
          <w:p w14:paraId="6B43DEE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0.006140</w:t>
            </w:r>
          </w:p>
        </w:tc>
        <w:tc>
          <w:tcPr>
            <w:tcW w:w="1150" w:type="dxa"/>
            <w:tcBorders>
              <w:top w:val="nil"/>
              <w:left w:val="nil"/>
              <w:bottom w:val="nil"/>
              <w:right w:val="nil"/>
            </w:tcBorders>
            <w:vAlign w:val="bottom"/>
          </w:tcPr>
          <w:p w14:paraId="25CADAC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0.001370</w:t>
            </w:r>
          </w:p>
        </w:tc>
        <w:tc>
          <w:tcPr>
            <w:tcW w:w="1150" w:type="dxa"/>
            <w:tcBorders>
              <w:top w:val="nil"/>
              <w:left w:val="nil"/>
              <w:bottom w:val="nil"/>
              <w:right w:val="nil"/>
            </w:tcBorders>
            <w:vAlign w:val="bottom"/>
          </w:tcPr>
          <w:p w14:paraId="7237A0D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4.481463</w:t>
            </w:r>
          </w:p>
        </w:tc>
        <w:tc>
          <w:tcPr>
            <w:tcW w:w="950" w:type="dxa"/>
            <w:tcBorders>
              <w:top w:val="nil"/>
              <w:left w:val="nil"/>
              <w:bottom w:val="nil"/>
              <w:right w:val="nil"/>
            </w:tcBorders>
            <w:vAlign w:val="bottom"/>
          </w:tcPr>
          <w:p w14:paraId="5B2239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0.0005</w:t>
            </w:r>
          </w:p>
        </w:tc>
      </w:tr>
      <w:tr w:rsidR="00EA38DE" w:rsidRPr="00EA38DE" w14:paraId="6595E155" w14:textId="77777777" w:rsidTr="009501B5">
        <w:trPr>
          <w:trHeight w:val="220"/>
        </w:trPr>
        <w:tc>
          <w:tcPr>
            <w:tcW w:w="2120" w:type="dxa"/>
            <w:tcBorders>
              <w:top w:val="nil"/>
              <w:left w:val="nil"/>
              <w:bottom w:val="nil"/>
              <w:right w:val="nil"/>
            </w:tcBorders>
            <w:vAlign w:val="bottom"/>
          </w:tcPr>
          <w:p w14:paraId="5AFCDC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31A02A9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-6.071625</w:t>
            </w:r>
          </w:p>
        </w:tc>
        <w:tc>
          <w:tcPr>
            <w:tcW w:w="1150" w:type="dxa"/>
            <w:tcBorders>
              <w:top w:val="nil"/>
              <w:left w:val="nil"/>
              <w:bottom w:val="nil"/>
              <w:right w:val="nil"/>
            </w:tcBorders>
            <w:vAlign w:val="bottom"/>
          </w:tcPr>
          <w:p w14:paraId="688FC90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1.077030</w:t>
            </w:r>
          </w:p>
        </w:tc>
        <w:tc>
          <w:tcPr>
            <w:tcW w:w="1150" w:type="dxa"/>
            <w:tcBorders>
              <w:top w:val="nil"/>
              <w:left w:val="nil"/>
              <w:bottom w:val="nil"/>
              <w:right w:val="nil"/>
            </w:tcBorders>
            <w:vAlign w:val="bottom"/>
          </w:tcPr>
          <w:p w14:paraId="6F1F5B3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-5.637379</w:t>
            </w:r>
          </w:p>
        </w:tc>
        <w:tc>
          <w:tcPr>
            <w:tcW w:w="950" w:type="dxa"/>
            <w:tcBorders>
              <w:top w:val="nil"/>
              <w:left w:val="nil"/>
              <w:bottom w:val="nil"/>
              <w:right w:val="nil"/>
            </w:tcBorders>
            <w:vAlign w:val="bottom"/>
          </w:tcPr>
          <w:p w14:paraId="20FB591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4EC7CA37" w14:textId="77777777" w:rsidTr="009501B5">
        <w:trPr>
          <w:trHeight w:val="220"/>
        </w:trPr>
        <w:tc>
          <w:tcPr>
            <w:tcW w:w="2120" w:type="dxa"/>
            <w:tcBorders>
              <w:top w:val="nil"/>
              <w:left w:val="nil"/>
              <w:bottom w:val="nil"/>
              <w:right w:val="nil"/>
            </w:tcBorders>
            <w:vAlign w:val="bottom"/>
          </w:tcPr>
          <w:p w14:paraId="41F25E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0A1219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27.44669</w:t>
            </w:r>
          </w:p>
        </w:tc>
        <w:tc>
          <w:tcPr>
            <w:tcW w:w="1150" w:type="dxa"/>
            <w:tcBorders>
              <w:top w:val="nil"/>
              <w:left w:val="nil"/>
              <w:bottom w:val="nil"/>
              <w:right w:val="nil"/>
            </w:tcBorders>
            <w:vAlign w:val="bottom"/>
          </w:tcPr>
          <w:p w14:paraId="736A9F2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4.053780</w:t>
            </w:r>
          </w:p>
        </w:tc>
        <w:tc>
          <w:tcPr>
            <w:tcW w:w="1150" w:type="dxa"/>
            <w:tcBorders>
              <w:top w:val="nil"/>
              <w:left w:val="nil"/>
              <w:bottom w:val="nil"/>
              <w:right w:val="nil"/>
            </w:tcBorders>
            <w:vAlign w:val="bottom"/>
          </w:tcPr>
          <w:p w14:paraId="5C682A6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6.770642</w:t>
            </w:r>
          </w:p>
        </w:tc>
        <w:tc>
          <w:tcPr>
            <w:tcW w:w="950" w:type="dxa"/>
            <w:tcBorders>
              <w:top w:val="nil"/>
              <w:left w:val="nil"/>
              <w:bottom w:val="nil"/>
              <w:right w:val="nil"/>
            </w:tcBorders>
            <w:vAlign w:val="bottom"/>
          </w:tcPr>
          <w:p w14:paraId="232EA04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1BC9BFF9" w14:textId="77777777" w:rsidTr="009501B5">
        <w:trPr>
          <w:trHeight w:val="220"/>
        </w:trPr>
        <w:tc>
          <w:tcPr>
            <w:tcW w:w="2120" w:type="dxa"/>
            <w:tcBorders>
              <w:top w:val="nil"/>
              <w:left w:val="nil"/>
              <w:bottom w:val="nil"/>
              <w:right w:val="nil"/>
            </w:tcBorders>
            <w:vAlign w:val="bottom"/>
          </w:tcPr>
          <w:p w14:paraId="61A574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2376080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0.057434</w:t>
            </w:r>
          </w:p>
        </w:tc>
        <w:tc>
          <w:tcPr>
            <w:tcW w:w="1150" w:type="dxa"/>
            <w:tcBorders>
              <w:top w:val="nil"/>
              <w:left w:val="nil"/>
              <w:bottom w:val="nil"/>
              <w:right w:val="nil"/>
            </w:tcBorders>
            <w:vAlign w:val="bottom"/>
          </w:tcPr>
          <w:p w14:paraId="021E486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0.019839</w:t>
            </w:r>
          </w:p>
        </w:tc>
        <w:tc>
          <w:tcPr>
            <w:tcW w:w="1150" w:type="dxa"/>
            <w:tcBorders>
              <w:top w:val="nil"/>
              <w:left w:val="nil"/>
              <w:bottom w:val="nil"/>
              <w:right w:val="nil"/>
            </w:tcBorders>
            <w:vAlign w:val="bottom"/>
          </w:tcPr>
          <w:p w14:paraId="5ECCBE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2.895023</w:t>
            </w:r>
          </w:p>
        </w:tc>
        <w:tc>
          <w:tcPr>
            <w:tcW w:w="950" w:type="dxa"/>
            <w:tcBorders>
              <w:top w:val="nil"/>
              <w:left w:val="nil"/>
              <w:bottom w:val="nil"/>
              <w:right w:val="nil"/>
            </w:tcBorders>
            <w:vAlign w:val="bottom"/>
          </w:tcPr>
          <w:p w14:paraId="6FB55D5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0.0118</w:t>
            </w:r>
          </w:p>
        </w:tc>
      </w:tr>
      <w:tr w:rsidR="00EA38DE" w:rsidRPr="00EA38DE" w14:paraId="6A89DAD1" w14:textId="77777777" w:rsidTr="009501B5">
        <w:trPr>
          <w:trHeight w:val="220"/>
        </w:trPr>
        <w:tc>
          <w:tcPr>
            <w:tcW w:w="2120" w:type="dxa"/>
            <w:tcBorders>
              <w:top w:val="nil"/>
              <w:left w:val="nil"/>
              <w:bottom w:val="nil"/>
              <w:right w:val="nil"/>
            </w:tcBorders>
            <w:vAlign w:val="bottom"/>
          </w:tcPr>
          <w:p w14:paraId="25D67B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30458D5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-0.466421</w:t>
            </w:r>
          </w:p>
        </w:tc>
        <w:tc>
          <w:tcPr>
            <w:tcW w:w="1150" w:type="dxa"/>
            <w:tcBorders>
              <w:top w:val="nil"/>
              <w:left w:val="nil"/>
              <w:bottom w:val="nil"/>
              <w:right w:val="nil"/>
            </w:tcBorders>
            <w:vAlign w:val="bottom"/>
          </w:tcPr>
          <w:p w14:paraId="774B53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0.068991</w:t>
            </w:r>
          </w:p>
        </w:tc>
        <w:tc>
          <w:tcPr>
            <w:tcW w:w="1150" w:type="dxa"/>
            <w:tcBorders>
              <w:top w:val="nil"/>
              <w:left w:val="nil"/>
              <w:bottom w:val="nil"/>
              <w:right w:val="nil"/>
            </w:tcBorders>
            <w:vAlign w:val="bottom"/>
          </w:tcPr>
          <w:p w14:paraId="1FDA2D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-6.760636</w:t>
            </w:r>
          </w:p>
        </w:tc>
        <w:tc>
          <w:tcPr>
            <w:tcW w:w="950" w:type="dxa"/>
            <w:tcBorders>
              <w:top w:val="nil"/>
              <w:left w:val="nil"/>
              <w:bottom w:val="nil"/>
              <w:right w:val="nil"/>
            </w:tcBorders>
            <w:vAlign w:val="bottom"/>
          </w:tcPr>
          <w:p w14:paraId="100D553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7244E730" w14:textId="77777777" w:rsidTr="009501B5">
        <w:trPr>
          <w:trHeight w:hRule="exact" w:val="88"/>
        </w:trPr>
        <w:tc>
          <w:tcPr>
            <w:tcW w:w="2120" w:type="dxa"/>
            <w:tcBorders>
              <w:top w:val="nil"/>
              <w:left w:val="nil"/>
              <w:bottom w:val="double" w:sz="6" w:space="2" w:color="auto"/>
              <w:right w:val="nil"/>
            </w:tcBorders>
            <w:vAlign w:val="bottom"/>
          </w:tcPr>
          <w:p w14:paraId="459C6F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D721B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D8651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4FAC0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2BEF1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7550C78" w14:textId="77777777" w:rsidTr="009501B5">
        <w:trPr>
          <w:trHeight w:hRule="exact" w:val="132"/>
        </w:trPr>
        <w:tc>
          <w:tcPr>
            <w:tcW w:w="2120" w:type="dxa"/>
            <w:tcBorders>
              <w:top w:val="nil"/>
              <w:left w:val="nil"/>
              <w:bottom w:val="nil"/>
              <w:right w:val="nil"/>
            </w:tcBorders>
            <w:vAlign w:val="bottom"/>
          </w:tcPr>
          <w:p w14:paraId="586615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F4635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37338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65992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567B9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9A1E741" w14:textId="77777777" w:rsidTr="009501B5">
        <w:trPr>
          <w:trHeight w:val="220"/>
        </w:trPr>
        <w:tc>
          <w:tcPr>
            <w:tcW w:w="2120" w:type="dxa"/>
            <w:tcBorders>
              <w:top w:val="nil"/>
              <w:left w:val="nil"/>
              <w:bottom w:val="nil"/>
              <w:right w:val="nil"/>
            </w:tcBorders>
            <w:vAlign w:val="bottom"/>
          </w:tcPr>
          <w:p w14:paraId="14CC411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7AEA05F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0.772280</w:t>
            </w:r>
          </w:p>
        </w:tc>
        <w:tc>
          <w:tcPr>
            <w:tcW w:w="2300" w:type="dxa"/>
            <w:gridSpan w:val="2"/>
            <w:tcBorders>
              <w:top w:val="nil"/>
              <w:left w:val="nil"/>
              <w:bottom w:val="nil"/>
              <w:right w:val="nil"/>
            </w:tcBorders>
            <w:vAlign w:val="bottom"/>
          </w:tcPr>
          <w:p w14:paraId="7EF3C32C"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689365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0.043010</w:t>
            </w:r>
          </w:p>
        </w:tc>
      </w:tr>
      <w:tr w:rsidR="00EA38DE" w:rsidRPr="00EA38DE" w14:paraId="08CBB2DC" w14:textId="77777777" w:rsidTr="009501B5">
        <w:trPr>
          <w:trHeight w:val="220"/>
        </w:trPr>
        <w:tc>
          <w:tcPr>
            <w:tcW w:w="2120" w:type="dxa"/>
            <w:tcBorders>
              <w:top w:val="nil"/>
              <w:left w:val="nil"/>
              <w:bottom w:val="nil"/>
              <w:right w:val="nil"/>
            </w:tcBorders>
            <w:vAlign w:val="bottom"/>
          </w:tcPr>
          <w:p w14:paraId="53318FD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2F68F6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0.647034</w:t>
            </w:r>
          </w:p>
        </w:tc>
        <w:tc>
          <w:tcPr>
            <w:tcW w:w="2300" w:type="dxa"/>
            <w:gridSpan w:val="2"/>
            <w:tcBorders>
              <w:top w:val="nil"/>
              <w:left w:val="nil"/>
              <w:bottom w:val="nil"/>
              <w:right w:val="nil"/>
            </w:tcBorders>
            <w:vAlign w:val="bottom"/>
          </w:tcPr>
          <w:p w14:paraId="68D1681F"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44944FF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0.110929</w:t>
            </w:r>
          </w:p>
        </w:tc>
      </w:tr>
      <w:tr w:rsidR="00EA38DE" w:rsidRPr="00EA38DE" w14:paraId="3C25AC03" w14:textId="77777777" w:rsidTr="009501B5">
        <w:trPr>
          <w:trHeight w:val="220"/>
        </w:trPr>
        <w:tc>
          <w:tcPr>
            <w:tcW w:w="2120" w:type="dxa"/>
            <w:tcBorders>
              <w:top w:val="nil"/>
              <w:left w:val="nil"/>
              <w:bottom w:val="nil"/>
              <w:right w:val="nil"/>
            </w:tcBorders>
            <w:vAlign w:val="bottom"/>
          </w:tcPr>
          <w:p w14:paraId="0999616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5C39E70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0.065904</w:t>
            </w:r>
          </w:p>
        </w:tc>
        <w:tc>
          <w:tcPr>
            <w:tcW w:w="2300" w:type="dxa"/>
            <w:gridSpan w:val="2"/>
            <w:tcBorders>
              <w:top w:val="nil"/>
              <w:left w:val="nil"/>
              <w:bottom w:val="nil"/>
              <w:right w:val="nil"/>
            </w:tcBorders>
            <w:vAlign w:val="bottom"/>
          </w:tcPr>
          <w:p w14:paraId="34611678"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0BA7B7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-2.321241</w:t>
            </w:r>
          </w:p>
        </w:tc>
      </w:tr>
      <w:tr w:rsidR="00EA38DE" w:rsidRPr="00EA38DE" w14:paraId="3FF3638C" w14:textId="77777777" w:rsidTr="009501B5">
        <w:trPr>
          <w:trHeight w:val="220"/>
        </w:trPr>
        <w:tc>
          <w:tcPr>
            <w:tcW w:w="2120" w:type="dxa"/>
            <w:tcBorders>
              <w:top w:val="nil"/>
              <w:left w:val="nil"/>
              <w:bottom w:val="nil"/>
              <w:right w:val="nil"/>
            </w:tcBorders>
            <w:vAlign w:val="bottom"/>
          </w:tcPr>
          <w:p w14:paraId="0C44BD7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442557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0.086867</w:t>
            </w:r>
          </w:p>
        </w:tc>
        <w:tc>
          <w:tcPr>
            <w:tcW w:w="2300" w:type="dxa"/>
            <w:gridSpan w:val="2"/>
            <w:tcBorders>
              <w:top w:val="nil"/>
              <w:left w:val="nil"/>
              <w:bottom w:val="nil"/>
              <w:right w:val="nil"/>
            </w:tcBorders>
            <w:vAlign w:val="bottom"/>
          </w:tcPr>
          <w:p w14:paraId="67AABC78"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1C0D293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-1.771590</w:t>
            </w:r>
          </w:p>
        </w:tc>
      </w:tr>
      <w:tr w:rsidR="00EA38DE" w:rsidRPr="00EA38DE" w14:paraId="675E8C26" w14:textId="77777777" w:rsidTr="009501B5">
        <w:trPr>
          <w:trHeight w:val="220"/>
        </w:trPr>
        <w:tc>
          <w:tcPr>
            <w:tcW w:w="2120" w:type="dxa"/>
            <w:tcBorders>
              <w:top w:val="nil"/>
              <w:left w:val="nil"/>
              <w:bottom w:val="nil"/>
              <w:right w:val="nil"/>
            </w:tcBorders>
            <w:vAlign w:val="bottom"/>
          </w:tcPr>
          <w:p w14:paraId="773EC4A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3E0B2FD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49.13986</w:t>
            </w:r>
          </w:p>
        </w:tc>
        <w:tc>
          <w:tcPr>
            <w:tcW w:w="2300" w:type="dxa"/>
            <w:gridSpan w:val="2"/>
            <w:tcBorders>
              <w:top w:val="nil"/>
              <w:left w:val="nil"/>
              <w:bottom w:val="nil"/>
              <w:right w:val="nil"/>
            </w:tcBorders>
            <w:vAlign w:val="bottom"/>
          </w:tcPr>
          <w:p w14:paraId="4E37C1B2"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4C0E9B0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-2.139047</w:t>
            </w:r>
          </w:p>
        </w:tc>
      </w:tr>
      <w:tr w:rsidR="00EA38DE" w:rsidRPr="00EA38DE" w14:paraId="632FF19F" w14:textId="77777777" w:rsidTr="009501B5">
        <w:trPr>
          <w:trHeight w:val="220"/>
        </w:trPr>
        <w:tc>
          <w:tcPr>
            <w:tcW w:w="2120" w:type="dxa"/>
            <w:tcBorders>
              <w:top w:val="nil"/>
              <w:left w:val="nil"/>
              <w:bottom w:val="nil"/>
              <w:right w:val="nil"/>
            </w:tcBorders>
            <w:vAlign w:val="bottom"/>
          </w:tcPr>
          <w:p w14:paraId="31336C8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1CD6CE3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2.289886</w:t>
            </w:r>
          </w:p>
        </w:tc>
        <w:tc>
          <w:tcPr>
            <w:tcW w:w="1150" w:type="dxa"/>
            <w:tcBorders>
              <w:top w:val="nil"/>
              <w:left w:val="nil"/>
              <w:bottom w:val="nil"/>
              <w:right w:val="nil"/>
            </w:tcBorders>
            <w:vAlign w:val="bottom"/>
          </w:tcPr>
          <w:p w14:paraId="77B1A151"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74868700"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67F5FE76"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616AD6F0" w14:textId="77777777" w:rsidTr="009501B5">
        <w:trPr>
          <w:trHeight w:hRule="exact" w:val="88"/>
        </w:trPr>
        <w:tc>
          <w:tcPr>
            <w:tcW w:w="2120" w:type="dxa"/>
            <w:tcBorders>
              <w:top w:val="nil"/>
              <w:left w:val="nil"/>
              <w:bottom w:val="double" w:sz="6" w:space="2" w:color="auto"/>
              <w:right w:val="nil"/>
            </w:tcBorders>
            <w:vAlign w:val="bottom"/>
          </w:tcPr>
          <w:p w14:paraId="41554B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0313B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BB2AB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06EED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A9717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DA7EAF5" w14:textId="77777777" w:rsidTr="009501B5">
        <w:trPr>
          <w:trHeight w:hRule="exact" w:val="132"/>
        </w:trPr>
        <w:tc>
          <w:tcPr>
            <w:tcW w:w="2120" w:type="dxa"/>
            <w:tcBorders>
              <w:top w:val="nil"/>
              <w:left w:val="nil"/>
              <w:bottom w:val="nil"/>
              <w:right w:val="nil"/>
            </w:tcBorders>
            <w:vAlign w:val="bottom"/>
          </w:tcPr>
          <w:p w14:paraId="5AC498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31441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B154EC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B7D57E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2A136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0913E55" w14:textId="77777777" w:rsidTr="009501B5">
        <w:trPr>
          <w:trHeight w:val="220"/>
        </w:trPr>
        <w:tc>
          <w:tcPr>
            <w:tcW w:w="6420" w:type="dxa"/>
            <w:gridSpan w:val="5"/>
            <w:tcBorders>
              <w:top w:val="nil"/>
              <w:left w:val="nil"/>
              <w:bottom w:val="nil"/>
              <w:right w:val="nil"/>
            </w:tcBorders>
            <w:vAlign w:val="bottom"/>
          </w:tcPr>
          <w:p w14:paraId="3DEDA2F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4CE81B97" w14:textId="77777777" w:rsidTr="009501B5">
        <w:trPr>
          <w:trHeight w:val="220"/>
        </w:trPr>
        <w:tc>
          <w:tcPr>
            <w:tcW w:w="2120" w:type="dxa"/>
            <w:tcBorders>
              <w:top w:val="nil"/>
              <w:left w:val="nil"/>
              <w:bottom w:val="nil"/>
              <w:right w:val="nil"/>
            </w:tcBorders>
            <w:vAlign w:val="bottom"/>
          </w:tcPr>
          <w:p w14:paraId="3F113E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3A935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D72F9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ED5B7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7FB40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30EDC23" w14:textId="77777777" w:rsidTr="009501B5">
        <w:trPr>
          <w:trHeight w:val="220"/>
        </w:trPr>
        <w:tc>
          <w:tcPr>
            <w:tcW w:w="2120" w:type="dxa"/>
            <w:tcBorders>
              <w:top w:val="nil"/>
              <w:left w:val="nil"/>
              <w:bottom w:val="nil"/>
              <w:right w:val="nil"/>
            </w:tcBorders>
            <w:vAlign w:val="bottom"/>
          </w:tcPr>
          <w:p w14:paraId="7F775C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13002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9D74D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3D17F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71B08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74AC7C1" w14:textId="77777777" w:rsidTr="009501B5">
        <w:trPr>
          <w:trHeight w:val="220"/>
        </w:trPr>
        <w:tc>
          <w:tcPr>
            <w:tcW w:w="3170" w:type="dxa"/>
            <w:gridSpan w:val="2"/>
            <w:tcBorders>
              <w:top w:val="nil"/>
              <w:left w:val="nil"/>
              <w:bottom w:val="nil"/>
              <w:right w:val="nil"/>
            </w:tcBorders>
            <w:vAlign w:val="bottom"/>
          </w:tcPr>
          <w:p w14:paraId="4C20198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068069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3EFEC91F" w14:textId="77777777" w:rsidTr="009501B5">
        <w:trPr>
          <w:trHeight w:hRule="exact" w:val="88"/>
        </w:trPr>
        <w:tc>
          <w:tcPr>
            <w:tcW w:w="2120" w:type="dxa"/>
            <w:tcBorders>
              <w:top w:val="nil"/>
              <w:left w:val="nil"/>
              <w:bottom w:val="double" w:sz="6" w:space="2" w:color="auto"/>
              <w:right w:val="nil"/>
            </w:tcBorders>
            <w:vAlign w:val="bottom"/>
          </w:tcPr>
          <w:p w14:paraId="5ADDFB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0F8B7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0B5A2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31F05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81D81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D91F34B" w14:textId="77777777" w:rsidTr="009501B5">
        <w:trPr>
          <w:trHeight w:hRule="exact" w:val="132"/>
        </w:trPr>
        <w:tc>
          <w:tcPr>
            <w:tcW w:w="2120" w:type="dxa"/>
            <w:tcBorders>
              <w:top w:val="nil"/>
              <w:left w:val="nil"/>
              <w:bottom w:val="nil"/>
              <w:right w:val="nil"/>
            </w:tcBorders>
            <w:vAlign w:val="bottom"/>
          </w:tcPr>
          <w:p w14:paraId="4F7683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0914C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13C16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9400D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951AE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DFBD7FC" w14:textId="77777777" w:rsidTr="009501B5">
        <w:trPr>
          <w:trHeight w:val="220"/>
        </w:trPr>
        <w:tc>
          <w:tcPr>
            <w:tcW w:w="2120" w:type="dxa"/>
            <w:tcBorders>
              <w:top w:val="nil"/>
              <w:left w:val="nil"/>
              <w:bottom w:val="nil"/>
              <w:right w:val="nil"/>
            </w:tcBorders>
            <w:vAlign w:val="bottom"/>
          </w:tcPr>
          <w:p w14:paraId="532F4CC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58A141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3D5C1D6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11E0E33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7B78A2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3F31D126" w14:textId="77777777" w:rsidTr="009501B5">
        <w:trPr>
          <w:trHeight w:hRule="exact" w:val="88"/>
        </w:trPr>
        <w:tc>
          <w:tcPr>
            <w:tcW w:w="2120" w:type="dxa"/>
            <w:tcBorders>
              <w:top w:val="nil"/>
              <w:left w:val="nil"/>
              <w:bottom w:val="double" w:sz="6" w:space="2" w:color="auto"/>
              <w:right w:val="nil"/>
            </w:tcBorders>
            <w:vAlign w:val="bottom"/>
          </w:tcPr>
          <w:p w14:paraId="2199B4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0B985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8508E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58523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FBB4A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26636E" w14:textId="77777777" w:rsidTr="009501B5">
        <w:trPr>
          <w:trHeight w:hRule="exact" w:val="132"/>
        </w:trPr>
        <w:tc>
          <w:tcPr>
            <w:tcW w:w="2120" w:type="dxa"/>
            <w:tcBorders>
              <w:top w:val="nil"/>
              <w:left w:val="nil"/>
              <w:bottom w:val="nil"/>
              <w:right w:val="nil"/>
            </w:tcBorders>
            <w:vAlign w:val="bottom"/>
          </w:tcPr>
          <w:p w14:paraId="753172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5026E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94B2C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3F2CE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4DD34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415EFF1" w14:textId="77777777" w:rsidTr="009501B5">
        <w:trPr>
          <w:trHeight w:val="220"/>
        </w:trPr>
        <w:tc>
          <w:tcPr>
            <w:tcW w:w="2120" w:type="dxa"/>
            <w:tcBorders>
              <w:top w:val="nil"/>
              <w:left w:val="nil"/>
              <w:bottom w:val="nil"/>
              <w:right w:val="nil"/>
            </w:tcBorders>
            <w:vAlign w:val="bottom"/>
          </w:tcPr>
          <w:p w14:paraId="0CC153B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6FB49A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4.570619</w:t>
            </w:r>
          </w:p>
        </w:tc>
        <w:tc>
          <w:tcPr>
            <w:tcW w:w="1150" w:type="dxa"/>
            <w:tcBorders>
              <w:top w:val="nil"/>
              <w:left w:val="nil"/>
              <w:bottom w:val="nil"/>
              <w:right w:val="nil"/>
            </w:tcBorders>
            <w:vAlign w:val="bottom"/>
          </w:tcPr>
          <w:p w14:paraId="7E8E40C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3257B65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2.08</w:t>
            </w:r>
          </w:p>
        </w:tc>
        <w:tc>
          <w:tcPr>
            <w:tcW w:w="950" w:type="dxa"/>
            <w:tcBorders>
              <w:top w:val="nil"/>
              <w:left w:val="nil"/>
              <w:bottom w:val="nil"/>
              <w:right w:val="nil"/>
            </w:tcBorders>
            <w:vAlign w:val="bottom"/>
          </w:tcPr>
          <w:p w14:paraId="69FAC2F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w:t>
            </w:r>
          </w:p>
        </w:tc>
      </w:tr>
      <w:tr w:rsidR="00EA38DE" w:rsidRPr="00EA38DE" w14:paraId="72E81FE3" w14:textId="77777777" w:rsidTr="009501B5">
        <w:trPr>
          <w:trHeight w:val="220"/>
        </w:trPr>
        <w:tc>
          <w:tcPr>
            <w:tcW w:w="2120" w:type="dxa"/>
            <w:tcBorders>
              <w:top w:val="nil"/>
              <w:left w:val="nil"/>
              <w:bottom w:val="nil"/>
              <w:right w:val="nil"/>
            </w:tcBorders>
            <w:vAlign w:val="bottom"/>
          </w:tcPr>
          <w:p w14:paraId="68A2E09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4B8E09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2317B90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60220B9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2.39</w:t>
            </w:r>
          </w:p>
        </w:tc>
        <w:tc>
          <w:tcPr>
            <w:tcW w:w="950" w:type="dxa"/>
            <w:tcBorders>
              <w:top w:val="nil"/>
              <w:left w:val="nil"/>
              <w:bottom w:val="nil"/>
              <w:right w:val="nil"/>
            </w:tcBorders>
            <w:vAlign w:val="bottom"/>
          </w:tcPr>
          <w:p w14:paraId="1522CB9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3.38</w:t>
            </w:r>
          </w:p>
        </w:tc>
      </w:tr>
      <w:tr w:rsidR="00EA38DE" w:rsidRPr="00EA38DE" w14:paraId="7FBA1D15" w14:textId="77777777" w:rsidTr="009501B5">
        <w:trPr>
          <w:trHeight w:val="220"/>
        </w:trPr>
        <w:tc>
          <w:tcPr>
            <w:tcW w:w="2120" w:type="dxa"/>
            <w:tcBorders>
              <w:top w:val="nil"/>
              <w:left w:val="nil"/>
              <w:bottom w:val="nil"/>
              <w:right w:val="nil"/>
            </w:tcBorders>
            <w:vAlign w:val="bottom"/>
          </w:tcPr>
          <w:p w14:paraId="4E1C39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BDF94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B61015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137D5E1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w:t>
            </w:r>
          </w:p>
        </w:tc>
        <w:tc>
          <w:tcPr>
            <w:tcW w:w="950" w:type="dxa"/>
            <w:tcBorders>
              <w:top w:val="nil"/>
              <w:left w:val="nil"/>
              <w:bottom w:val="nil"/>
              <w:right w:val="nil"/>
            </w:tcBorders>
            <w:vAlign w:val="bottom"/>
          </w:tcPr>
          <w:p w14:paraId="4B9073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3.73</w:t>
            </w:r>
          </w:p>
        </w:tc>
      </w:tr>
      <w:tr w:rsidR="00EA38DE" w:rsidRPr="00EA38DE" w14:paraId="4385F40F" w14:textId="77777777" w:rsidTr="009501B5">
        <w:trPr>
          <w:trHeight w:val="220"/>
        </w:trPr>
        <w:tc>
          <w:tcPr>
            <w:tcW w:w="2120" w:type="dxa"/>
            <w:tcBorders>
              <w:top w:val="nil"/>
              <w:left w:val="nil"/>
              <w:bottom w:val="nil"/>
              <w:right w:val="nil"/>
            </w:tcBorders>
            <w:vAlign w:val="bottom"/>
          </w:tcPr>
          <w:p w14:paraId="21FA9E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690EF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4FD57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0EBE308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3.06</w:t>
            </w:r>
          </w:p>
        </w:tc>
        <w:tc>
          <w:tcPr>
            <w:tcW w:w="950" w:type="dxa"/>
            <w:tcBorders>
              <w:top w:val="nil"/>
              <w:left w:val="nil"/>
              <w:bottom w:val="nil"/>
              <w:right w:val="nil"/>
            </w:tcBorders>
            <w:vAlign w:val="bottom"/>
          </w:tcPr>
          <w:p w14:paraId="315922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4.15</w:t>
            </w:r>
          </w:p>
        </w:tc>
      </w:tr>
      <w:tr w:rsidR="00EA38DE" w:rsidRPr="00EA38DE" w14:paraId="61DB0188" w14:textId="77777777" w:rsidTr="009501B5">
        <w:trPr>
          <w:trHeight w:hRule="exact" w:val="88"/>
        </w:trPr>
        <w:tc>
          <w:tcPr>
            <w:tcW w:w="2120" w:type="dxa"/>
            <w:tcBorders>
              <w:top w:val="nil"/>
              <w:left w:val="nil"/>
              <w:bottom w:val="double" w:sz="6" w:space="0" w:color="auto"/>
              <w:right w:val="nil"/>
            </w:tcBorders>
            <w:vAlign w:val="bottom"/>
          </w:tcPr>
          <w:p w14:paraId="04F0C89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244C9E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A5743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0C40C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2C26A6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ECC4443" w14:textId="77777777" w:rsidTr="009501B5">
        <w:trPr>
          <w:trHeight w:hRule="exact" w:val="132"/>
        </w:trPr>
        <w:tc>
          <w:tcPr>
            <w:tcW w:w="2120" w:type="dxa"/>
            <w:tcBorders>
              <w:top w:val="nil"/>
              <w:left w:val="nil"/>
              <w:bottom w:val="nil"/>
              <w:right w:val="nil"/>
            </w:tcBorders>
            <w:vAlign w:val="bottom"/>
          </w:tcPr>
          <w:p w14:paraId="29D6BB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DE55D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3466B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FA3FC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11431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5D639F25" w14:textId="77777777" w:rsidR="003C6B00" w:rsidRPr="00EA38DE" w:rsidRDefault="003C6B00" w:rsidP="003C6B00">
      <w:r w:rsidRPr="00EA38DE">
        <w:rPr>
          <w:rFonts w:ascii="Arial" w:hAnsi="Arial" w:cs="Arial"/>
          <w:sz w:val="18"/>
          <w:szCs w:val="18"/>
        </w:rPr>
        <w:br/>
      </w:r>
    </w:p>
    <w:p w14:paraId="51DD425B" w14:textId="77777777" w:rsidR="003C6B00" w:rsidRPr="00EA38DE" w:rsidRDefault="003C6B00" w:rsidP="003C6B00"/>
    <w:p w14:paraId="304776D3" w14:textId="77777777" w:rsidR="003C6B00" w:rsidRPr="00EA38DE" w:rsidRDefault="003C6B00" w:rsidP="003C6B00"/>
    <w:p w14:paraId="40A6475B" w14:textId="77777777" w:rsidR="003C6B00" w:rsidRPr="00EA38DE" w:rsidRDefault="003C6B00" w:rsidP="003C6B00"/>
    <w:p w14:paraId="460C4B92" w14:textId="77777777" w:rsidR="003C6B00" w:rsidRPr="00EA38DE" w:rsidRDefault="003C6B00" w:rsidP="003C6B00"/>
    <w:p w14:paraId="60BBEDE3" w14:textId="77777777" w:rsidR="003C6B00" w:rsidRPr="00EA38DE" w:rsidRDefault="003C6B00" w:rsidP="003C6B00"/>
    <w:p w14:paraId="6E30A73B" w14:textId="77777777" w:rsidR="00C26BF7" w:rsidRPr="00EA38DE" w:rsidRDefault="00C26BF7" w:rsidP="003C6B00"/>
    <w:p w14:paraId="24A2131B"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05D1C48E" w14:textId="77777777" w:rsidTr="009501B5">
        <w:trPr>
          <w:trHeight w:val="220"/>
        </w:trPr>
        <w:tc>
          <w:tcPr>
            <w:tcW w:w="6420" w:type="dxa"/>
            <w:gridSpan w:val="5"/>
            <w:tcBorders>
              <w:top w:val="nil"/>
              <w:left w:val="nil"/>
              <w:bottom w:val="nil"/>
              <w:right w:val="nil"/>
            </w:tcBorders>
            <w:vAlign w:val="bottom"/>
          </w:tcPr>
          <w:p w14:paraId="78C3AD0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Long Run Form and Bounds Test</w:t>
            </w:r>
          </w:p>
        </w:tc>
      </w:tr>
      <w:tr w:rsidR="00EA38DE" w:rsidRPr="00EA38DE" w14:paraId="0A222682" w14:textId="77777777" w:rsidTr="009501B5">
        <w:trPr>
          <w:trHeight w:val="220"/>
        </w:trPr>
        <w:tc>
          <w:tcPr>
            <w:tcW w:w="5470" w:type="dxa"/>
            <w:gridSpan w:val="4"/>
            <w:tcBorders>
              <w:top w:val="nil"/>
              <w:left w:val="nil"/>
              <w:bottom w:val="nil"/>
              <w:right w:val="nil"/>
            </w:tcBorders>
            <w:vAlign w:val="bottom"/>
          </w:tcPr>
          <w:p w14:paraId="5B6E3B5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D(LSHPC)</w:t>
            </w:r>
          </w:p>
        </w:tc>
        <w:tc>
          <w:tcPr>
            <w:tcW w:w="950" w:type="dxa"/>
            <w:tcBorders>
              <w:top w:val="nil"/>
              <w:left w:val="nil"/>
              <w:bottom w:val="nil"/>
              <w:right w:val="nil"/>
            </w:tcBorders>
            <w:vAlign w:val="bottom"/>
          </w:tcPr>
          <w:p w14:paraId="2EE7B5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3422347" w14:textId="77777777" w:rsidTr="009501B5">
        <w:trPr>
          <w:trHeight w:val="220"/>
        </w:trPr>
        <w:tc>
          <w:tcPr>
            <w:tcW w:w="6420" w:type="dxa"/>
            <w:gridSpan w:val="5"/>
            <w:tcBorders>
              <w:top w:val="nil"/>
              <w:left w:val="nil"/>
              <w:bottom w:val="nil"/>
              <w:right w:val="nil"/>
            </w:tcBorders>
            <w:vAlign w:val="bottom"/>
          </w:tcPr>
          <w:p w14:paraId="5B2C082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2, 0, 0, 0)</w:t>
            </w:r>
          </w:p>
        </w:tc>
      </w:tr>
      <w:tr w:rsidR="00EA38DE" w:rsidRPr="00EA38DE" w14:paraId="2C6DBA24" w14:textId="77777777" w:rsidTr="009501B5">
        <w:trPr>
          <w:trHeight w:val="220"/>
        </w:trPr>
        <w:tc>
          <w:tcPr>
            <w:tcW w:w="6420" w:type="dxa"/>
            <w:gridSpan w:val="5"/>
            <w:tcBorders>
              <w:top w:val="nil"/>
              <w:left w:val="nil"/>
              <w:bottom w:val="nil"/>
              <w:right w:val="nil"/>
            </w:tcBorders>
            <w:vAlign w:val="bottom"/>
          </w:tcPr>
          <w:p w14:paraId="5B50237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4: Unrestricted Constant and Restricted Trend</w:t>
            </w:r>
          </w:p>
        </w:tc>
      </w:tr>
      <w:tr w:rsidR="00EA38DE" w:rsidRPr="00EA38DE" w14:paraId="195BCD75" w14:textId="77777777" w:rsidTr="009501B5">
        <w:trPr>
          <w:trHeight w:val="220"/>
        </w:trPr>
        <w:tc>
          <w:tcPr>
            <w:tcW w:w="5470" w:type="dxa"/>
            <w:gridSpan w:val="4"/>
            <w:tcBorders>
              <w:top w:val="nil"/>
              <w:left w:val="nil"/>
              <w:bottom w:val="nil"/>
              <w:right w:val="nil"/>
            </w:tcBorders>
            <w:vAlign w:val="bottom"/>
          </w:tcPr>
          <w:p w14:paraId="088AC11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09:37</w:t>
            </w:r>
          </w:p>
        </w:tc>
        <w:tc>
          <w:tcPr>
            <w:tcW w:w="950" w:type="dxa"/>
            <w:tcBorders>
              <w:top w:val="nil"/>
              <w:left w:val="nil"/>
              <w:bottom w:val="nil"/>
              <w:right w:val="nil"/>
            </w:tcBorders>
            <w:vAlign w:val="bottom"/>
          </w:tcPr>
          <w:p w14:paraId="4E1F14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71CFE9B" w14:textId="77777777" w:rsidTr="009501B5">
        <w:trPr>
          <w:trHeight w:val="220"/>
        </w:trPr>
        <w:tc>
          <w:tcPr>
            <w:tcW w:w="4320" w:type="dxa"/>
            <w:gridSpan w:val="3"/>
            <w:tcBorders>
              <w:top w:val="nil"/>
              <w:left w:val="nil"/>
              <w:bottom w:val="nil"/>
              <w:right w:val="nil"/>
            </w:tcBorders>
            <w:vAlign w:val="bottom"/>
          </w:tcPr>
          <w:p w14:paraId="71E5CD6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1805E8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5BCCD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521571C" w14:textId="77777777" w:rsidTr="009501B5">
        <w:trPr>
          <w:trHeight w:val="220"/>
        </w:trPr>
        <w:tc>
          <w:tcPr>
            <w:tcW w:w="5470" w:type="dxa"/>
            <w:gridSpan w:val="4"/>
            <w:tcBorders>
              <w:top w:val="nil"/>
              <w:left w:val="nil"/>
              <w:bottom w:val="nil"/>
              <w:right w:val="nil"/>
            </w:tcBorders>
            <w:vAlign w:val="bottom"/>
          </w:tcPr>
          <w:p w14:paraId="1E604EE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33</w:t>
            </w:r>
          </w:p>
        </w:tc>
        <w:tc>
          <w:tcPr>
            <w:tcW w:w="950" w:type="dxa"/>
            <w:tcBorders>
              <w:top w:val="nil"/>
              <w:left w:val="nil"/>
              <w:bottom w:val="nil"/>
              <w:right w:val="nil"/>
            </w:tcBorders>
            <w:vAlign w:val="bottom"/>
          </w:tcPr>
          <w:p w14:paraId="6FC008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7E123A1" w14:textId="77777777" w:rsidTr="009501B5">
        <w:trPr>
          <w:trHeight w:hRule="exact" w:val="88"/>
        </w:trPr>
        <w:tc>
          <w:tcPr>
            <w:tcW w:w="2120" w:type="dxa"/>
            <w:tcBorders>
              <w:top w:val="nil"/>
              <w:left w:val="nil"/>
              <w:bottom w:val="double" w:sz="6" w:space="2" w:color="auto"/>
              <w:right w:val="nil"/>
            </w:tcBorders>
            <w:vAlign w:val="bottom"/>
          </w:tcPr>
          <w:p w14:paraId="5B17B0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6C7E0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CF2881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F5C6E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81AD1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5E1DE03" w14:textId="77777777" w:rsidTr="009501B5">
        <w:trPr>
          <w:trHeight w:hRule="exact" w:val="132"/>
        </w:trPr>
        <w:tc>
          <w:tcPr>
            <w:tcW w:w="2120" w:type="dxa"/>
            <w:tcBorders>
              <w:top w:val="nil"/>
              <w:left w:val="nil"/>
              <w:bottom w:val="nil"/>
              <w:right w:val="nil"/>
            </w:tcBorders>
            <w:vAlign w:val="bottom"/>
          </w:tcPr>
          <w:p w14:paraId="2320B9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98A46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8B85D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3DE59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41E9F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8625375" w14:textId="77777777" w:rsidTr="009501B5">
        <w:trPr>
          <w:trHeight w:val="220"/>
        </w:trPr>
        <w:tc>
          <w:tcPr>
            <w:tcW w:w="6420" w:type="dxa"/>
            <w:gridSpan w:val="5"/>
            <w:tcBorders>
              <w:top w:val="nil"/>
              <w:left w:val="nil"/>
              <w:bottom w:val="nil"/>
              <w:right w:val="nil"/>
            </w:tcBorders>
            <w:vAlign w:val="bottom"/>
          </w:tcPr>
          <w:p w14:paraId="050EEB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42D2FA00" w14:textId="77777777" w:rsidTr="009501B5">
        <w:trPr>
          <w:trHeight w:hRule="exact" w:val="88"/>
        </w:trPr>
        <w:tc>
          <w:tcPr>
            <w:tcW w:w="2120" w:type="dxa"/>
            <w:tcBorders>
              <w:top w:val="nil"/>
              <w:left w:val="nil"/>
              <w:bottom w:val="double" w:sz="6" w:space="2" w:color="auto"/>
              <w:right w:val="nil"/>
            </w:tcBorders>
            <w:vAlign w:val="bottom"/>
          </w:tcPr>
          <w:p w14:paraId="5F2865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BB7A5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F4FBD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138B7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7F6D1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F87E681" w14:textId="77777777" w:rsidTr="009501B5">
        <w:trPr>
          <w:trHeight w:hRule="exact" w:val="132"/>
        </w:trPr>
        <w:tc>
          <w:tcPr>
            <w:tcW w:w="2120" w:type="dxa"/>
            <w:tcBorders>
              <w:top w:val="nil"/>
              <w:left w:val="nil"/>
              <w:bottom w:val="nil"/>
              <w:right w:val="nil"/>
            </w:tcBorders>
            <w:vAlign w:val="bottom"/>
          </w:tcPr>
          <w:p w14:paraId="32CDA6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67FD1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09CA9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514F0C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F670D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DFE0388" w14:textId="77777777" w:rsidTr="009501B5">
        <w:trPr>
          <w:trHeight w:val="220"/>
        </w:trPr>
        <w:tc>
          <w:tcPr>
            <w:tcW w:w="2120" w:type="dxa"/>
            <w:tcBorders>
              <w:top w:val="nil"/>
              <w:left w:val="nil"/>
              <w:bottom w:val="nil"/>
              <w:right w:val="nil"/>
            </w:tcBorders>
            <w:vAlign w:val="bottom"/>
          </w:tcPr>
          <w:p w14:paraId="2BA2B5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1C1D035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20164E9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12D1C7D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14ECDD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1EB80252" w14:textId="77777777" w:rsidTr="009501B5">
        <w:trPr>
          <w:trHeight w:hRule="exact" w:val="88"/>
        </w:trPr>
        <w:tc>
          <w:tcPr>
            <w:tcW w:w="2120" w:type="dxa"/>
            <w:tcBorders>
              <w:top w:val="nil"/>
              <w:left w:val="nil"/>
              <w:bottom w:val="double" w:sz="6" w:space="2" w:color="auto"/>
              <w:right w:val="nil"/>
            </w:tcBorders>
            <w:vAlign w:val="bottom"/>
          </w:tcPr>
          <w:p w14:paraId="74DA67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9B4087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AB60A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4CD57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49CCE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D7F8566" w14:textId="77777777" w:rsidTr="009501B5">
        <w:trPr>
          <w:trHeight w:hRule="exact" w:val="132"/>
        </w:trPr>
        <w:tc>
          <w:tcPr>
            <w:tcW w:w="2120" w:type="dxa"/>
            <w:tcBorders>
              <w:top w:val="nil"/>
              <w:left w:val="nil"/>
              <w:bottom w:val="nil"/>
              <w:right w:val="nil"/>
            </w:tcBorders>
            <w:vAlign w:val="bottom"/>
          </w:tcPr>
          <w:p w14:paraId="143DD3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2D6ED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A5E1A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7332B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10B67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8652363" w14:textId="77777777" w:rsidTr="009501B5">
        <w:trPr>
          <w:trHeight w:val="220"/>
        </w:trPr>
        <w:tc>
          <w:tcPr>
            <w:tcW w:w="2120" w:type="dxa"/>
            <w:tcBorders>
              <w:top w:val="nil"/>
              <w:left w:val="nil"/>
              <w:bottom w:val="nil"/>
              <w:right w:val="nil"/>
            </w:tcBorders>
            <w:vAlign w:val="bottom"/>
          </w:tcPr>
          <w:p w14:paraId="102D66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38D2ABB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8.875428</w:t>
            </w:r>
          </w:p>
        </w:tc>
        <w:tc>
          <w:tcPr>
            <w:tcW w:w="1150" w:type="dxa"/>
            <w:tcBorders>
              <w:top w:val="nil"/>
              <w:left w:val="nil"/>
              <w:bottom w:val="nil"/>
              <w:right w:val="nil"/>
            </w:tcBorders>
            <w:vAlign w:val="bottom"/>
          </w:tcPr>
          <w:p w14:paraId="051349B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5.058173</w:t>
            </w:r>
          </w:p>
        </w:tc>
        <w:tc>
          <w:tcPr>
            <w:tcW w:w="1150" w:type="dxa"/>
            <w:tcBorders>
              <w:top w:val="nil"/>
              <w:left w:val="nil"/>
              <w:bottom w:val="nil"/>
              <w:right w:val="nil"/>
            </w:tcBorders>
            <w:vAlign w:val="bottom"/>
          </w:tcPr>
          <w:p w14:paraId="5000B2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1.754671</w:t>
            </w:r>
          </w:p>
        </w:tc>
        <w:tc>
          <w:tcPr>
            <w:tcW w:w="950" w:type="dxa"/>
            <w:tcBorders>
              <w:top w:val="nil"/>
              <w:left w:val="nil"/>
              <w:bottom w:val="nil"/>
              <w:right w:val="nil"/>
            </w:tcBorders>
            <w:vAlign w:val="bottom"/>
          </w:tcPr>
          <w:p w14:paraId="45C02C0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0.0921</w:t>
            </w:r>
          </w:p>
        </w:tc>
      </w:tr>
      <w:tr w:rsidR="00EA38DE" w:rsidRPr="00EA38DE" w14:paraId="6BA35179" w14:textId="77777777" w:rsidTr="009501B5">
        <w:trPr>
          <w:trHeight w:val="220"/>
        </w:trPr>
        <w:tc>
          <w:tcPr>
            <w:tcW w:w="2120" w:type="dxa"/>
            <w:tcBorders>
              <w:top w:val="nil"/>
              <w:left w:val="nil"/>
              <w:bottom w:val="nil"/>
              <w:right w:val="nil"/>
            </w:tcBorders>
            <w:vAlign w:val="bottom"/>
          </w:tcPr>
          <w:p w14:paraId="5B0B84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@TREND</w:t>
            </w:r>
          </w:p>
        </w:tc>
        <w:tc>
          <w:tcPr>
            <w:tcW w:w="1050" w:type="dxa"/>
            <w:tcBorders>
              <w:top w:val="nil"/>
              <w:left w:val="nil"/>
              <w:bottom w:val="nil"/>
              <w:right w:val="nil"/>
            </w:tcBorders>
            <w:vAlign w:val="bottom"/>
          </w:tcPr>
          <w:p w14:paraId="63F74A9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0.034445</w:t>
            </w:r>
          </w:p>
        </w:tc>
        <w:tc>
          <w:tcPr>
            <w:tcW w:w="1150" w:type="dxa"/>
            <w:tcBorders>
              <w:top w:val="nil"/>
              <w:left w:val="nil"/>
              <w:bottom w:val="nil"/>
              <w:right w:val="nil"/>
            </w:tcBorders>
            <w:vAlign w:val="bottom"/>
          </w:tcPr>
          <w:p w14:paraId="20F5828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0.016222</w:t>
            </w:r>
          </w:p>
        </w:tc>
        <w:tc>
          <w:tcPr>
            <w:tcW w:w="1150" w:type="dxa"/>
            <w:tcBorders>
              <w:top w:val="nil"/>
              <w:left w:val="nil"/>
              <w:bottom w:val="nil"/>
              <w:right w:val="nil"/>
            </w:tcBorders>
            <w:vAlign w:val="bottom"/>
          </w:tcPr>
          <w:p w14:paraId="059D890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2.123288</w:t>
            </w:r>
          </w:p>
        </w:tc>
        <w:tc>
          <w:tcPr>
            <w:tcW w:w="950" w:type="dxa"/>
            <w:tcBorders>
              <w:top w:val="nil"/>
              <w:left w:val="nil"/>
              <w:bottom w:val="nil"/>
              <w:right w:val="nil"/>
            </w:tcBorders>
            <w:vAlign w:val="bottom"/>
          </w:tcPr>
          <w:p w14:paraId="079EA1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0.0442</w:t>
            </w:r>
          </w:p>
        </w:tc>
      </w:tr>
      <w:tr w:rsidR="00EA38DE" w:rsidRPr="00EA38DE" w14:paraId="57FEF3E0" w14:textId="77777777" w:rsidTr="009501B5">
        <w:trPr>
          <w:trHeight w:val="220"/>
        </w:trPr>
        <w:tc>
          <w:tcPr>
            <w:tcW w:w="2120" w:type="dxa"/>
            <w:tcBorders>
              <w:top w:val="nil"/>
              <w:left w:val="nil"/>
              <w:bottom w:val="nil"/>
              <w:right w:val="nil"/>
            </w:tcBorders>
            <w:vAlign w:val="bottom"/>
          </w:tcPr>
          <w:p w14:paraId="737973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LSHPC(-1)*</w:t>
            </w:r>
          </w:p>
        </w:tc>
        <w:tc>
          <w:tcPr>
            <w:tcW w:w="1050" w:type="dxa"/>
            <w:tcBorders>
              <w:top w:val="nil"/>
              <w:left w:val="nil"/>
              <w:bottom w:val="nil"/>
              <w:right w:val="nil"/>
            </w:tcBorders>
            <w:vAlign w:val="bottom"/>
          </w:tcPr>
          <w:p w14:paraId="154B79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-0.316620</w:t>
            </w:r>
          </w:p>
        </w:tc>
        <w:tc>
          <w:tcPr>
            <w:tcW w:w="1150" w:type="dxa"/>
            <w:tcBorders>
              <w:top w:val="nil"/>
              <w:left w:val="nil"/>
              <w:bottom w:val="nil"/>
              <w:right w:val="nil"/>
            </w:tcBorders>
            <w:vAlign w:val="bottom"/>
          </w:tcPr>
          <w:p w14:paraId="0B82C3B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0.140301</w:t>
            </w:r>
          </w:p>
        </w:tc>
        <w:tc>
          <w:tcPr>
            <w:tcW w:w="1150" w:type="dxa"/>
            <w:tcBorders>
              <w:top w:val="nil"/>
              <w:left w:val="nil"/>
              <w:bottom w:val="nil"/>
              <w:right w:val="nil"/>
            </w:tcBorders>
            <w:vAlign w:val="bottom"/>
          </w:tcPr>
          <w:p w14:paraId="329AB4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-2.256712</w:t>
            </w:r>
          </w:p>
        </w:tc>
        <w:tc>
          <w:tcPr>
            <w:tcW w:w="950" w:type="dxa"/>
            <w:tcBorders>
              <w:top w:val="nil"/>
              <w:left w:val="nil"/>
              <w:bottom w:val="nil"/>
              <w:right w:val="nil"/>
            </w:tcBorders>
            <w:vAlign w:val="bottom"/>
          </w:tcPr>
          <w:p w14:paraId="73F9FA2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0.0334</w:t>
            </w:r>
          </w:p>
        </w:tc>
      </w:tr>
      <w:tr w:rsidR="00EA38DE" w:rsidRPr="00EA38DE" w14:paraId="00DD3D58" w14:textId="77777777" w:rsidTr="009501B5">
        <w:trPr>
          <w:trHeight w:val="220"/>
        </w:trPr>
        <w:tc>
          <w:tcPr>
            <w:tcW w:w="2120" w:type="dxa"/>
            <w:tcBorders>
              <w:top w:val="nil"/>
              <w:left w:val="nil"/>
              <w:bottom w:val="nil"/>
              <w:right w:val="nil"/>
            </w:tcBorders>
            <w:vAlign w:val="bottom"/>
          </w:tcPr>
          <w:p w14:paraId="6ADEB1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LFSH(-1)</w:t>
            </w:r>
          </w:p>
        </w:tc>
        <w:tc>
          <w:tcPr>
            <w:tcW w:w="1050" w:type="dxa"/>
            <w:tcBorders>
              <w:top w:val="nil"/>
              <w:left w:val="nil"/>
              <w:bottom w:val="nil"/>
              <w:right w:val="nil"/>
            </w:tcBorders>
            <w:vAlign w:val="bottom"/>
          </w:tcPr>
          <w:p w14:paraId="7C453B3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-0.296802</w:t>
            </w:r>
          </w:p>
        </w:tc>
        <w:tc>
          <w:tcPr>
            <w:tcW w:w="1150" w:type="dxa"/>
            <w:tcBorders>
              <w:top w:val="nil"/>
              <w:left w:val="nil"/>
              <w:bottom w:val="nil"/>
              <w:right w:val="nil"/>
            </w:tcBorders>
            <w:vAlign w:val="bottom"/>
          </w:tcPr>
          <w:p w14:paraId="06FD1E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0.300111</w:t>
            </w:r>
          </w:p>
        </w:tc>
        <w:tc>
          <w:tcPr>
            <w:tcW w:w="1150" w:type="dxa"/>
            <w:tcBorders>
              <w:top w:val="nil"/>
              <w:left w:val="nil"/>
              <w:bottom w:val="nil"/>
              <w:right w:val="nil"/>
            </w:tcBorders>
            <w:vAlign w:val="bottom"/>
          </w:tcPr>
          <w:p w14:paraId="3788AC0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-0.988974</w:t>
            </w:r>
          </w:p>
        </w:tc>
        <w:tc>
          <w:tcPr>
            <w:tcW w:w="950" w:type="dxa"/>
            <w:tcBorders>
              <w:top w:val="nil"/>
              <w:left w:val="nil"/>
              <w:bottom w:val="nil"/>
              <w:right w:val="nil"/>
            </w:tcBorders>
            <w:vAlign w:val="bottom"/>
          </w:tcPr>
          <w:p w14:paraId="113D89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0.3325</w:t>
            </w:r>
          </w:p>
        </w:tc>
      </w:tr>
      <w:tr w:rsidR="00EA38DE" w:rsidRPr="00EA38DE" w14:paraId="604CD843" w14:textId="77777777" w:rsidTr="009501B5">
        <w:trPr>
          <w:trHeight w:val="220"/>
        </w:trPr>
        <w:tc>
          <w:tcPr>
            <w:tcW w:w="2120" w:type="dxa"/>
            <w:tcBorders>
              <w:top w:val="nil"/>
              <w:left w:val="nil"/>
              <w:bottom w:val="nil"/>
              <w:right w:val="nil"/>
            </w:tcBorders>
            <w:vAlign w:val="bottom"/>
          </w:tcPr>
          <w:p w14:paraId="42871C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5465070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0.003532</w:t>
            </w:r>
          </w:p>
        </w:tc>
        <w:tc>
          <w:tcPr>
            <w:tcW w:w="1150" w:type="dxa"/>
            <w:tcBorders>
              <w:top w:val="nil"/>
              <w:left w:val="nil"/>
              <w:bottom w:val="nil"/>
              <w:right w:val="nil"/>
            </w:tcBorders>
            <w:vAlign w:val="bottom"/>
          </w:tcPr>
          <w:p w14:paraId="42CB4A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0.002697</w:t>
            </w:r>
          </w:p>
        </w:tc>
        <w:tc>
          <w:tcPr>
            <w:tcW w:w="1150" w:type="dxa"/>
            <w:tcBorders>
              <w:top w:val="nil"/>
              <w:left w:val="nil"/>
              <w:bottom w:val="nil"/>
              <w:right w:val="nil"/>
            </w:tcBorders>
            <w:vAlign w:val="bottom"/>
          </w:tcPr>
          <w:p w14:paraId="0BE752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1.309687</w:t>
            </w:r>
          </w:p>
        </w:tc>
        <w:tc>
          <w:tcPr>
            <w:tcW w:w="950" w:type="dxa"/>
            <w:tcBorders>
              <w:top w:val="nil"/>
              <w:left w:val="nil"/>
              <w:bottom w:val="nil"/>
              <w:right w:val="nil"/>
            </w:tcBorders>
            <w:vAlign w:val="bottom"/>
          </w:tcPr>
          <w:p w14:paraId="44432E1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0.2027</w:t>
            </w:r>
          </w:p>
        </w:tc>
      </w:tr>
      <w:tr w:rsidR="00EA38DE" w:rsidRPr="00EA38DE" w14:paraId="722EF8D1" w14:textId="77777777" w:rsidTr="009501B5">
        <w:trPr>
          <w:trHeight w:val="220"/>
        </w:trPr>
        <w:tc>
          <w:tcPr>
            <w:tcW w:w="2120" w:type="dxa"/>
            <w:tcBorders>
              <w:top w:val="nil"/>
              <w:left w:val="nil"/>
              <w:bottom w:val="nil"/>
              <w:right w:val="nil"/>
            </w:tcBorders>
            <w:vAlign w:val="bottom"/>
          </w:tcPr>
          <w:p w14:paraId="7F1178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5C42F1C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-0.058427</w:t>
            </w:r>
          </w:p>
        </w:tc>
        <w:tc>
          <w:tcPr>
            <w:tcW w:w="1150" w:type="dxa"/>
            <w:tcBorders>
              <w:top w:val="nil"/>
              <w:left w:val="nil"/>
              <w:bottom w:val="nil"/>
              <w:right w:val="nil"/>
            </w:tcBorders>
            <w:vAlign w:val="bottom"/>
          </w:tcPr>
          <w:p w14:paraId="0F416A0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0.042358</w:t>
            </w:r>
          </w:p>
        </w:tc>
        <w:tc>
          <w:tcPr>
            <w:tcW w:w="1150" w:type="dxa"/>
            <w:tcBorders>
              <w:top w:val="nil"/>
              <w:left w:val="nil"/>
              <w:bottom w:val="nil"/>
              <w:right w:val="nil"/>
            </w:tcBorders>
            <w:vAlign w:val="bottom"/>
          </w:tcPr>
          <w:p w14:paraId="5B8D847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-1.379346</w:t>
            </w:r>
          </w:p>
        </w:tc>
        <w:tc>
          <w:tcPr>
            <w:tcW w:w="950" w:type="dxa"/>
            <w:tcBorders>
              <w:top w:val="nil"/>
              <w:left w:val="nil"/>
              <w:bottom w:val="nil"/>
              <w:right w:val="nil"/>
            </w:tcBorders>
            <w:vAlign w:val="bottom"/>
          </w:tcPr>
          <w:p w14:paraId="5F2038C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0.1805</w:t>
            </w:r>
          </w:p>
        </w:tc>
      </w:tr>
      <w:tr w:rsidR="00EA38DE" w:rsidRPr="00EA38DE" w14:paraId="30D38F9D" w14:textId="77777777" w:rsidTr="009501B5">
        <w:trPr>
          <w:trHeight w:val="220"/>
        </w:trPr>
        <w:tc>
          <w:tcPr>
            <w:tcW w:w="2120" w:type="dxa"/>
            <w:tcBorders>
              <w:top w:val="nil"/>
              <w:left w:val="nil"/>
              <w:bottom w:val="nil"/>
              <w:right w:val="nil"/>
            </w:tcBorders>
            <w:vAlign w:val="bottom"/>
          </w:tcPr>
          <w:p w14:paraId="0F0C51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w:t>
            </w:r>
          </w:p>
        </w:tc>
        <w:tc>
          <w:tcPr>
            <w:tcW w:w="1050" w:type="dxa"/>
            <w:tcBorders>
              <w:top w:val="nil"/>
              <w:left w:val="nil"/>
              <w:bottom w:val="nil"/>
              <w:right w:val="nil"/>
            </w:tcBorders>
            <w:vAlign w:val="bottom"/>
          </w:tcPr>
          <w:p w14:paraId="66A1702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0.085496</w:t>
            </w:r>
          </w:p>
        </w:tc>
        <w:tc>
          <w:tcPr>
            <w:tcW w:w="1150" w:type="dxa"/>
            <w:tcBorders>
              <w:top w:val="nil"/>
              <w:left w:val="nil"/>
              <w:bottom w:val="nil"/>
              <w:right w:val="nil"/>
            </w:tcBorders>
            <w:vAlign w:val="bottom"/>
          </w:tcPr>
          <w:p w14:paraId="5A58718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0.311073</w:t>
            </w:r>
          </w:p>
        </w:tc>
        <w:tc>
          <w:tcPr>
            <w:tcW w:w="1150" w:type="dxa"/>
            <w:tcBorders>
              <w:top w:val="nil"/>
              <w:left w:val="nil"/>
              <w:bottom w:val="nil"/>
              <w:right w:val="nil"/>
            </w:tcBorders>
            <w:vAlign w:val="bottom"/>
          </w:tcPr>
          <w:p w14:paraId="0E07BDA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0.274842</w:t>
            </w:r>
          </w:p>
        </w:tc>
        <w:tc>
          <w:tcPr>
            <w:tcW w:w="950" w:type="dxa"/>
            <w:tcBorders>
              <w:top w:val="nil"/>
              <w:left w:val="nil"/>
              <w:bottom w:val="nil"/>
              <w:right w:val="nil"/>
            </w:tcBorders>
            <w:vAlign w:val="bottom"/>
          </w:tcPr>
          <w:p w14:paraId="5A0299C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0.7858</w:t>
            </w:r>
          </w:p>
        </w:tc>
      </w:tr>
      <w:tr w:rsidR="00EA38DE" w:rsidRPr="00EA38DE" w14:paraId="6DC7B60F" w14:textId="77777777" w:rsidTr="009501B5">
        <w:trPr>
          <w:trHeight w:val="220"/>
        </w:trPr>
        <w:tc>
          <w:tcPr>
            <w:tcW w:w="2120" w:type="dxa"/>
            <w:tcBorders>
              <w:top w:val="nil"/>
              <w:left w:val="nil"/>
              <w:bottom w:val="nil"/>
              <w:right w:val="nil"/>
            </w:tcBorders>
            <w:vAlign w:val="bottom"/>
          </w:tcPr>
          <w:p w14:paraId="3F3945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D(LFSH(-1))</w:t>
            </w:r>
          </w:p>
        </w:tc>
        <w:tc>
          <w:tcPr>
            <w:tcW w:w="1050" w:type="dxa"/>
            <w:tcBorders>
              <w:top w:val="nil"/>
              <w:left w:val="nil"/>
              <w:bottom w:val="nil"/>
              <w:right w:val="nil"/>
            </w:tcBorders>
            <w:vAlign w:val="bottom"/>
          </w:tcPr>
          <w:p w14:paraId="133442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0.384338</w:t>
            </w:r>
          </w:p>
        </w:tc>
        <w:tc>
          <w:tcPr>
            <w:tcW w:w="1150" w:type="dxa"/>
            <w:tcBorders>
              <w:top w:val="nil"/>
              <w:left w:val="nil"/>
              <w:bottom w:val="nil"/>
              <w:right w:val="nil"/>
            </w:tcBorders>
            <w:vAlign w:val="bottom"/>
          </w:tcPr>
          <w:p w14:paraId="56E79A6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0.323314</w:t>
            </w:r>
          </w:p>
        </w:tc>
        <w:tc>
          <w:tcPr>
            <w:tcW w:w="1150" w:type="dxa"/>
            <w:tcBorders>
              <w:top w:val="nil"/>
              <w:left w:val="nil"/>
              <w:bottom w:val="nil"/>
              <w:right w:val="nil"/>
            </w:tcBorders>
            <w:vAlign w:val="bottom"/>
          </w:tcPr>
          <w:p w14:paraId="0E1BA8A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1.188746</w:t>
            </w:r>
          </w:p>
        </w:tc>
        <w:tc>
          <w:tcPr>
            <w:tcW w:w="950" w:type="dxa"/>
            <w:tcBorders>
              <w:top w:val="nil"/>
              <w:left w:val="nil"/>
              <w:bottom w:val="nil"/>
              <w:right w:val="nil"/>
            </w:tcBorders>
            <w:vAlign w:val="bottom"/>
          </w:tcPr>
          <w:p w14:paraId="5621E7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0.2462</w:t>
            </w:r>
          </w:p>
        </w:tc>
      </w:tr>
      <w:tr w:rsidR="00EA38DE" w:rsidRPr="00EA38DE" w14:paraId="50EB49C3" w14:textId="77777777" w:rsidTr="009501B5">
        <w:trPr>
          <w:trHeight w:hRule="exact" w:val="88"/>
        </w:trPr>
        <w:tc>
          <w:tcPr>
            <w:tcW w:w="2120" w:type="dxa"/>
            <w:tcBorders>
              <w:top w:val="nil"/>
              <w:left w:val="nil"/>
              <w:bottom w:val="double" w:sz="6" w:space="2" w:color="auto"/>
              <w:right w:val="nil"/>
            </w:tcBorders>
            <w:vAlign w:val="bottom"/>
          </w:tcPr>
          <w:p w14:paraId="21A05B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FF384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C27DC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4353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1DB9B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B3C2B52" w14:textId="77777777" w:rsidTr="009501B5">
        <w:trPr>
          <w:trHeight w:hRule="exact" w:val="132"/>
        </w:trPr>
        <w:tc>
          <w:tcPr>
            <w:tcW w:w="2120" w:type="dxa"/>
            <w:tcBorders>
              <w:top w:val="nil"/>
              <w:left w:val="nil"/>
              <w:bottom w:val="nil"/>
              <w:right w:val="nil"/>
            </w:tcBorders>
            <w:vAlign w:val="bottom"/>
          </w:tcPr>
          <w:p w14:paraId="6D79A8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F3DC3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F7058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3F3DF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DC50A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1670CCF" w14:textId="77777777" w:rsidTr="009501B5">
        <w:trPr>
          <w:trHeight w:val="220"/>
        </w:trPr>
        <w:tc>
          <w:tcPr>
            <w:tcW w:w="6420" w:type="dxa"/>
            <w:gridSpan w:val="5"/>
            <w:tcBorders>
              <w:top w:val="nil"/>
              <w:left w:val="nil"/>
              <w:bottom w:val="nil"/>
              <w:right w:val="nil"/>
            </w:tcBorders>
            <w:vAlign w:val="bottom"/>
          </w:tcPr>
          <w:p w14:paraId="5E56C24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5C223FBB" w14:textId="77777777" w:rsidTr="009501B5">
        <w:trPr>
          <w:trHeight w:val="220"/>
        </w:trPr>
        <w:tc>
          <w:tcPr>
            <w:tcW w:w="6420" w:type="dxa"/>
            <w:gridSpan w:val="5"/>
            <w:tcBorders>
              <w:top w:val="nil"/>
              <w:left w:val="nil"/>
              <w:bottom w:val="nil"/>
              <w:right w:val="nil"/>
            </w:tcBorders>
            <w:vAlign w:val="bottom"/>
          </w:tcPr>
          <w:p w14:paraId="296328D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Variable interpreted as Z = Z(-1) + D(Z).</w:t>
            </w:r>
          </w:p>
        </w:tc>
      </w:tr>
      <w:tr w:rsidR="00EA38DE" w:rsidRPr="00EA38DE" w14:paraId="3D6AF710" w14:textId="77777777" w:rsidTr="009501B5">
        <w:trPr>
          <w:trHeight w:val="220"/>
        </w:trPr>
        <w:tc>
          <w:tcPr>
            <w:tcW w:w="2120" w:type="dxa"/>
            <w:tcBorders>
              <w:top w:val="nil"/>
              <w:left w:val="nil"/>
              <w:bottom w:val="nil"/>
              <w:right w:val="nil"/>
            </w:tcBorders>
            <w:vAlign w:val="bottom"/>
          </w:tcPr>
          <w:p w14:paraId="28F3C6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B0B11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2AC19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F4F72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5FB86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A817A31" w14:textId="77777777" w:rsidTr="009501B5">
        <w:trPr>
          <w:trHeight w:hRule="exact" w:val="88"/>
        </w:trPr>
        <w:tc>
          <w:tcPr>
            <w:tcW w:w="2120" w:type="dxa"/>
            <w:tcBorders>
              <w:top w:val="nil"/>
              <w:left w:val="nil"/>
              <w:bottom w:val="double" w:sz="6" w:space="2" w:color="auto"/>
              <w:right w:val="nil"/>
            </w:tcBorders>
            <w:vAlign w:val="bottom"/>
          </w:tcPr>
          <w:p w14:paraId="4B94F4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C77D4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C2C23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46838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D49FD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35C4AB1" w14:textId="77777777" w:rsidTr="009501B5">
        <w:trPr>
          <w:trHeight w:hRule="exact" w:val="132"/>
        </w:trPr>
        <w:tc>
          <w:tcPr>
            <w:tcW w:w="2120" w:type="dxa"/>
            <w:tcBorders>
              <w:top w:val="nil"/>
              <w:left w:val="nil"/>
              <w:bottom w:val="nil"/>
              <w:right w:val="nil"/>
            </w:tcBorders>
            <w:vAlign w:val="bottom"/>
          </w:tcPr>
          <w:p w14:paraId="743966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90F6F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02A03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6DD7D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A344C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2277228" w14:textId="77777777" w:rsidTr="009501B5">
        <w:trPr>
          <w:trHeight w:val="220"/>
        </w:trPr>
        <w:tc>
          <w:tcPr>
            <w:tcW w:w="6420" w:type="dxa"/>
            <w:gridSpan w:val="5"/>
            <w:tcBorders>
              <w:top w:val="nil"/>
              <w:left w:val="nil"/>
              <w:bottom w:val="nil"/>
              <w:right w:val="nil"/>
            </w:tcBorders>
            <w:vAlign w:val="bottom"/>
          </w:tcPr>
          <w:p w14:paraId="66AA666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4B204871" w14:textId="77777777" w:rsidTr="009501B5">
        <w:trPr>
          <w:trHeight w:val="220"/>
        </w:trPr>
        <w:tc>
          <w:tcPr>
            <w:tcW w:w="6420" w:type="dxa"/>
            <w:gridSpan w:val="5"/>
            <w:tcBorders>
              <w:top w:val="nil"/>
              <w:left w:val="nil"/>
              <w:bottom w:val="nil"/>
              <w:right w:val="nil"/>
            </w:tcBorders>
            <w:vAlign w:val="bottom"/>
          </w:tcPr>
          <w:p w14:paraId="2E5342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4: Unrestricted Constant and Restricted Trend</w:t>
            </w:r>
          </w:p>
        </w:tc>
      </w:tr>
      <w:tr w:rsidR="00EA38DE" w:rsidRPr="00EA38DE" w14:paraId="16E7003F" w14:textId="77777777" w:rsidTr="009501B5">
        <w:trPr>
          <w:trHeight w:hRule="exact" w:val="88"/>
        </w:trPr>
        <w:tc>
          <w:tcPr>
            <w:tcW w:w="2120" w:type="dxa"/>
            <w:tcBorders>
              <w:top w:val="nil"/>
              <w:left w:val="nil"/>
              <w:bottom w:val="double" w:sz="6" w:space="2" w:color="auto"/>
              <w:right w:val="nil"/>
            </w:tcBorders>
            <w:vAlign w:val="bottom"/>
          </w:tcPr>
          <w:p w14:paraId="3087F8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B5C1F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82008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FF3A5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11613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3DB3F3F" w14:textId="77777777" w:rsidTr="009501B5">
        <w:trPr>
          <w:trHeight w:hRule="exact" w:val="132"/>
        </w:trPr>
        <w:tc>
          <w:tcPr>
            <w:tcW w:w="2120" w:type="dxa"/>
            <w:tcBorders>
              <w:top w:val="nil"/>
              <w:left w:val="nil"/>
              <w:bottom w:val="nil"/>
              <w:right w:val="nil"/>
            </w:tcBorders>
            <w:vAlign w:val="bottom"/>
          </w:tcPr>
          <w:p w14:paraId="37012E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36C63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03141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CB225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95959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F339334" w14:textId="77777777" w:rsidTr="009501B5">
        <w:trPr>
          <w:trHeight w:val="220"/>
        </w:trPr>
        <w:tc>
          <w:tcPr>
            <w:tcW w:w="2120" w:type="dxa"/>
            <w:tcBorders>
              <w:top w:val="nil"/>
              <w:left w:val="nil"/>
              <w:bottom w:val="nil"/>
              <w:right w:val="nil"/>
            </w:tcBorders>
            <w:vAlign w:val="bottom"/>
          </w:tcPr>
          <w:p w14:paraId="4D163A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68D0942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24CF813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479D02E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6D8555A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1DF2F165" w14:textId="77777777" w:rsidTr="009501B5">
        <w:trPr>
          <w:trHeight w:hRule="exact" w:val="88"/>
        </w:trPr>
        <w:tc>
          <w:tcPr>
            <w:tcW w:w="2120" w:type="dxa"/>
            <w:tcBorders>
              <w:top w:val="nil"/>
              <w:left w:val="nil"/>
              <w:bottom w:val="double" w:sz="6" w:space="2" w:color="auto"/>
              <w:right w:val="nil"/>
            </w:tcBorders>
            <w:vAlign w:val="bottom"/>
          </w:tcPr>
          <w:p w14:paraId="68A2F9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F59B5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F905F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0B4FD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A80E58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C379CDE" w14:textId="77777777" w:rsidTr="009501B5">
        <w:trPr>
          <w:trHeight w:hRule="exact" w:val="132"/>
        </w:trPr>
        <w:tc>
          <w:tcPr>
            <w:tcW w:w="2120" w:type="dxa"/>
            <w:tcBorders>
              <w:top w:val="nil"/>
              <w:left w:val="nil"/>
              <w:bottom w:val="nil"/>
              <w:right w:val="nil"/>
            </w:tcBorders>
            <w:vAlign w:val="bottom"/>
          </w:tcPr>
          <w:p w14:paraId="0C2378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7DC15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12049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EA2FD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DF0DC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9EB24F1" w14:textId="77777777" w:rsidTr="009501B5">
        <w:trPr>
          <w:trHeight w:val="220"/>
        </w:trPr>
        <w:tc>
          <w:tcPr>
            <w:tcW w:w="2120" w:type="dxa"/>
            <w:tcBorders>
              <w:top w:val="nil"/>
              <w:left w:val="nil"/>
              <w:bottom w:val="nil"/>
              <w:right w:val="nil"/>
            </w:tcBorders>
            <w:vAlign w:val="bottom"/>
          </w:tcPr>
          <w:p w14:paraId="5C89D3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LFSH</w:t>
            </w:r>
          </w:p>
        </w:tc>
        <w:tc>
          <w:tcPr>
            <w:tcW w:w="1050" w:type="dxa"/>
            <w:tcBorders>
              <w:top w:val="nil"/>
              <w:left w:val="nil"/>
              <w:bottom w:val="nil"/>
              <w:right w:val="nil"/>
            </w:tcBorders>
            <w:vAlign w:val="bottom"/>
          </w:tcPr>
          <w:p w14:paraId="2E941E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-0.937407</w:t>
            </w:r>
          </w:p>
        </w:tc>
        <w:tc>
          <w:tcPr>
            <w:tcW w:w="1150" w:type="dxa"/>
            <w:tcBorders>
              <w:top w:val="nil"/>
              <w:left w:val="nil"/>
              <w:bottom w:val="nil"/>
              <w:right w:val="nil"/>
            </w:tcBorders>
            <w:vAlign w:val="bottom"/>
          </w:tcPr>
          <w:p w14:paraId="036DF03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0.889808</w:t>
            </w:r>
          </w:p>
        </w:tc>
        <w:tc>
          <w:tcPr>
            <w:tcW w:w="1150" w:type="dxa"/>
            <w:tcBorders>
              <w:top w:val="nil"/>
              <w:left w:val="nil"/>
              <w:bottom w:val="nil"/>
              <w:right w:val="nil"/>
            </w:tcBorders>
            <w:vAlign w:val="bottom"/>
          </w:tcPr>
          <w:p w14:paraId="2BA6519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-1.053493</w:t>
            </w:r>
          </w:p>
        </w:tc>
        <w:tc>
          <w:tcPr>
            <w:tcW w:w="950" w:type="dxa"/>
            <w:tcBorders>
              <w:top w:val="nil"/>
              <w:left w:val="nil"/>
              <w:bottom w:val="nil"/>
              <w:right w:val="nil"/>
            </w:tcBorders>
            <w:vAlign w:val="bottom"/>
          </w:tcPr>
          <w:p w14:paraId="2694EA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0.3026</w:t>
            </w:r>
          </w:p>
        </w:tc>
      </w:tr>
      <w:tr w:rsidR="00EA38DE" w:rsidRPr="00EA38DE" w14:paraId="4ABC1465" w14:textId="77777777" w:rsidTr="009501B5">
        <w:trPr>
          <w:trHeight w:val="220"/>
        </w:trPr>
        <w:tc>
          <w:tcPr>
            <w:tcW w:w="2120" w:type="dxa"/>
            <w:tcBorders>
              <w:top w:val="nil"/>
              <w:left w:val="nil"/>
              <w:bottom w:val="nil"/>
              <w:right w:val="nil"/>
            </w:tcBorders>
            <w:vAlign w:val="bottom"/>
          </w:tcPr>
          <w:p w14:paraId="0CF4F1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2BF178F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0.011157</w:t>
            </w:r>
          </w:p>
        </w:tc>
        <w:tc>
          <w:tcPr>
            <w:tcW w:w="1150" w:type="dxa"/>
            <w:tcBorders>
              <w:top w:val="nil"/>
              <w:left w:val="nil"/>
              <w:bottom w:val="nil"/>
              <w:right w:val="nil"/>
            </w:tcBorders>
            <w:vAlign w:val="bottom"/>
          </w:tcPr>
          <w:p w14:paraId="69BAAF9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0.009309</w:t>
            </w:r>
          </w:p>
        </w:tc>
        <w:tc>
          <w:tcPr>
            <w:tcW w:w="1150" w:type="dxa"/>
            <w:tcBorders>
              <w:top w:val="nil"/>
              <w:left w:val="nil"/>
              <w:bottom w:val="nil"/>
              <w:right w:val="nil"/>
            </w:tcBorders>
            <w:vAlign w:val="bottom"/>
          </w:tcPr>
          <w:p w14:paraId="39EE0F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1.198517</w:t>
            </w:r>
          </w:p>
        </w:tc>
        <w:tc>
          <w:tcPr>
            <w:tcW w:w="950" w:type="dxa"/>
            <w:tcBorders>
              <w:top w:val="nil"/>
              <w:left w:val="nil"/>
              <w:bottom w:val="nil"/>
              <w:right w:val="nil"/>
            </w:tcBorders>
            <w:vAlign w:val="bottom"/>
          </w:tcPr>
          <w:p w14:paraId="7CD9CDE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0.2424</w:t>
            </w:r>
          </w:p>
        </w:tc>
      </w:tr>
      <w:tr w:rsidR="00EA38DE" w:rsidRPr="00EA38DE" w14:paraId="3C172ABF" w14:textId="77777777" w:rsidTr="009501B5">
        <w:trPr>
          <w:trHeight w:val="220"/>
        </w:trPr>
        <w:tc>
          <w:tcPr>
            <w:tcW w:w="2120" w:type="dxa"/>
            <w:tcBorders>
              <w:top w:val="nil"/>
              <w:left w:val="nil"/>
              <w:bottom w:val="nil"/>
              <w:right w:val="nil"/>
            </w:tcBorders>
            <w:vAlign w:val="bottom"/>
          </w:tcPr>
          <w:p w14:paraId="2C6730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0DC20E8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-0.184533</w:t>
            </w:r>
          </w:p>
        </w:tc>
        <w:tc>
          <w:tcPr>
            <w:tcW w:w="1150" w:type="dxa"/>
            <w:tcBorders>
              <w:top w:val="nil"/>
              <w:left w:val="nil"/>
              <w:bottom w:val="nil"/>
              <w:right w:val="nil"/>
            </w:tcBorders>
            <w:vAlign w:val="bottom"/>
          </w:tcPr>
          <w:p w14:paraId="68B2EE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0.091609</w:t>
            </w:r>
          </w:p>
        </w:tc>
        <w:tc>
          <w:tcPr>
            <w:tcW w:w="1150" w:type="dxa"/>
            <w:tcBorders>
              <w:top w:val="nil"/>
              <w:left w:val="nil"/>
              <w:bottom w:val="nil"/>
              <w:right w:val="nil"/>
            </w:tcBorders>
            <w:vAlign w:val="bottom"/>
          </w:tcPr>
          <w:p w14:paraId="3381534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-2.014340</w:t>
            </w:r>
          </w:p>
        </w:tc>
        <w:tc>
          <w:tcPr>
            <w:tcW w:w="950" w:type="dxa"/>
            <w:tcBorders>
              <w:top w:val="nil"/>
              <w:left w:val="nil"/>
              <w:bottom w:val="nil"/>
              <w:right w:val="nil"/>
            </w:tcBorders>
            <w:vAlign w:val="bottom"/>
          </w:tcPr>
          <w:p w14:paraId="03645B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0.0553</w:t>
            </w:r>
          </w:p>
        </w:tc>
      </w:tr>
      <w:tr w:rsidR="00EA38DE" w:rsidRPr="00EA38DE" w14:paraId="473C67D2" w14:textId="77777777" w:rsidTr="009501B5">
        <w:trPr>
          <w:trHeight w:val="220"/>
        </w:trPr>
        <w:tc>
          <w:tcPr>
            <w:tcW w:w="2120" w:type="dxa"/>
            <w:tcBorders>
              <w:top w:val="nil"/>
              <w:left w:val="nil"/>
              <w:bottom w:val="nil"/>
              <w:right w:val="nil"/>
            </w:tcBorders>
            <w:vAlign w:val="bottom"/>
          </w:tcPr>
          <w:p w14:paraId="5FCFB4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@TREND</w:t>
            </w:r>
          </w:p>
        </w:tc>
        <w:tc>
          <w:tcPr>
            <w:tcW w:w="1050" w:type="dxa"/>
            <w:tcBorders>
              <w:top w:val="nil"/>
              <w:left w:val="nil"/>
              <w:bottom w:val="nil"/>
              <w:right w:val="nil"/>
            </w:tcBorders>
            <w:vAlign w:val="bottom"/>
          </w:tcPr>
          <w:p w14:paraId="3E573CD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0.108789</w:t>
            </w:r>
          </w:p>
        </w:tc>
        <w:tc>
          <w:tcPr>
            <w:tcW w:w="1150" w:type="dxa"/>
            <w:tcBorders>
              <w:top w:val="nil"/>
              <w:left w:val="nil"/>
              <w:bottom w:val="nil"/>
              <w:right w:val="nil"/>
            </w:tcBorders>
            <w:vAlign w:val="bottom"/>
          </w:tcPr>
          <w:p w14:paraId="33C6CCD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0.048556</w:t>
            </w:r>
          </w:p>
        </w:tc>
        <w:tc>
          <w:tcPr>
            <w:tcW w:w="1150" w:type="dxa"/>
            <w:tcBorders>
              <w:top w:val="nil"/>
              <w:left w:val="nil"/>
              <w:bottom w:val="nil"/>
              <w:right w:val="nil"/>
            </w:tcBorders>
            <w:vAlign w:val="bottom"/>
          </w:tcPr>
          <w:p w14:paraId="6CAC42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2.240509</w:t>
            </w:r>
          </w:p>
        </w:tc>
        <w:tc>
          <w:tcPr>
            <w:tcW w:w="950" w:type="dxa"/>
            <w:tcBorders>
              <w:top w:val="nil"/>
              <w:left w:val="nil"/>
              <w:bottom w:val="nil"/>
              <w:right w:val="nil"/>
            </w:tcBorders>
            <w:vAlign w:val="bottom"/>
          </w:tcPr>
          <w:p w14:paraId="2778255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0.0346</w:t>
            </w:r>
          </w:p>
        </w:tc>
      </w:tr>
      <w:tr w:rsidR="00EA38DE" w:rsidRPr="00EA38DE" w14:paraId="4C3F39B2" w14:textId="77777777" w:rsidTr="009501B5">
        <w:trPr>
          <w:trHeight w:hRule="exact" w:val="88"/>
        </w:trPr>
        <w:tc>
          <w:tcPr>
            <w:tcW w:w="2120" w:type="dxa"/>
            <w:tcBorders>
              <w:top w:val="nil"/>
              <w:left w:val="nil"/>
              <w:bottom w:val="double" w:sz="6" w:space="2" w:color="auto"/>
              <w:right w:val="nil"/>
            </w:tcBorders>
            <w:vAlign w:val="bottom"/>
          </w:tcPr>
          <w:p w14:paraId="7367C3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EC3C1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6E991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98236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36EC9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D6C7E5D" w14:textId="77777777" w:rsidTr="009501B5">
        <w:trPr>
          <w:trHeight w:hRule="exact" w:val="132"/>
        </w:trPr>
        <w:tc>
          <w:tcPr>
            <w:tcW w:w="2120" w:type="dxa"/>
            <w:tcBorders>
              <w:top w:val="nil"/>
              <w:left w:val="nil"/>
              <w:bottom w:val="nil"/>
              <w:right w:val="nil"/>
            </w:tcBorders>
            <w:vAlign w:val="bottom"/>
          </w:tcPr>
          <w:p w14:paraId="309545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98B64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3A8DE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05B97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4C750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FF3E0F1" w14:textId="77777777" w:rsidTr="009501B5">
        <w:trPr>
          <w:trHeight w:val="220"/>
        </w:trPr>
        <w:tc>
          <w:tcPr>
            <w:tcW w:w="6420" w:type="dxa"/>
            <w:gridSpan w:val="5"/>
            <w:tcBorders>
              <w:top w:val="nil"/>
              <w:left w:val="nil"/>
              <w:bottom w:val="nil"/>
              <w:right w:val="nil"/>
            </w:tcBorders>
            <w:vAlign w:val="bottom"/>
          </w:tcPr>
          <w:p w14:paraId="66387BD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LSHPC - (-0.9374*LFSH + 0.0112*IFR  -0.4017*LGR  -0.1845*TRF +</w:t>
            </w:r>
          </w:p>
        </w:tc>
      </w:tr>
      <w:tr w:rsidR="00EA38DE" w:rsidRPr="00EA38DE" w14:paraId="446CD6E8" w14:textId="77777777" w:rsidTr="009501B5">
        <w:trPr>
          <w:trHeight w:val="220"/>
        </w:trPr>
        <w:tc>
          <w:tcPr>
            <w:tcW w:w="5470" w:type="dxa"/>
            <w:gridSpan w:val="4"/>
            <w:tcBorders>
              <w:top w:val="nil"/>
              <w:left w:val="nil"/>
              <w:bottom w:val="nil"/>
              <w:right w:val="nil"/>
            </w:tcBorders>
            <w:vAlign w:val="bottom"/>
          </w:tcPr>
          <w:p w14:paraId="6A093E5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0.1088*@TREND )</w:t>
            </w:r>
          </w:p>
        </w:tc>
        <w:tc>
          <w:tcPr>
            <w:tcW w:w="950" w:type="dxa"/>
            <w:tcBorders>
              <w:top w:val="nil"/>
              <w:left w:val="nil"/>
              <w:bottom w:val="nil"/>
              <w:right w:val="nil"/>
            </w:tcBorders>
            <w:vAlign w:val="bottom"/>
          </w:tcPr>
          <w:p w14:paraId="7FAA54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C9D8CBE" w14:textId="77777777" w:rsidTr="009501B5">
        <w:trPr>
          <w:trHeight w:hRule="exact" w:val="88"/>
        </w:trPr>
        <w:tc>
          <w:tcPr>
            <w:tcW w:w="2120" w:type="dxa"/>
            <w:tcBorders>
              <w:top w:val="nil"/>
              <w:left w:val="nil"/>
              <w:bottom w:val="double" w:sz="6" w:space="0" w:color="auto"/>
              <w:right w:val="nil"/>
            </w:tcBorders>
            <w:vAlign w:val="bottom"/>
          </w:tcPr>
          <w:p w14:paraId="1E7D6C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4CC7C5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7026B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2EB6D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3CD96F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FBE5F24" w14:textId="77777777" w:rsidTr="009501B5">
        <w:trPr>
          <w:trHeight w:hRule="exact" w:val="132"/>
        </w:trPr>
        <w:tc>
          <w:tcPr>
            <w:tcW w:w="2120" w:type="dxa"/>
            <w:tcBorders>
              <w:top w:val="nil"/>
              <w:left w:val="nil"/>
              <w:bottom w:val="nil"/>
              <w:right w:val="nil"/>
            </w:tcBorders>
            <w:vAlign w:val="bottom"/>
          </w:tcPr>
          <w:p w14:paraId="432D59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DDD9B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9AECE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2350C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821B2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1554B149" w14:textId="77777777" w:rsidR="003C6B00" w:rsidRPr="00EA38DE" w:rsidRDefault="003C6B00" w:rsidP="003C6B00">
      <w:r w:rsidRPr="00EA38DE">
        <w:rPr>
          <w:rFonts w:ascii="Arial" w:hAnsi="Arial" w:cs="Arial"/>
          <w:sz w:val="18"/>
          <w:szCs w:val="18"/>
        </w:rPr>
        <w:br/>
      </w:r>
    </w:p>
    <w:p w14:paraId="6D2202C0" w14:textId="77777777" w:rsidR="003C6B00" w:rsidRPr="00EA38DE" w:rsidRDefault="003C6B00" w:rsidP="003C6B00"/>
    <w:p w14:paraId="4CD079A8" w14:textId="77777777" w:rsidR="003C6B00" w:rsidRPr="00EA38DE" w:rsidRDefault="003C6B00" w:rsidP="003C6B00"/>
    <w:p w14:paraId="74D8103F" w14:textId="77777777" w:rsidR="003C6B00" w:rsidRPr="00EA38DE" w:rsidRDefault="003C6B00" w:rsidP="003C6B00"/>
    <w:p w14:paraId="1FF44882" w14:textId="77777777" w:rsidR="003C6B00" w:rsidRPr="00EA38DE" w:rsidRDefault="003C6B00" w:rsidP="003C6B00"/>
    <w:p w14:paraId="798E745F" w14:textId="77777777" w:rsidR="003C6B00" w:rsidRPr="00EA38DE" w:rsidRDefault="003C6B00" w:rsidP="003C6B00"/>
    <w:p w14:paraId="691355D9" w14:textId="77777777" w:rsidR="003C6B00" w:rsidRPr="00EA38DE" w:rsidRDefault="003C6B00" w:rsidP="003C6B00"/>
    <w:p w14:paraId="25D1510E" w14:textId="77777777" w:rsidR="003C6B00" w:rsidRPr="00EA38DE" w:rsidRDefault="003C6B00" w:rsidP="003C6B00"/>
    <w:p w14:paraId="6A1F5D26" w14:textId="77777777" w:rsidR="003C6B00" w:rsidRPr="00EA38DE" w:rsidRDefault="003C6B00" w:rsidP="003C6B00"/>
    <w:p w14:paraId="50457D8E"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1E0AABBB" w14:textId="77777777" w:rsidTr="009501B5">
        <w:trPr>
          <w:trHeight w:val="220"/>
        </w:trPr>
        <w:tc>
          <w:tcPr>
            <w:tcW w:w="6420" w:type="dxa"/>
            <w:gridSpan w:val="5"/>
            <w:tcBorders>
              <w:top w:val="nil"/>
              <w:left w:val="nil"/>
              <w:bottom w:val="nil"/>
              <w:right w:val="nil"/>
            </w:tcBorders>
            <w:vAlign w:val="bottom"/>
          </w:tcPr>
          <w:p w14:paraId="14EE890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6EF530AC" w14:textId="77777777" w:rsidTr="009501B5">
        <w:trPr>
          <w:trHeight w:val="220"/>
        </w:trPr>
        <w:tc>
          <w:tcPr>
            <w:tcW w:w="5470" w:type="dxa"/>
            <w:gridSpan w:val="4"/>
            <w:tcBorders>
              <w:top w:val="nil"/>
              <w:left w:val="nil"/>
              <w:bottom w:val="nil"/>
              <w:right w:val="nil"/>
            </w:tcBorders>
            <w:vAlign w:val="bottom"/>
          </w:tcPr>
          <w:p w14:paraId="1A6AD98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D(LSHPC)</w:t>
            </w:r>
          </w:p>
        </w:tc>
        <w:tc>
          <w:tcPr>
            <w:tcW w:w="950" w:type="dxa"/>
            <w:tcBorders>
              <w:top w:val="nil"/>
              <w:left w:val="nil"/>
              <w:bottom w:val="nil"/>
              <w:right w:val="nil"/>
            </w:tcBorders>
            <w:vAlign w:val="bottom"/>
          </w:tcPr>
          <w:p w14:paraId="102823E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BADDA08" w14:textId="77777777" w:rsidTr="009501B5">
        <w:trPr>
          <w:trHeight w:val="220"/>
        </w:trPr>
        <w:tc>
          <w:tcPr>
            <w:tcW w:w="6420" w:type="dxa"/>
            <w:gridSpan w:val="5"/>
            <w:tcBorders>
              <w:top w:val="nil"/>
              <w:left w:val="nil"/>
              <w:bottom w:val="nil"/>
              <w:right w:val="nil"/>
            </w:tcBorders>
            <w:vAlign w:val="bottom"/>
          </w:tcPr>
          <w:p w14:paraId="4F5930B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2, 0, 0, 0)</w:t>
            </w:r>
          </w:p>
        </w:tc>
      </w:tr>
      <w:tr w:rsidR="00EA38DE" w:rsidRPr="00EA38DE" w14:paraId="4F2226B5" w14:textId="77777777" w:rsidTr="009501B5">
        <w:trPr>
          <w:trHeight w:val="220"/>
        </w:trPr>
        <w:tc>
          <w:tcPr>
            <w:tcW w:w="6420" w:type="dxa"/>
            <w:gridSpan w:val="5"/>
            <w:tcBorders>
              <w:top w:val="nil"/>
              <w:left w:val="nil"/>
              <w:bottom w:val="nil"/>
              <w:right w:val="nil"/>
            </w:tcBorders>
            <w:vAlign w:val="bottom"/>
          </w:tcPr>
          <w:p w14:paraId="479235A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4: Unrestricted Constant and Restricted Trend</w:t>
            </w:r>
          </w:p>
        </w:tc>
      </w:tr>
      <w:tr w:rsidR="00EA38DE" w:rsidRPr="00EA38DE" w14:paraId="6352960E" w14:textId="77777777" w:rsidTr="009501B5">
        <w:trPr>
          <w:trHeight w:val="220"/>
        </w:trPr>
        <w:tc>
          <w:tcPr>
            <w:tcW w:w="5470" w:type="dxa"/>
            <w:gridSpan w:val="4"/>
            <w:tcBorders>
              <w:top w:val="nil"/>
              <w:left w:val="nil"/>
              <w:bottom w:val="nil"/>
              <w:right w:val="nil"/>
            </w:tcBorders>
            <w:vAlign w:val="bottom"/>
          </w:tcPr>
          <w:p w14:paraId="6C33C71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09:39</w:t>
            </w:r>
          </w:p>
        </w:tc>
        <w:tc>
          <w:tcPr>
            <w:tcW w:w="950" w:type="dxa"/>
            <w:tcBorders>
              <w:top w:val="nil"/>
              <w:left w:val="nil"/>
              <w:bottom w:val="nil"/>
              <w:right w:val="nil"/>
            </w:tcBorders>
            <w:vAlign w:val="bottom"/>
          </w:tcPr>
          <w:p w14:paraId="1968C4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A177C3F" w14:textId="77777777" w:rsidTr="009501B5">
        <w:trPr>
          <w:trHeight w:val="220"/>
        </w:trPr>
        <w:tc>
          <w:tcPr>
            <w:tcW w:w="4320" w:type="dxa"/>
            <w:gridSpan w:val="3"/>
            <w:tcBorders>
              <w:top w:val="nil"/>
              <w:left w:val="nil"/>
              <w:bottom w:val="nil"/>
              <w:right w:val="nil"/>
            </w:tcBorders>
            <w:vAlign w:val="bottom"/>
          </w:tcPr>
          <w:p w14:paraId="7253900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0AC8F0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9AFD8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61EF6DD" w14:textId="77777777" w:rsidTr="009501B5">
        <w:trPr>
          <w:trHeight w:val="220"/>
        </w:trPr>
        <w:tc>
          <w:tcPr>
            <w:tcW w:w="5470" w:type="dxa"/>
            <w:gridSpan w:val="4"/>
            <w:tcBorders>
              <w:top w:val="nil"/>
              <w:left w:val="nil"/>
              <w:bottom w:val="nil"/>
              <w:right w:val="nil"/>
            </w:tcBorders>
            <w:vAlign w:val="bottom"/>
          </w:tcPr>
          <w:p w14:paraId="0206673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33</w:t>
            </w:r>
          </w:p>
        </w:tc>
        <w:tc>
          <w:tcPr>
            <w:tcW w:w="950" w:type="dxa"/>
            <w:tcBorders>
              <w:top w:val="nil"/>
              <w:left w:val="nil"/>
              <w:bottom w:val="nil"/>
              <w:right w:val="nil"/>
            </w:tcBorders>
            <w:vAlign w:val="bottom"/>
          </w:tcPr>
          <w:p w14:paraId="4AB252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C55F732" w14:textId="77777777" w:rsidTr="009501B5">
        <w:trPr>
          <w:trHeight w:hRule="exact" w:val="88"/>
        </w:trPr>
        <w:tc>
          <w:tcPr>
            <w:tcW w:w="2120" w:type="dxa"/>
            <w:tcBorders>
              <w:top w:val="nil"/>
              <w:left w:val="nil"/>
              <w:bottom w:val="double" w:sz="6" w:space="2" w:color="auto"/>
              <w:right w:val="nil"/>
            </w:tcBorders>
            <w:vAlign w:val="bottom"/>
          </w:tcPr>
          <w:p w14:paraId="5CF140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E5180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7A953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5E3F0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493920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724763" w14:textId="77777777" w:rsidTr="009501B5">
        <w:trPr>
          <w:trHeight w:hRule="exact" w:val="132"/>
        </w:trPr>
        <w:tc>
          <w:tcPr>
            <w:tcW w:w="2120" w:type="dxa"/>
            <w:tcBorders>
              <w:top w:val="nil"/>
              <w:left w:val="nil"/>
              <w:bottom w:val="nil"/>
              <w:right w:val="nil"/>
            </w:tcBorders>
            <w:vAlign w:val="bottom"/>
          </w:tcPr>
          <w:p w14:paraId="08F945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DEC47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C90DFD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CE7F5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9B590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3A2E599" w14:textId="77777777" w:rsidTr="009501B5">
        <w:trPr>
          <w:trHeight w:val="220"/>
        </w:trPr>
        <w:tc>
          <w:tcPr>
            <w:tcW w:w="6420" w:type="dxa"/>
            <w:gridSpan w:val="5"/>
            <w:tcBorders>
              <w:top w:val="nil"/>
              <w:left w:val="nil"/>
              <w:bottom w:val="nil"/>
              <w:right w:val="nil"/>
            </w:tcBorders>
            <w:vAlign w:val="bottom"/>
          </w:tcPr>
          <w:p w14:paraId="6C299E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4C2200FF" w14:textId="77777777" w:rsidTr="009501B5">
        <w:trPr>
          <w:trHeight w:val="220"/>
        </w:trPr>
        <w:tc>
          <w:tcPr>
            <w:tcW w:w="6420" w:type="dxa"/>
            <w:gridSpan w:val="5"/>
            <w:tcBorders>
              <w:top w:val="nil"/>
              <w:left w:val="nil"/>
              <w:bottom w:val="nil"/>
              <w:right w:val="nil"/>
            </w:tcBorders>
            <w:vAlign w:val="bottom"/>
          </w:tcPr>
          <w:p w14:paraId="6B4EE1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4: Unrestricted Constant and Restricted Trend</w:t>
            </w:r>
          </w:p>
        </w:tc>
      </w:tr>
      <w:tr w:rsidR="00EA38DE" w:rsidRPr="00EA38DE" w14:paraId="115EE5FF" w14:textId="77777777" w:rsidTr="009501B5">
        <w:trPr>
          <w:trHeight w:hRule="exact" w:val="88"/>
        </w:trPr>
        <w:tc>
          <w:tcPr>
            <w:tcW w:w="2120" w:type="dxa"/>
            <w:tcBorders>
              <w:top w:val="nil"/>
              <w:left w:val="nil"/>
              <w:bottom w:val="double" w:sz="6" w:space="2" w:color="auto"/>
              <w:right w:val="nil"/>
            </w:tcBorders>
            <w:vAlign w:val="bottom"/>
          </w:tcPr>
          <w:p w14:paraId="4F8D1B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36756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E7BC6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D7A3C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55F3A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E9279E4" w14:textId="77777777" w:rsidTr="009501B5">
        <w:trPr>
          <w:trHeight w:hRule="exact" w:val="132"/>
        </w:trPr>
        <w:tc>
          <w:tcPr>
            <w:tcW w:w="2120" w:type="dxa"/>
            <w:tcBorders>
              <w:top w:val="nil"/>
              <w:left w:val="nil"/>
              <w:bottom w:val="nil"/>
              <w:right w:val="nil"/>
            </w:tcBorders>
            <w:vAlign w:val="bottom"/>
          </w:tcPr>
          <w:p w14:paraId="00AA2B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B48FD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A2E2E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8ACD2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90B38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1291164" w14:textId="77777777" w:rsidTr="009501B5">
        <w:trPr>
          <w:trHeight w:val="220"/>
        </w:trPr>
        <w:tc>
          <w:tcPr>
            <w:tcW w:w="2120" w:type="dxa"/>
            <w:tcBorders>
              <w:top w:val="nil"/>
              <w:left w:val="nil"/>
              <w:bottom w:val="nil"/>
              <w:right w:val="nil"/>
            </w:tcBorders>
            <w:vAlign w:val="bottom"/>
          </w:tcPr>
          <w:p w14:paraId="745AEB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5F03DF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32A1D21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0505BD1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4833AA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56AC00E7" w14:textId="77777777" w:rsidTr="009501B5">
        <w:trPr>
          <w:trHeight w:hRule="exact" w:val="88"/>
        </w:trPr>
        <w:tc>
          <w:tcPr>
            <w:tcW w:w="2120" w:type="dxa"/>
            <w:tcBorders>
              <w:top w:val="nil"/>
              <w:left w:val="nil"/>
              <w:bottom w:val="double" w:sz="6" w:space="2" w:color="auto"/>
              <w:right w:val="nil"/>
            </w:tcBorders>
            <w:vAlign w:val="bottom"/>
          </w:tcPr>
          <w:p w14:paraId="1F8CD3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8A6AC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D2269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C2C1F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3C34E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DA37CBA" w14:textId="77777777" w:rsidTr="009501B5">
        <w:trPr>
          <w:trHeight w:hRule="exact" w:val="132"/>
        </w:trPr>
        <w:tc>
          <w:tcPr>
            <w:tcW w:w="2120" w:type="dxa"/>
            <w:tcBorders>
              <w:top w:val="nil"/>
              <w:left w:val="nil"/>
              <w:bottom w:val="nil"/>
              <w:right w:val="nil"/>
            </w:tcBorders>
            <w:vAlign w:val="bottom"/>
          </w:tcPr>
          <w:p w14:paraId="1FAB81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18B2E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38C56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9D7EC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B8AF9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C5CFE3" w14:textId="77777777" w:rsidTr="009501B5">
        <w:trPr>
          <w:trHeight w:val="220"/>
        </w:trPr>
        <w:tc>
          <w:tcPr>
            <w:tcW w:w="2120" w:type="dxa"/>
            <w:tcBorders>
              <w:top w:val="nil"/>
              <w:left w:val="nil"/>
              <w:bottom w:val="nil"/>
              <w:right w:val="nil"/>
            </w:tcBorders>
            <w:vAlign w:val="bottom"/>
          </w:tcPr>
          <w:p w14:paraId="73F4AD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0CBCA78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8.909873</w:t>
            </w:r>
          </w:p>
        </w:tc>
        <w:tc>
          <w:tcPr>
            <w:tcW w:w="1150" w:type="dxa"/>
            <w:tcBorders>
              <w:top w:val="nil"/>
              <w:left w:val="nil"/>
              <w:bottom w:val="nil"/>
              <w:right w:val="nil"/>
            </w:tcBorders>
            <w:vAlign w:val="bottom"/>
          </w:tcPr>
          <w:p w14:paraId="3C74C5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1.898778</w:t>
            </w:r>
          </w:p>
        </w:tc>
        <w:tc>
          <w:tcPr>
            <w:tcW w:w="1150" w:type="dxa"/>
            <w:tcBorders>
              <w:top w:val="nil"/>
              <w:left w:val="nil"/>
              <w:bottom w:val="nil"/>
              <w:right w:val="nil"/>
            </w:tcBorders>
            <w:vAlign w:val="bottom"/>
          </w:tcPr>
          <w:p w14:paraId="66D64EA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4.692424</w:t>
            </w:r>
          </w:p>
        </w:tc>
        <w:tc>
          <w:tcPr>
            <w:tcW w:w="950" w:type="dxa"/>
            <w:tcBorders>
              <w:top w:val="nil"/>
              <w:left w:val="nil"/>
              <w:bottom w:val="nil"/>
              <w:right w:val="nil"/>
            </w:tcBorders>
            <w:vAlign w:val="bottom"/>
          </w:tcPr>
          <w:p w14:paraId="4694211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18679411" w14:textId="77777777" w:rsidTr="009501B5">
        <w:trPr>
          <w:trHeight w:val="220"/>
        </w:trPr>
        <w:tc>
          <w:tcPr>
            <w:tcW w:w="2120" w:type="dxa"/>
            <w:tcBorders>
              <w:top w:val="nil"/>
              <w:left w:val="nil"/>
              <w:bottom w:val="nil"/>
              <w:right w:val="nil"/>
            </w:tcBorders>
            <w:vAlign w:val="bottom"/>
          </w:tcPr>
          <w:p w14:paraId="2EC506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w:t>
            </w:r>
          </w:p>
        </w:tc>
        <w:tc>
          <w:tcPr>
            <w:tcW w:w="1050" w:type="dxa"/>
            <w:tcBorders>
              <w:top w:val="nil"/>
              <w:left w:val="nil"/>
              <w:bottom w:val="nil"/>
              <w:right w:val="nil"/>
            </w:tcBorders>
            <w:vAlign w:val="bottom"/>
          </w:tcPr>
          <w:p w14:paraId="578C422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0.085496</w:t>
            </w:r>
          </w:p>
        </w:tc>
        <w:tc>
          <w:tcPr>
            <w:tcW w:w="1150" w:type="dxa"/>
            <w:tcBorders>
              <w:top w:val="nil"/>
              <w:left w:val="nil"/>
              <w:bottom w:val="nil"/>
              <w:right w:val="nil"/>
            </w:tcBorders>
            <w:vAlign w:val="bottom"/>
          </w:tcPr>
          <w:p w14:paraId="3AD281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0.208258</w:t>
            </w:r>
          </w:p>
        </w:tc>
        <w:tc>
          <w:tcPr>
            <w:tcW w:w="1150" w:type="dxa"/>
            <w:tcBorders>
              <w:top w:val="nil"/>
              <w:left w:val="nil"/>
              <w:bottom w:val="nil"/>
              <w:right w:val="nil"/>
            </w:tcBorders>
            <w:vAlign w:val="bottom"/>
          </w:tcPr>
          <w:p w14:paraId="38B7241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0.410528</w:t>
            </w:r>
          </w:p>
        </w:tc>
        <w:tc>
          <w:tcPr>
            <w:tcW w:w="950" w:type="dxa"/>
            <w:tcBorders>
              <w:top w:val="nil"/>
              <w:left w:val="nil"/>
              <w:bottom w:val="nil"/>
              <w:right w:val="nil"/>
            </w:tcBorders>
            <w:vAlign w:val="bottom"/>
          </w:tcPr>
          <w:p w14:paraId="64F14EC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0.6851</w:t>
            </w:r>
          </w:p>
        </w:tc>
      </w:tr>
      <w:tr w:rsidR="00EA38DE" w:rsidRPr="00EA38DE" w14:paraId="7D53FA68" w14:textId="77777777" w:rsidTr="009501B5">
        <w:trPr>
          <w:trHeight w:val="220"/>
        </w:trPr>
        <w:tc>
          <w:tcPr>
            <w:tcW w:w="2120" w:type="dxa"/>
            <w:tcBorders>
              <w:top w:val="nil"/>
              <w:left w:val="nil"/>
              <w:bottom w:val="nil"/>
              <w:right w:val="nil"/>
            </w:tcBorders>
            <w:vAlign w:val="bottom"/>
          </w:tcPr>
          <w:p w14:paraId="58A802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D(LFSH(-1))</w:t>
            </w:r>
          </w:p>
        </w:tc>
        <w:tc>
          <w:tcPr>
            <w:tcW w:w="1050" w:type="dxa"/>
            <w:tcBorders>
              <w:top w:val="nil"/>
              <w:left w:val="nil"/>
              <w:bottom w:val="nil"/>
              <w:right w:val="nil"/>
            </w:tcBorders>
            <w:vAlign w:val="bottom"/>
          </w:tcPr>
          <w:p w14:paraId="4061B22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0.384338</w:t>
            </w:r>
          </w:p>
        </w:tc>
        <w:tc>
          <w:tcPr>
            <w:tcW w:w="1150" w:type="dxa"/>
            <w:tcBorders>
              <w:top w:val="nil"/>
              <w:left w:val="nil"/>
              <w:bottom w:val="nil"/>
              <w:right w:val="nil"/>
            </w:tcBorders>
            <w:vAlign w:val="bottom"/>
          </w:tcPr>
          <w:p w14:paraId="7EFD9C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0.238418</w:t>
            </w:r>
          </w:p>
        </w:tc>
        <w:tc>
          <w:tcPr>
            <w:tcW w:w="1150" w:type="dxa"/>
            <w:tcBorders>
              <w:top w:val="nil"/>
              <w:left w:val="nil"/>
              <w:bottom w:val="nil"/>
              <w:right w:val="nil"/>
            </w:tcBorders>
            <w:vAlign w:val="bottom"/>
          </w:tcPr>
          <w:p w14:paraId="6265E1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1.612034</w:t>
            </w:r>
          </w:p>
        </w:tc>
        <w:tc>
          <w:tcPr>
            <w:tcW w:w="950" w:type="dxa"/>
            <w:tcBorders>
              <w:top w:val="nil"/>
              <w:left w:val="nil"/>
              <w:bottom w:val="nil"/>
              <w:right w:val="nil"/>
            </w:tcBorders>
            <w:vAlign w:val="bottom"/>
          </w:tcPr>
          <w:p w14:paraId="7984F91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0.1200</w:t>
            </w:r>
          </w:p>
        </w:tc>
      </w:tr>
      <w:tr w:rsidR="00EA38DE" w:rsidRPr="00EA38DE" w14:paraId="0E6E898A" w14:textId="77777777" w:rsidTr="009501B5">
        <w:trPr>
          <w:trHeight w:val="220"/>
        </w:trPr>
        <w:tc>
          <w:tcPr>
            <w:tcW w:w="2120" w:type="dxa"/>
            <w:tcBorders>
              <w:top w:val="nil"/>
              <w:left w:val="nil"/>
              <w:bottom w:val="nil"/>
              <w:right w:val="nil"/>
            </w:tcBorders>
            <w:vAlign w:val="bottom"/>
          </w:tcPr>
          <w:p w14:paraId="19BA64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1E9E870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-0.316620</w:t>
            </w:r>
          </w:p>
        </w:tc>
        <w:tc>
          <w:tcPr>
            <w:tcW w:w="1150" w:type="dxa"/>
            <w:tcBorders>
              <w:top w:val="nil"/>
              <w:left w:val="nil"/>
              <w:bottom w:val="nil"/>
              <w:right w:val="nil"/>
            </w:tcBorders>
            <w:vAlign w:val="bottom"/>
          </w:tcPr>
          <w:p w14:paraId="42AE9B4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0.067592</w:t>
            </w:r>
          </w:p>
        </w:tc>
        <w:tc>
          <w:tcPr>
            <w:tcW w:w="1150" w:type="dxa"/>
            <w:tcBorders>
              <w:top w:val="nil"/>
              <w:left w:val="nil"/>
              <w:bottom w:val="nil"/>
              <w:right w:val="nil"/>
            </w:tcBorders>
            <w:vAlign w:val="bottom"/>
          </w:tcPr>
          <w:p w14:paraId="3F8842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-4.684302</w:t>
            </w:r>
          </w:p>
        </w:tc>
        <w:tc>
          <w:tcPr>
            <w:tcW w:w="950" w:type="dxa"/>
            <w:tcBorders>
              <w:top w:val="nil"/>
              <w:left w:val="nil"/>
              <w:bottom w:val="nil"/>
              <w:right w:val="nil"/>
            </w:tcBorders>
            <w:vAlign w:val="bottom"/>
          </w:tcPr>
          <w:p w14:paraId="697A287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660DA347" w14:textId="77777777" w:rsidTr="009501B5">
        <w:trPr>
          <w:trHeight w:hRule="exact" w:val="88"/>
        </w:trPr>
        <w:tc>
          <w:tcPr>
            <w:tcW w:w="2120" w:type="dxa"/>
            <w:tcBorders>
              <w:top w:val="nil"/>
              <w:left w:val="nil"/>
              <w:bottom w:val="double" w:sz="6" w:space="2" w:color="auto"/>
              <w:right w:val="nil"/>
            </w:tcBorders>
            <w:vAlign w:val="bottom"/>
          </w:tcPr>
          <w:p w14:paraId="419F2A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23719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6CFC9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C6C17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9D9DD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D017459" w14:textId="77777777" w:rsidTr="009501B5">
        <w:trPr>
          <w:trHeight w:hRule="exact" w:val="132"/>
        </w:trPr>
        <w:tc>
          <w:tcPr>
            <w:tcW w:w="2120" w:type="dxa"/>
            <w:tcBorders>
              <w:top w:val="nil"/>
              <w:left w:val="nil"/>
              <w:bottom w:val="nil"/>
              <w:right w:val="nil"/>
            </w:tcBorders>
            <w:vAlign w:val="bottom"/>
          </w:tcPr>
          <w:p w14:paraId="343DD5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346A2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7E70B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5ADBC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53854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ED9DF05" w14:textId="77777777" w:rsidTr="009501B5">
        <w:trPr>
          <w:trHeight w:val="220"/>
        </w:trPr>
        <w:tc>
          <w:tcPr>
            <w:tcW w:w="2120" w:type="dxa"/>
            <w:tcBorders>
              <w:top w:val="nil"/>
              <w:left w:val="nil"/>
              <w:bottom w:val="nil"/>
              <w:right w:val="nil"/>
            </w:tcBorders>
            <w:vAlign w:val="bottom"/>
          </w:tcPr>
          <w:p w14:paraId="4BD950C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6AFD937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0.438613</w:t>
            </w:r>
          </w:p>
        </w:tc>
        <w:tc>
          <w:tcPr>
            <w:tcW w:w="2300" w:type="dxa"/>
            <w:gridSpan w:val="2"/>
            <w:tcBorders>
              <w:top w:val="nil"/>
              <w:left w:val="nil"/>
              <w:bottom w:val="nil"/>
              <w:right w:val="nil"/>
            </w:tcBorders>
            <w:vAlign w:val="bottom"/>
          </w:tcPr>
          <w:p w14:paraId="1D0F8258"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770827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0.007368</w:t>
            </w:r>
          </w:p>
        </w:tc>
      </w:tr>
      <w:tr w:rsidR="00EA38DE" w:rsidRPr="00EA38DE" w14:paraId="0BB94B82" w14:textId="77777777" w:rsidTr="009501B5">
        <w:trPr>
          <w:trHeight w:val="220"/>
        </w:trPr>
        <w:tc>
          <w:tcPr>
            <w:tcW w:w="2120" w:type="dxa"/>
            <w:tcBorders>
              <w:top w:val="nil"/>
              <w:left w:val="nil"/>
              <w:bottom w:val="nil"/>
              <w:right w:val="nil"/>
            </w:tcBorders>
            <w:vAlign w:val="bottom"/>
          </w:tcPr>
          <w:p w14:paraId="574D6F1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50ABF9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0.380538</w:t>
            </w:r>
          </w:p>
        </w:tc>
        <w:tc>
          <w:tcPr>
            <w:tcW w:w="2300" w:type="dxa"/>
            <w:gridSpan w:val="2"/>
            <w:tcBorders>
              <w:top w:val="nil"/>
              <w:left w:val="nil"/>
              <w:bottom w:val="nil"/>
              <w:right w:val="nil"/>
            </w:tcBorders>
            <w:vAlign w:val="bottom"/>
          </w:tcPr>
          <w:p w14:paraId="70891741"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564E0F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0.142601</w:t>
            </w:r>
          </w:p>
        </w:tc>
      </w:tr>
      <w:tr w:rsidR="00EA38DE" w:rsidRPr="00EA38DE" w14:paraId="5B39F1BB" w14:textId="77777777" w:rsidTr="009501B5">
        <w:trPr>
          <w:trHeight w:val="220"/>
        </w:trPr>
        <w:tc>
          <w:tcPr>
            <w:tcW w:w="2120" w:type="dxa"/>
            <w:tcBorders>
              <w:top w:val="nil"/>
              <w:left w:val="nil"/>
              <w:bottom w:val="nil"/>
              <w:right w:val="nil"/>
            </w:tcBorders>
            <w:vAlign w:val="bottom"/>
          </w:tcPr>
          <w:p w14:paraId="5E92756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33AF76B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0.112235</w:t>
            </w:r>
          </w:p>
        </w:tc>
        <w:tc>
          <w:tcPr>
            <w:tcW w:w="2300" w:type="dxa"/>
            <w:gridSpan w:val="2"/>
            <w:tcBorders>
              <w:top w:val="nil"/>
              <w:left w:val="nil"/>
              <w:bottom w:val="nil"/>
              <w:right w:val="nil"/>
            </w:tcBorders>
            <w:vAlign w:val="bottom"/>
          </w:tcPr>
          <w:p w14:paraId="6D6B2DF0"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43CE45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-1.423230</w:t>
            </w:r>
          </w:p>
        </w:tc>
      </w:tr>
      <w:tr w:rsidR="00EA38DE" w:rsidRPr="00EA38DE" w14:paraId="14524D71" w14:textId="77777777" w:rsidTr="009501B5">
        <w:trPr>
          <w:trHeight w:val="220"/>
        </w:trPr>
        <w:tc>
          <w:tcPr>
            <w:tcW w:w="2120" w:type="dxa"/>
            <w:tcBorders>
              <w:top w:val="nil"/>
              <w:left w:val="nil"/>
              <w:bottom w:val="nil"/>
              <w:right w:val="nil"/>
            </w:tcBorders>
            <w:vAlign w:val="bottom"/>
          </w:tcPr>
          <w:p w14:paraId="58FB7FE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4365B8A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0.365305</w:t>
            </w:r>
          </w:p>
        </w:tc>
        <w:tc>
          <w:tcPr>
            <w:tcW w:w="2300" w:type="dxa"/>
            <w:gridSpan w:val="2"/>
            <w:tcBorders>
              <w:top w:val="nil"/>
              <w:left w:val="nil"/>
              <w:bottom w:val="nil"/>
              <w:right w:val="nil"/>
            </w:tcBorders>
            <w:vAlign w:val="bottom"/>
          </w:tcPr>
          <w:p w14:paraId="30689C75"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3846EF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-1.241835</w:t>
            </w:r>
          </w:p>
        </w:tc>
      </w:tr>
      <w:tr w:rsidR="00EA38DE" w:rsidRPr="00EA38DE" w14:paraId="786AAE95" w14:textId="77777777" w:rsidTr="009501B5">
        <w:trPr>
          <w:trHeight w:val="220"/>
        </w:trPr>
        <w:tc>
          <w:tcPr>
            <w:tcW w:w="2120" w:type="dxa"/>
            <w:tcBorders>
              <w:top w:val="nil"/>
              <w:left w:val="nil"/>
              <w:bottom w:val="nil"/>
              <w:right w:val="nil"/>
            </w:tcBorders>
            <w:vAlign w:val="bottom"/>
          </w:tcPr>
          <w:p w14:paraId="3471B57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094AEEF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27.48329</w:t>
            </w:r>
          </w:p>
        </w:tc>
        <w:tc>
          <w:tcPr>
            <w:tcW w:w="2300" w:type="dxa"/>
            <w:gridSpan w:val="2"/>
            <w:tcBorders>
              <w:top w:val="nil"/>
              <w:left w:val="nil"/>
              <w:bottom w:val="nil"/>
              <w:right w:val="nil"/>
            </w:tcBorders>
            <w:vAlign w:val="bottom"/>
          </w:tcPr>
          <w:p w14:paraId="1ABE730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175023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-1.362196</w:t>
            </w:r>
          </w:p>
        </w:tc>
      </w:tr>
      <w:tr w:rsidR="00EA38DE" w:rsidRPr="00EA38DE" w14:paraId="180ECA17" w14:textId="77777777" w:rsidTr="009501B5">
        <w:trPr>
          <w:trHeight w:val="220"/>
        </w:trPr>
        <w:tc>
          <w:tcPr>
            <w:tcW w:w="2120" w:type="dxa"/>
            <w:tcBorders>
              <w:top w:val="nil"/>
              <w:left w:val="nil"/>
              <w:bottom w:val="nil"/>
              <w:right w:val="nil"/>
            </w:tcBorders>
            <w:vAlign w:val="bottom"/>
          </w:tcPr>
          <w:p w14:paraId="2FB8829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54779D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7.552586</w:t>
            </w:r>
          </w:p>
        </w:tc>
        <w:tc>
          <w:tcPr>
            <w:tcW w:w="2300" w:type="dxa"/>
            <w:gridSpan w:val="2"/>
            <w:tcBorders>
              <w:top w:val="nil"/>
              <w:left w:val="nil"/>
              <w:bottom w:val="nil"/>
              <w:right w:val="nil"/>
            </w:tcBorders>
            <w:vAlign w:val="bottom"/>
          </w:tcPr>
          <w:p w14:paraId="0BF04FE1"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Durbin-Watson stat</w:t>
            </w:r>
          </w:p>
        </w:tc>
        <w:tc>
          <w:tcPr>
            <w:tcW w:w="950" w:type="dxa"/>
            <w:tcBorders>
              <w:top w:val="nil"/>
              <w:left w:val="nil"/>
              <w:bottom w:val="nil"/>
              <w:right w:val="nil"/>
            </w:tcBorders>
            <w:vAlign w:val="bottom"/>
          </w:tcPr>
          <w:p w14:paraId="1D35126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1.998981</w:t>
            </w:r>
          </w:p>
        </w:tc>
      </w:tr>
      <w:tr w:rsidR="00EA38DE" w:rsidRPr="00EA38DE" w14:paraId="3A71E711" w14:textId="77777777" w:rsidTr="009501B5">
        <w:trPr>
          <w:trHeight w:val="220"/>
        </w:trPr>
        <w:tc>
          <w:tcPr>
            <w:tcW w:w="2120" w:type="dxa"/>
            <w:tcBorders>
              <w:top w:val="nil"/>
              <w:left w:val="nil"/>
              <w:bottom w:val="nil"/>
              <w:right w:val="nil"/>
            </w:tcBorders>
            <w:vAlign w:val="bottom"/>
          </w:tcPr>
          <w:p w14:paraId="0A6B865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Prob(F-statistic)</w:t>
            </w:r>
          </w:p>
        </w:tc>
        <w:tc>
          <w:tcPr>
            <w:tcW w:w="1050" w:type="dxa"/>
            <w:tcBorders>
              <w:top w:val="nil"/>
              <w:left w:val="nil"/>
              <w:bottom w:val="nil"/>
              <w:right w:val="nil"/>
            </w:tcBorders>
            <w:vAlign w:val="bottom"/>
          </w:tcPr>
          <w:p w14:paraId="5A0D4AA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0.000702</w:t>
            </w:r>
          </w:p>
        </w:tc>
        <w:tc>
          <w:tcPr>
            <w:tcW w:w="1150" w:type="dxa"/>
            <w:tcBorders>
              <w:top w:val="nil"/>
              <w:left w:val="nil"/>
              <w:bottom w:val="nil"/>
              <w:right w:val="nil"/>
            </w:tcBorders>
            <w:vAlign w:val="bottom"/>
          </w:tcPr>
          <w:p w14:paraId="4AF52E4C"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3AFE06B5"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3E541336"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526799DD" w14:textId="77777777" w:rsidTr="009501B5">
        <w:trPr>
          <w:trHeight w:hRule="exact" w:val="88"/>
        </w:trPr>
        <w:tc>
          <w:tcPr>
            <w:tcW w:w="2120" w:type="dxa"/>
            <w:tcBorders>
              <w:top w:val="nil"/>
              <w:left w:val="nil"/>
              <w:bottom w:val="double" w:sz="6" w:space="2" w:color="auto"/>
              <w:right w:val="nil"/>
            </w:tcBorders>
            <w:vAlign w:val="bottom"/>
          </w:tcPr>
          <w:p w14:paraId="3EBA58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DF38A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311F5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30126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E223C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E42D0FE" w14:textId="77777777" w:rsidTr="009501B5">
        <w:trPr>
          <w:trHeight w:hRule="exact" w:val="132"/>
        </w:trPr>
        <w:tc>
          <w:tcPr>
            <w:tcW w:w="2120" w:type="dxa"/>
            <w:tcBorders>
              <w:top w:val="nil"/>
              <w:left w:val="nil"/>
              <w:bottom w:val="nil"/>
              <w:right w:val="nil"/>
            </w:tcBorders>
            <w:vAlign w:val="bottom"/>
          </w:tcPr>
          <w:p w14:paraId="6B86A1E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6FD12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5BA8E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104A5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A44D8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0296987" w14:textId="77777777" w:rsidTr="009501B5">
        <w:trPr>
          <w:trHeight w:val="220"/>
        </w:trPr>
        <w:tc>
          <w:tcPr>
            <w:tcW w:w="6420" w:type="dxa"/>
            <w:gridSpan w:val="5"/>
            <w:tcBorders>
              <w:top w:val="nil"/>
              <w:left w:val="nil"/>
              <w:bottom w:val="nil"/>
              <w:right w:val="nil"/>
            </w:tcBorders>
            <w:vAlign w:val="bottom"/>
          </w:tcPr>
          <w:p w14:paraId="0458726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031291B6" w14:textId="77777777" w:rsidTr="009501B5">
        <w:trPr>
          <w:trHeight w:val="220"/>
        </w:trPr>
        <w:tc>
          <w:tcPr>
            <w:tcW w:w="2120" w:type="dxa"/>
            <w:tcBorders>
              <w:top w:val="nil"/>
              <w:left w:val="nil"/>
              <w:bottom w:val="nil"/>
              <w:right w:val="nil"/>
            </w:tcBorders>
            <w:vAlign w:val="bottom"/>
          </w:tcPr>
          <w:p w14:paraId="5FC23B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98101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51B04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883627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36635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84158D5" w14:textId="77777777" w:rsidTr="009501B5">
        <w:trPr>
          <w:trHeight w:val="220"/>
        </w:trPr>
        <w:tc>
          <w:tcPr>
            <w:tcW w:w="2120" w:type="dxa"/>
            <w:tcBorders>
              <w:top w:val="nil"/>
              <w:left w:val="nil"/>
              <w:bottom w:val="nil"/>
              <w:right w:val="nil"/>
            </w:tcBorders>
            <w:vAlign w:val="bottom"/>
          </w:tcPr>
          <w:p w14:paraId="7A6C93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262E7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7662F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629D1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D49EE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12152FE" w14:textId="77777777" w:rsidTr="009501B5">
        <w:trPr>
          <w:trHeight w:val="220"/>
        </w:trPr>
        <w:tc>
          <w:tcPr>
            <w:tcW w:w="3170" w:type="dxa"/>
            <w:gridSpan w:val="2"/>
            <w:tcBorders>
              <w:top w:val="nil"/>
              <w:left w:val="nil"/>
              <w:bottom w:val="nil"/>
              <w:right w:val="nil"/>
            </w:tcBorders>
            <w:vAlign w:val="bottom"/>
          </w:tcPr>
          <w:p w14:paraId="6DF9ABF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1E47BCC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7CC38F24" w14:textId="77777777" w:rsidTr="009501B5">
        <w:trPr>
          <w:trHeight w:hRule="exact" w:val="88"/>
        </w:trPr>
        <w:tc>
          <w:tcPr>
            <w:tcW w:w="2120" w:type="dxa"/>
            <w:tcBorders>
              <w:top w:val="nil"/>
              <w:left w:val="nil"/>
              <w:bottom w:val="double" w:sz="6" w:space="2" w:color="auto"/>
              <w:right w:val="nil"/>
            </w:tcBorders>
            <w:vAlign w:val="bottom"/>
          </w:tcPr>
          <w:p w14:paraId="36799F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2D7D28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CB525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C675F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4BB9E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A7000AB" w14:textId="77777777" w:rsidTr="009501B5">
        <w:trPr>
          <w:trHeight w:hRule="exact" w:val="132"/>
        </w:trPr>
        <w:tc>
          <w:tcPr>
            <w:tcW w:w="2120" w:type="dxa"/>
            <w:tcBorders>
              <w:top w:val="nil"/>
              <w:left w:val="nil"/>
              <w:bottom w:val="nil"/>
              <w:right w:val="nil"/>
            </w:tcBorders>
            <w:vAlign w:val="bottom"/>
          </w:tcPr>
          <w:p w14:paraId="755743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FCC17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3AA45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63AED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DA768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A20E023" w14:textId="77777777" w:rsidTr="009501B5">
        <w:trPr>
          <w:trHeight w:val="220"/>
        </w:trPr>
        <w:tc>
          <w:tcPr>
            <w:tcW w:w="2120" w:type="dxa"/>
            <w:tcBorders>
              <w:top w:val="nil"/>
              <w:left w:val="nil"/>
              <w:bottom w:val="nil"/>
              <w:right w:val="nil"/>
            </w:tcBorders>
            <w:vAlign w:val="bottom"/>
          </w:tcPr>
          <w:p w14:paraId="25D6740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2F2E8E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28143F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2BDB0D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0D9D64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23947DFE" w14:textId="77777777" w:rsidTr="009501B5">
        <w:trPr>
          <w:trHeight w:hRule="exact" w:val="88"/>
        </w:trPr>
        <w:tc>
          <w:tcPr>
            <w:tcW w:w="2120" w:type="dxa"/>
            <w:tcBorders>
              <w:top w:val="nil"/>
              <w:left w:val="nil"/>
              <w:bottom w:val="double" w:sz="6" w:space="2" w:color="auto"/>
              <w:right w:val="nil"/>
            </w:tcBorders>
            <w:vAlign w:val="bottom"/>
          </w:tcPr>
          <w:p w14:paraId="0A4385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B54BB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CB01E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B7FD8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2975B4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714362B" w14:textId="77777777" w:rsidTr="009501B5">
        <w:trPr>
          <w:trHeight w:hRule="exact" w:val="132"/>
        </w:trPr>
        <w:tc>
          <w:tcPr>
            <w:tcW w:w="2120" w:type="dxa"/>
            <w:tcBorders>
              <w:top w:val="nil"/>
              <w:left w:val="nil"/>
              <w:bottom w:val="nil"/>
              <w:right w:val="nil"/>
            </w:tcBorders>
            <w:vAlign w:val="bottom"/>
          </w:tcPr>
          <w:p w14:paraId="12B247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C7384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6C1EE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8E294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75A1C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1FB33DF" w14:textId="77777777" w:rsidTr="009501B5">
        <w:trPr>
          <w:trHeight w:val="220"/>
        </w:trPr>
        <w:tc>
          <w:tcPr>
            <w:tcW w:w="2120" w:type="dxa"/>
            <w:tcBorders>
              <w:top w:val="nil"/>
              <w:left w:val="nil"/>
              <w:bottom w:val="nil"/>
              <w:right w:val="nil"/>
            </w:tcBorders>
            <w:vAlign w:val="bottom"/>
          </w:tcPr>
          <w:p w14:paraId="1D6EDE7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415898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3.026577</w:t>
            </w:r>
          </w:p>
        </w:tc>
        <w:tc>
          <w:tcPr>
            <w:tcW w:w="1150" w:type="dxa"/>
            <w:tcBorders>
              <w:top w:val="nil"/>
              <w:left w:val="nil"/>
              <w:bottom w:val="nil"/>
              <w:right w:val="nil"/>
            </w:tcBorders>
            <w:vAlign w:val="bottom"/>
          </w:tcPr>
          <w:p w14:paraId="7EE12A9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1F2BED1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2.68</w:t>
            </w:r>
          </w:p>
        </w:tc>
        <w:tc>
          <w:tcPr>
            <w:tcW w:w="950" w:type="dxa"/>
            <w:tcBorders>
              <w:top w:val="nil"/>
              <w:left w:val="nil"/>
              <w:bottom w:val="nil"/>
              <w:right w:val="nil"/>
            </w:tcBorders>
            <w:vAlign w:val="bottom"/>
          </w:tcPr>
          <w:p w14:paraId="7333B6D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3.53</w:t>
            </w:r>
          </w:p>
        </w:tc>
      </w:tr>
      <w:tr w:rsidR="00EA38DE" w:rsidRPr="00EA38DE" w14:paraId="5D2045B1" w14:textId="77777777" w:rsidTr="009501B5">
        <w:trPr>
          <w:trHeight w:val="220"/>
        </w:trPr>
        <w:tc>
          <w:tcPr>
            <w:tcW w:w="2120" w:type="dxa"/>
            <w:tcBorders>
              <w:top w:val="nil"/>
              <w:left w:val="nil"/>
              <w:bottom w:val="nil"/>
              <w:right w:val="nil"/>
            </w:tcBorders>
            <w:vAlign w:val="bottom"/>
          </w:tcPr>
          <w:p w14:paraId="3D01C7F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0860C2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4</w:t>
            </w:r>
          </w:p>
        </w:tc>
        <w:tc>
          <w:tcPr>
            <w:tcW w:w="1150" w:type="dxa"/>
            <w:tcBorders>
              <w:top w:val="nil"/>
              <w:left w:val="nil"/>
              <w:bottom w:val="nil"/>
              <w:right w:val="nil"/>
            </w:tcBorders>
            <w:vAlign w:val="bottom"/>
          </w:tcPr>
          <w:p w14:paraId="03160AB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7FA63C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3.05</w:t>
            </w:r>
          </w:p>
        </w:tc>
        <w:tc>
          <w:tcPr>
            <w:tcW w:w="950" w:type="dxa"/>
            <w:tcBorders>
              <w:top w:val="nil"/>
              <w:left w:val="nil"/>
              <w:bottom w:val="nil"/>
              <w:right w:val="nil"/>
            </w:tcBorders>
            <w:vAlign w:val="bottom"/>
          </w:tcPr>
          <w:p w14:paraId="2764B2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3.97</w:t>
            </w:r>
          </w:p>
        </w:tc>
      </w:tr>
      <w:tr w:rsidR="00EA38DE" w:rsidRPr="00EA38DE" w14:paraId="2C95C2C8" w14:textId="77777777" w:rsidTr="009501B5">
        <w:trPr>
          <w:trHeight w:val="220"/>
        </w:trPr>
        <w:tc>
          <w:tcPr>
            <w:tcW w:w="2120" w:type="dxa"/>
            <w:tcBorders>
              <w:top w:val="nil"/>
              <w:left w:val="nil"/>
              <w:bottom w:val="nil"/>
              <w:right w:val="nil"/>
            </w:tcBorders>
            <w:vAlign w:val="bottom"/>
          </w:tcPr>
          <w:p w14:paraId="3A1E80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F4008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69B694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63230BA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w:t>
            </w:r>
          </w:p>
        </w:tc>
        <w:tc>
          <w:tcPr>
            <w:tcW w:w="950" w:type="dxa"/>
            <w:tcBorders>
              <w:top w:val="nil"/>
              <w:left w:val="nil"/>
              <w:bottom w:val="nil"/>
              <w:right w:val="nil"/>
            </w:tcBorders>
            <w:vAlign w:val="bottom"/>
          </w:tcPr>
          <w:p w14:paraId="5283FD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4.36</w:t>
            </w:r>
          </w:p>
        </w:tc>
      </w:tr>
      <w:tr w:rsidR="00EA38DE" w:rsidRPr="00EA38DE" w14:paraId="15203CDE" w14:textId="77777777" w:rsidTr="009501B5">
        <w:trPr>
          <w:trHeight w:val="220"/>
        </w:trPr>
        <w:tc>
          <w:tcPr>
            <w:tcW w:w="2120" w:type="dxa"/>
            <w:tcBorders>
              <w:top w:val="nil"/>
              <w:left w:val="nil"/>
              <w:bottom w:val="nil"/>
              <w:right w:val="nil"/>
            </w:tcBorders>
            <w:vAlign w:val="bottom"/>
          </w:tcPr>
          <w:p w14:paraId="085E35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125BE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001E7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2426E29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3.81</w:t>
            </w:r>
          </w:p>
        </w:tc>
        <w:tc>
          <w:tcPr>
            <w:tcW w:w="950" w:type="dxa"/>
            <w:tcBorders>
              <w:top w:val="nil"/>
              <w:left w:val="nil"/>
              <w:bottom w:val="nil"/>
              <w:right w:val="nil"/>
            </w:tcBorders>
            <w:vAlign w:val="bottom"/>
          </w:tcPr>
          <w:p w14:paraId="02D088E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4.92</w:t>
            </w:r>
          </w:p>
        </w:tc>
      </w:tr>
      <w:tr w:rsidR="00EA38DE" w:rsidRPr="00EA38DE" w14:paraId="70944271" w14:textId="77777777" w:rsidTr="009501B5">
        <w:trPr>
          <w:trHeight w:hRule="exact" w:val="88"/>
        </w:trPr>
        <w:tc>
          <w:tcPr>
            <w:tcW w:w="2120" w:type="dxa"/>
            <w:tcBorders>
              <w:top w:val="nil"/>
              <w:left w:val="nil"/>
              <w:bottom w:val="double" w:sz="6" w:space="0" w:color="auto"/>
              <w:right w:val="nil"/>
            </w:tcBorders>
            <w:vAlign w:val="bottom"/>
          </w:tcPr>
          <w:p w14:paraId="10CBC0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739D4E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4E889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7FE12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091473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7B205F8" w14:textId="77777777" w:rsidTr="009501B5">
        <w:trPr>
          <w:trHeight w:hRule="exact" w:val="132"/>
        </w:trPr>
        <w:tc>
          <w:tcPr>
            <w:tcW w:w="2120" w:type="dxa"/>
            <w:tcBorders>
              <w:top w:val="nil"/>
              <w:left w:val="nil"/>
              <w:bottom w:val="nil"/>
              <w:right w:val="nil"/>
            </w:tcBorders>
            <w:vAlign w:val="bottom"/>
          </w:tcPr>
          <w:p w14:paraId="02C5DD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BDD48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320AE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7CF740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CA2AC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539BB35D" w14:textId="77777777" w:rsidR="003C6B00" w:rsidRPr="00EA38DE" w:rsidRDefault="003C6B00" w:rsidP="003C6B00">
      <w:r w:rsidRPr="00EA38DE">
        <w:rPr>
          <w:rFonts w:ascii="Arial" w:hAnsi="Arial" w:cs="Arial"/>
          <w:sz w:val="18"/>
          <w:szCs w:val="18"/>
        </w:rPr>
        <w:br/>
      </w:r>
    </w:p>
    <w:p w14:paraId="173CE070" w14:textId="77777777" w:rsidR="003C6B00" w:rsidRPr="00EA38DE" w:rsidRDefault="003C6B00" w:rsidP="003C6B00"/>
    <w:p w14:paraId="157AE083" w14:textId="77777777" w:rsidR="003C6B00" w:rsidRPr="00EA38DE" w:rsidRDefault="003C6B00" w:rsidP="003C6B00"/>
    <w:p w14:paraId="2603C16E" w14:textId="77777777" w:rsidR="003C6B00" w:rsidRPr="00EA38DE" w:rsidRDefault="003C6B00" w:rsidP="003C6B00"/>
    <w:p w14:paraId="79206981" w14:textId="77777777" w:rsidR="003C6B00" w:rsidRPr="00EA38DE" w:rsidRDefault="003C6B00" w:rsidP="003C6B00"/>
    <w:p w14:paraId="6B7C842E" w14:textId="77777777" w:rsidR="003C6B00" w:rsidRPr="00EA38DE" w:rsidRDefault="003C6B00" w:rsidP="003C6B00"/>
    <w:p w14:paraId="22E7BE8A" w14:textId="77777777" w:rsidR="003C6B00" w:rsidRPr="00EA38DE" w:rsidRDefault="003C6B00" w:rsidP="003C6B00"/>
    <w:p w14:paraId="2F858847" w14:textId="77777777" w:rsidR="003C6B00" w:rsidRPr="00EA38DE" w:rsidRDefault="003C6B00" w:rsidP="003C6B00"/>
    <w:p w14:paraId="30C9E4F5" w14:textId="77777777" w:rsidR="003C6B00" w:rsidRPr="00EA38DE" w:rsidRDefault="003C6B00" w:rsidP="003C6B00"/>
    <w:p w14:paraId="4C616AB0"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445C75F0" w14:textId="77777777" w:rsidTr="009501B5">
        <w:trPr>
          <w:trHeight w:val="220"/>
        </w:trPr>
        <w:tc>
          <w:tcPr>
            <w:tcW w:w="6420" w:type="dxa"/>
            <w:gridSpan w:val="5"/>
            <w:tcBorders>
              <w:top w:val="nil"/>
              <w:left w:val="nil"/>
              <w:bottom w:val="nil"/>
              <w:right w:val="nil"/>
            </w:tcBorders>
            <w:vAlign w:val="bottom"/>
          </w:tcPr>
          <w:p w14:paraId="5046BA0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0B8D53AE" w14:textId="77777777" w:rsidTr="009501B5">
        <w:trPr>
          <w:trHeight w:val="220"/>
        </w:trPr>
        <w:tc>
          <w:tcPr>
            <w:tcW w:w="5470" w:type="dxa"/>
            <w:gridSpan w:val="4"/>
            <w:tcBorders>
              <w:top w:val="nil"/>
              <w:left w:val="nil"/>
              <w:bottom w:val="nil"/>
              <w:right w:val="nil"/>
            </w:tcBorders>
            <w:vAlign w:val="bottom"/>
          </w:tcPr>
          <w:p w14:paraId="2A2563A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D(LPOR)</w:t>
            </w:r>
          </w:p>
        </w:tc>
        <w:tc>
          <w:tcPr>
            <w:tcW w:w="950" w:type="dxa"/>
            <w:tcBorders>
              <w:top w:val="nil"/>
              <w:left w:val="nil"/>
              <w:bottom w:val="nil"/>
              <w:right w:val="nil"/>
            </w:tcBorders>
            <w:vAlign w:val="bottom"/>
          </w:tcPr>
          <w:p w14:paraId="776C29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ED2CB21" w14:textId="77777777" w:rsidTr="009501B5">
        <w:trPr>
          <w:trHeight w:val="220"/>
        </w:trPr>
        <w:tc>
          <w:tcPr>
            <w:tcW w:w="6420" w:type="dxa"/>
            <w:gridSpan w:val="5"/>
            <w:tcBorders>
              <w:top w:val="nil"/>
              <w:left w:val="nil"/>
              <w:bottom w:val="nil"/>
              <w:right w:val="nil"/>
            </w:tcBorders>
            <w:vAlign w:val="bottom"/>
          </w:tcPr>
          <w:p w14:paraId="47CFED6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ARDL(2, 0, 0, 1, 3, 0)</w:t>
            </w:r>
          </w:p>
        </w:tc>
      </w:tr>
      <w:tr w:rsidR="00EA38DE" w:rsidRPr="00EA38DE" w14:paraId="49CD1F3A" w14:textId="77777777" w:rsidTr="009501B5">
        <w:trPr>
          <w:trHeight w:val="220"/>
        </w:trPr>
        <w:tc>
          <w:tcPr>
            <w:tcW w:w="6420" w:type="dxa"/>
            <w:gridSpan w:val="5"/>
            <w:tcBorders>
              <w:top w:val="nil"/>
              <w:left w:val="nil"/>
              <w:bottom w:val="nil"/>
              <w:right w:val="nil"/>
            </w:tcBorders>
            <w:vAlign w:val="bottom"/>
          </w:tcPr>
          <w:p w14:paraId="47C7748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1: No Constant and No Trend</w:t>
            </w:r>
          </w:p>
        </w:tc>
      </w:tr>
      <w:tr w:rsidR="00EA38DE" w:rsidRPr="00EA38DE" w14:paraId="705D3DD0" w14:textId="77777777" w:rsidTr="009501B5">
        <w:trPr>
          <w:trHeight w:val="220"/>
        </w:trPr>
        <w:tc>
          <w:tcPr>
            <w:tcW w:w="5470" w:type="dxa"/>
            <w:gridSpan w:val="4"/>
            <w:tcBorders>
              <w:top w:val="nil"/>
              <w:left w:val="nil"/>
              <w:bottom w:val="nil"/>
              <w:right w:val="nil"/>
            </w:tcBorders>
            <w:vAlign w:val="bottom"/>
          </w:tcPr>
          <w:p w14:paraId="5D33CDE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09:43</w:t>
            </w:r>
          </w:p>
        </w:tc>
        <w:tc>
          <w:tcPr>
            <w:tcW w:w="950" w:type="dxa"/>
            <w:tcBorders>
              <w:top w:val="nil"/>
              <w:left w:val="nil"/>
              <w:bottom w:val="nil"/>
              <w:right w:val="nil"/>
            </w:tcBorders>
            <w:vAlign w:val="bottom"/>
          </w:tcPr>
          <w:p w14:paraId="276F35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33C7401" w14:textId="77777777" w:rsidTr="009501B5">
        <w:trPr>
          <w:trHeight w:val="220"/>
        </w:trPr>
        <w:tc>
          <w:tcPr>
            <w:tcW w:w="4320" w:type="dxa"/>
            <w:gridSpan w:val="3"/>
            <w:tcBorders>
              <w:top w:val="nil"/>
              <w:left w:val="nil"/>
              <w:bottom w:val="nil"/>
              <w:right w:val="nil"/>
            </w:tcBorders>
            <w:vAlign w:val="bottom"/>
          </w:tcPr>
          <w:p w14:paraId="4419492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191828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EE6B1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B6F4E73" w14:textId="77777777" w:rsidTr="009501B5">
        <w:trPr>
          <w:trHeight w:val="220"/>
        </w:trPr>
        <w:tc>
          <w:tcPr>
            <w:tcW w:w="5470" w:type="dxa"/>
            <w:gridSpan w:val="4"/>
            <w:tcBorders>
              <w:top w:val="nil"/>
              <w:left w:val="nil"/>
              <w:bottom w:val="nil"/>
              <w:right w:val="nil"/>
            </w:tcBorders>
            <w:vAlign w:val="bottom"/>
          </w:tcPr>
          <w:p w14:paraId="413AF88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0E5CDB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B2F8469" w14:textId="77777777" w:rsidTr="009501B5">
        <w:trPr>
          <w:trHeight w:hRule="exact" w:val="88"/>
        </w:trPr>
        <w:tc>
          <w:tcPr>
            <w:tcW w:w="2120" w:type="dxa"/>
            <w:tcBorders>
              <w:top w:val="nil"/>
              <w:left w:val="nil"/>
              <w:bottom w:val="double" w:sz="6" w:space="2" w:color="auto"/>
              <w:right w:val="nil"/>
            </w:tcBorders>
            <w:vAlign w:val="bottom"/>
          </w:tcPr>
          <w:p w14:paraId="182162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3D44D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2AC78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DA87D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3E59F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6FAE6E" w14:textId="77777777" w:rsidTr="009501B5">
        <w:trPr>
          <w:trHeight w:hRule="exact" w:val="132"/>
        </w:trPr>
        <w:tc>
          <w:tcPr>
            <w:tcW w:w="2120" w:type="dxa"/>
            <w:tcBorders>
              <w:top w:val="nil"/>
              <w:left w:val="nil"/>
              <w:bottom w:val="nil"/>
              <w:right w:val="nil"/>
            </w:tcBorders>
            <w:vAlign w:val="bottom"/>
          </w:tcPr>
          <w:p w14:paraId="48F798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D9A61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69BF0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773A4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A7108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4854765" w14:textId="77777777" w:rsidTr="009501B5">
        <w:trPr>
          <w:trHeight w:val="220"/>
        </w:trPr>
        <w:tc>
          <w:tcPr>
            <w:tcW w:w="6420" w:type="dxa"/>
            <w:gridSpan w:val="5"/>
            <w:tcBorders>
              <w:top w:val="nil"/>
              <w:left w:val="nil"/>
              <w:bottom w:val="nil"/>
              <w:right w:val="nil"/>
            </w:tcBorders>
            <w:vAlign w:val="bottom"/>
          </w:tcPr>
          <w:p w14:paraId="40839F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10BBE387" w14:textId="77777777" w:rsidTr="009501B5">
        <w:trPr>
          <w:trHeight w:val="220"/>
        </w:trPr>
        <w:tc>
          <w:tcPr>
            <w:tcW w:w="6420" w:type="dxa"/>
            <w:gridSpan w:val="5"/>
            <w:tcBorders>
              <w:top w:val="nil"/>
              <w:left w:val="nil"/>
              <w:bottom w:val="nil"/>
              <w:right w:val="nil"/>
            </w:tcBorders>
            <w:vAlign w:val="bottom"/>
          </w:tcPr>
          <w:p w14:paraId="58109F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1: No Constant and No Trend</w:t>
            </w:r>
          </w:p>
        </w:tc>
      </w:tr>
      <w:tr w:rsidR="00EA38DE" w:rsidRPr="00EA38DE" w14:paraId="5901C7DB" w14:textId="77777777" w:rsidTr="009501B5">
        <w:trPr>
          <w:trHeight w:hRule="exact" w:val="88"/>
        </w:trPr>
        <w:tc>
          <w:tcPr>
            <w:tcW w:w="2120" w:type="dxa"/>
            <w:tcBorders>
              <w:top w:val="nil"/>
              <w:left w:val="nil"/>
              <w:bottom w:val="double" w:sz="6" w:space="2" w:color="auto"/>
              <w:right w:val="nil"/>
            </w:tcBorders>
            <w:vAlign w:val="bottom"/>
          </w:tcPr>
          <w:p w14:paraId="13147F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46724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3EB27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F5A35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2B5F1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9B0E508" w14:textId="77777777" w:rsidTr="009501B5">
        <w:trPr>
          <w:trHeight w:hRule="exact" w:val="132"/>
        </w:trPr>
        <w:tc>
          <w:tcPr>
            <w:tcW w:w="2120" w:type="dxa"/>
            <w:tcBorders>
              <w:top w:val="nil"/>
              <w:left w:val="nil"/>
              <w:bottom w:val="nil"/>
              <w:right w:val="nil"/>
            </w:tcBorders>
            <w:vAlign w:val="bottom"/>
          </w:tcPr>
          <w:p w14:paraId="345CF7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D9096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EF585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C086E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A8920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FB525DB" w14:textId="77777777" w:rsidTr="009501B5">
        <w:trPr>
          <w:trHeight w:val="220"/>
        </w:trPr>
        <w:tc>
          <w:tcPr>
            <w:tcW w:w="2120" w:type="dxa"/>
            <w:tcBorders>
              <w:top w:val="nil"/>
              <w:left w:val="nil"/>
              <w:bottom w:val="nil"/>
              <w:right w:val="nil"/>
            </w:tcBorders>
            <w:vAlign w:val="bottom"/>
          </w:tcPr>
          <w:p w14:paraId="524F3A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4484FF9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3D4F418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24922F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173963C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423E9450" w14:textId="77777777" w:rsidTr="009501B5">
        <w:trPr>
          <w:trHeight w:hRule="exact" w:val="88"/>
        </w:trPr>
        <w:tc>
          <w:tcPr>
            <w:tcW w:w="2120" w:type="dxa"/>
            <w:tcBorders>
              <w:top w:val="nil"/>
              <w:left w:val="nil"/>
              <w:bottom w:val="double" w:sz="6" w:space="2" w:color="auto"/>
              <w:right w:val="nil"/>
            </w:tcBorders>
            <w:vAlign w:val="bottom"/>
          </w:tcPr>
          <w:p w14:paraId="3379F9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95C236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EC628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3028A7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387F7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7DD2933" w14:textId="77777777" w:rsidTr="009501B5">
        <w:trPr>
          <w:trHeight w:hRule="exact" w:val="132"/>
        </w:trPr>
        <w:tc>
          <w:tcPr>
            <w:tcW w:w="2120" w:type="dxa"/>
            <w:tcBorders>
              <w:top w:val="nil"/>
              <w:left w:val="nil"/>
              <w:bottom w:val="nil"/>
              <w:right w:val="nil"/>
            </w:tcBorders>
            <w:vAlign w:val="bottom"/>
          </w:tcPr>
          <w:p w14:paraId="75CCA5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7030E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B581B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E1B77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ECC8A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0D8CC10" w14:textId="77777777" w:rsidTr="009501B5">
        <w:trPr>
          <w:trHeight w:val="220"/>
        </w:trPr>
        <w:tc>
          <w:tcPr>
            <w:tcW w:w="2120" w:type="dxa"/>
            <w:tcBorders>
              <w:top w:val="nil"/>
              <w:left w:val="nil"/>
              <w:bottom w:val="nil"/>
              <w:right w:val="nil"/>
            </w:tcBorders>
            <w:vAlign w:val="bottom"/>
          </w:tcPr>
          <w:p w14:paraId="2A826F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D(LPOR(-1))</w:t>
            </w:r>
          </w:p>
        </w:tc>
        <w:tc>
          <w:tcPr>
            <w:tcW w:w="1050" w:type="dxa"/>
            <w:tcBorders>
              <w:top w:val="nil"/>
              <w:left w:val="nil"/>
              <w:bottom w:val="nil"/>
              <w:right w:val="nil"/>
            </w:tcBorders>
            <w:vAlign w:val="bottom"/>
          </w:tcPr>
          <w:p w14:paraId="68F6CA2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-0.567377</w:t>
            </w:r>
          </w:p>
        </w:tc>
        <w:tc>
          <w:tcPr>
            <w:tcW w:w="1150" w:type="dxa"/>
            <w:tcBorders>
              <w:top w:val="nil"/>
              <w:left w:val="nil"/>
              <w:bottom w:val="nil"/>
              <w:right w:val="nil"/>
            </w:tcBorders>
            <w:vAlign w:val="bottom"/>
          </w:tcPr>
          <w:p w14:paraId="5EB5262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0.118504</w:t>
            </w:r>
          </w:p>
        </w:tc>
        <w:tc>
          <w:tcPr>
            <w:tcW w:w="1150" w:type="dxa"/>
            <w:tcBorders>
              <w:top w:val="nil"/>
              <w:left w:val="nil"/>
              <w:bottom w:val="nil"/>
              <w:right w:val="nil"/>
            </w:tcBorders>
            <w:vAlign w:val="bottom"/>
          </w:tcPr>
          <w:p w14:paraId="6686BCE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-4.787846</w:t>
            </w:r>
          </w:p>
        </w:tc>
        <w:tc>
          <w:tcPr>
            <w:tcW w:w="950" w:type="dxa"/>
            <w:tcBorders>
              <w:top w:val="nil"/>
              <w:left w:val="nil"/>
              <w:bottom w:val="nil"/>
              <w:right w:val="nil"/>
            </w:tcBorders>
            <w:vAlign w:val="bottom"/>
          </w:tcPr>
          <w:p w14:paraId="5A08DB7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41541CC6" w14:textId="77777777" w:rsidTr="009501B5">
        <w:trPr>
          <w:trHeight w:val="220"/>
        </w:trPr>
        <w:tc>
          <w:tcPr>
            <w:tcW w:w="2120" w:type="dxa"/>
            <w:tcBorders>
              <w:top w:val="nil"/>
              <w:left w:val="nil"/>
              <w:bottom w:val="nil"/>
              <w:right w:val="nil"/>
            </w:tcBorders>
            <w:vAlign w:val="bottom"/>
          </w:tcPr>
          <w:p w14:paraId="381935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3A1869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5.939768</w:t>
            </w:r>
          </w:p>
        </w:tc>
        <w:tc>
          <w:tcPr>
            <w:tcW w:w="1150" w:type="dxa"/>
            <w:tcBorders>
              <w:top w:val="nil"/>
              <w:left w:val="nil"/>
              <w:bottom w:val="nil"/>
              <w:right w:val="nil"/>
            </w:tcBorders>
            <w:vAlign w:val="bottom"/>
          </w:tcPr>
          <w:p w14:paraId="55A0323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1.352102</w:t>
            </w:r>
          </w:p>
        </w:tc>
        <w:tc>
          <w:tcPr>
            <w:tcW w:w="1150" w:type="dxa"/>
            <w:tcBorders>
              <w:top w:val="nil"/>
              <w:left w:val="nil"/>
              <w:bottom w:val="nil"/>
              <w:right w:val="nil"/>
            </w:tcBorders>
            <w:vAlign w:val="bottom"/>
          </w:tcPr>
          <w:p w14:paraId="7DB275A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4.392989</w:t>
            </w:r>
          </w:p>
        </w:tc>
        <w:tc>
          <w:tcPr>
            <w:tcW w:w="950" w:type="dxa"/>
            <w:tcBorders>
              <w:top w:val="nil"/>
              <w:left w:val="nil"/>
              <w:bottom w:val="nil"/>
              <w:right w:val="nil"/>
            </w:tcBorders>
            <w:vAlign w:val="bottom"/>
          </w:tcPr>
          <w:p w14:paraId="4257E7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0.0003</w:t>
            </w:r>
          </w:p>
        </w:tc>
      </w:tr>
      <w:tr w:rsidR="00EA38DE" w:rsidRPr="00EA38DE" w14:paraId="318D0291" w14:textId="77777777" w:rsidTr="009501B5">
        <w:trPr>
          <w:trHeight w:val="220"/>
        </w:trPr>
        <w:tc>
          <w:tcPr>
            <w:tcW w:w="2120" w:type="dxa"/>
            <w:tcBorders>
              <w:top w:val="nil"/>
              <w:left w:val="nil"/>
              <w:bottom w:val="nil"/>
              <w:right w:val="nil"/>
            </w:tcBorders>
            <w:vAlign w:val="bottom"/>
          </w:tcPr>
          <w:p w14:paraId="52E0BC0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D(LGR)</w:t>
            </w:r>
          </w:p>
        </w:tc>
        <w:tc>
          <w:tcPr>
            <w:tcW w:w="1050" w:type="dxa"/>
            <w:tcBorders>
              <w:top w:val="nil"/>
              <w:left w:val="nil"/>
              <w:bottom w:val="nil"/>
              <w:right w:val="nil"/>
            </w:tcBorders>
            <w:vAlign w:val="bottom"/>
          </w:tcPr>
          <w:p w14:paraId="129A72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-0.742997</w:t>
            </w:r>
          </w:p>
        </w:tc>
        <w:tc>
          <w:tcPr>
            <w:tcW w:w="1150" w:type="dxa"/>
            <w:tcBorders>
              <w:top w:val="nil"/>
              <w:left w:val="nil"/>
              <w:bottom w:val="nil"/>
              <w:right w:val="nil"/>
            </w:tcBorders>
            <w:vAlign w:val="bottom"/>
          </w:tcPr>
          <w:p w14:paraId="4A283C9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0.314499</w:t>
            </w:r>
          </w:p>
        </w:tc>
        <w:tc>
          <w:tcPr>
            <w:tcW w:w="1150" w:type="dxa"/>
            <w:tcBorders>
              <w:top w:val="nil"/>
              <w:left w:val="nil"/>
              <w:bottom w:val="nil"/>
              <w:right w:val="nil"/>
            </w:tcBorders>
            <w:vAlign w:val="bottom"/>
          </w:tcPr>
          <w:p w14:paraId="04A8883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-2.362481</w:t>
            </w:r>
          </w:p>
        </w:tc>
        <w:tc>
          <w:tcPr>
            <w:tcW w:w="950" w:type="dxa"/>
            <w:tcBorders>
              <w:top w:val="nil"/>
              <w:left w:val="nil"/>
              <w:bottom w:val="nil"/>
              <w:right w:val="nil"/>
            </w:tcBorders>
            <w:vAlign w:val="bottom"/>
          </w:tcPr>
          <w:p w14:paraId="507EF51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0.0279</w:t>
            </w:r>
          </w:p>
        </w:tc>
      </w:tr>
      <w:tr w:rsidR="00EA38DE" w:rsidRPr="00EA38DE" w14:paraId="67969849" w14:textId="77777777" w:rsidTr="009501B5">
        <w:trPr>
          <w:trHeight w:val="220"/>
        </w:trPr>
        <w:tc>
          <w:tcPr>
            <w:tcW w:w="2120" w:type="dxa"/>
            <w:tcBorders>
              <w:top w:val="nil"/>
              <w:left w:val="nil"/>
              <w:bottom w:val="nil"/>
              <w:right w:val="nil"/>
            </w:tcBorders>
            <w:vAlign w:val="bottom"/>
          </w:tcPr>
          <w:p w14:paraId="09A849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181E180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-0.427951</w:t>
            </w:r>
          </w:p>
        </w:tc>
        <w:tc>
          <w:tcPr>
            <w:tcW w:w="1150" w:type="dxa"/>
            <w:tcBorders>
              <w:top w:val="nil"/>
              <w:left w:val="nil"/>
              <w:bottom w:val="nil"/>
              <w:right w:val="nil"/>
            </w:tcBorders>
            <w:vAlign w:val="bottom"/>
          </w:tcPr>
          <w:p w14:paraId="558CC39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0.049127</w:t>
            </w:r>
          </w:p>
        </w:tc>
        <w:tc>
          <w:tcPr>
            <w:tcW w:w="1150" w:type="dxa"/>
            <w:tcBorders>
              <w:top w:val="nil"/>
              <w:left w:val="nil"/>
              <w:bottom w:val="nil"/>
              <w:right w:val="nil"/>
            </w:tcBorders>
            <w:vAlign w:val="bottom"/>
          </w:tcPr>
          <w:p w14:paraId="143987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-8.711180</w:t>
            </w:r>
          </w:p>
        </w:tc>
        <w:tc>
          <w:tcPr>
            <w:tcW w:w="950" w:type="dxa"/>
            <w:tcBorders>
              <w:top w:val="nil"/>
              <w:left w:val="nil"/>
              <w:bottom w:val="nil"/>
              <w:right w:val="nil"/>
            </w:tcBorders>
            <w:vAlign w:val="bottom"/>
          </w:tcPr>
          <w:p w14:paraId="7DFCD57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2FEC7F9B" w14:textId="77777777" w:rsidTr="009501B5">
        <w:trPr>
          <w:trHeight w:hRule="exact" w:val="88"/>
        </w:trPr>
        <w:tc>
          <w:tcPr>
            <w:tcW w:w="2120" w:type="dxa"/>
            <w:tcBorders>
              <w:top w:val="nil"/>
              <w:left w:val="nil"/>
              <w:bottom w:val="double" w:sz="6" w:space="2" w:color="auto"/>
              <w:right w:val="nil"/>
            </w:tcBorders>
            <w:vAlign w:val="bottom"/>
          </w:tcPr>
          <w:p w14:paraId="175D29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C0152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9B796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31470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22CE8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39C2ECA" w14:textId="77777777" w:rsidTr="009501B5">
        <w:trPr>
          <w:trHeight w:hRule="exact" w:val="132"/>
        </w:trPr>
        <w:tc>
          <w:tcPr>
            <w:tcW w:w="2120" w:type="dxa"/>
            <w:tcBorders>
              <w:top w:val="nil"/>
              <w:left w:val="nil"/>
              <w:bottom w:val="nil"/>
              <w:right w:val="nil"/>
            </w:tcBorders>
            <w:vAlign w:val="bottom"/>
          </w:tcPr>
          <w:p w14:paraId="1EE8237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AA480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3E21E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4B79A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29C5C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D8EB90F" w14:textId="77777777" w:rsidTr="009501B5">
        <w:trPr>
          <w:trHeight w:val="220"/>
        </w:trPr>
        <w:tc>
          <w:tcPr>
            <w:tcW w:w="2120" w:type="dxa"/>
            <w:tcBorders>
              <w:top w:val="nil"/>
              <w:left w:val="nil"/>
              <w:bottom w:val="nil"/>
              <w:right w:val="nil"/>
            </w:tcBorders>
            <w:vAlign w:val="bottom"/>
          </w:tcPr>
          <w:p w14:paraId="59BBE25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17E6DDC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0.756485</w:t>
            </w:r>
          </w:p>
        </w:tc>
        <w:tc>
          <w:tcPr>
            <w:tcW w:w="2300" w:type="dxa"/>
            <w:gridSpan w:val="2"/>
            <w:tcBorders>
              <w:top w:val="nil"/>
              <w:left w:val="nil"/>
              <w:bottom w:val="nil"/>
              <w:right w:val="nil"/>
            </w:tcBorders>
            <w:vAlign w:val="bottom"/>
          </w:tcPr>
          <w:p w14:paraId="0ED5E6C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3F03BDA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0.214193</w:t>
            </w:r>
          </w:p>
        </w:tc>
      </w:tr>
      <w:tr w:rsidR="00EA38DE" w:rsidRPr="00EA38DE" w14:paraId="054AA4A4" w14:textId="77777777" w:rsidTr="009501B5">
        <w:trPr>
          <w:trHeight w:val="220"/>
        </w:trPr>
        <w:tc>
          <w:tcPr>
            <w:tcW w:w="2120" w:type="dxa"/>
            <w:tcBorders>
              <w:top w:val="nil"/>
              <w:left w:val="nil"/>
              <w:bottom w:val="nil"/>
              <w:right w:val="nil"/>
            </w:tcBorders>
            <w:vAlign w:val="bottom"/>
          </w:tcPr>
          <w:p w14:paraId="375E39A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34D7C2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0.709655</w:t>
            </w:r>
          </w:p>
        </w:tc>
        <w:tc>
          <w:tcPr>
            <w:tcW w:w="2300" w:type="dxa"/>
            <w:gridSpan w:val="2"/>
            <w:tcBorders>
              <w:top w:val="nil"/>
              <w:left w:val="nil"/>
              <w:bottom w:val="nil"/>
              <w:right w:val="nil"/>
            </w:tcBorders>
            <w:vAlign w:val="bottom"/>
          </w:tcPr>
          <w:p w14:paraId="543EE70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0C326B4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0.435627</w:t>
            </w:r>
          </w:p>
        </w:tc>
      </w:tr>
      <w:tr w:rsidR="00EA38DE" w:rsidRPr="00EA38DE" w14:paraId="3F37D812" w14:textId="77777777" w:rsidTr="009501B5">
        <w:trPr>
          <w:trHeight w:val="220"/>
        </w:trPr>
        <w:tc>
          <w:tcPr>
            <w:tcW w:w="2120" w:type="dxa"/>
            <w:tcBorders>
              <w:top w:val="nil"/>
              <w:left w:val="nil"/>
              <w:bottom w:val="nil"/>
              <w:right w:val="nil"/>
            </w:tcBorders>
            <w:vAlign w:val="bottom"/>
          </w:tcPr>
          <w:p w14:paraId="1B9AE83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20CC63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0.234732</w:t>
            </w:r>
          </w:p>
        </w:tc>
        <w:tc>
          <w:tcPr>
            <w:tcW w:w="2300" w:type="dxa"/>
            <w:gridSpan w:val="2"/>
            <w:tcBorders>
              <w:top w:val="nil"/>
              <w:left w:val="nil"/>
              <w:bottom w:val="nil"/>
              <w:right w:val="nil"/>
            </w:tcBorders>
            <w:vAlign w:val="bottom"/>
          </w:tcPr>
          <w:p w14:paraId="5BFEAD9F"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5457968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0.106615</w:t>
            </w:r>
          </w:p>
        </w:tc>
      </w:tr>
      <w:tr w:rsidR="00EA38DE" w:rsidRPr="00EA38DE" w14:paraId="14022E30" w14:textId="77777777" w:rsidTr="009501B5">
        <w:trPr>
          <w:trHeight w:val="220"/>
        </w:trPr>
        <w:tc>
          <w:tcPr>
            <w:tcW w:w="2120" w:type="dxa"/>
            <w:tcBorders>
              <w:top w:val="nil"/>
              <w:left w:val="nil"/>
              <w:bottom w:val="nil"/>
              <w:right w:val="nil"/>
            </w:tcBorders>
            <w:vAlign w:val="bottom"/>
          </w:tcPr>
          <w:p w14:paraId="5C69087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4477E7C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1.432576</w:t>
            </w:r>
          </w:p>
        </w:tc>
        <w:tc>
          <w:tcPr>
            <w:tcW w:w="2300" w:type="dxa"/>
            <w:gridSpan w:val="2"/>
            <w:tcBorders>
              <w:top w:val="nil"/>
              <w:left w:val="nil"/>
              <w:bottom w:val="nil"/>
              <w:right w:val="nil"/>
            </w:tcBorders>
            <w:vAlign w:val="bottom"/>
          </w:tcPr>
          <w:p w14:paraId="47045A05"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0CFE54A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0.381441</w:t>
            </w:r>
          </w:p>
        </w:tc>
      </w:tr>
      <w:tr w:rsidR="00EA38DE" w:rsidRPr="00EA38DE" w14:paraId="6E22FE2F" w14:textId="77777777" w:rsidTr="009501B5">
        <w:trPr>
          <w:trHeight w:val="220"/>
        </w:trPr>
        <w:tc>
          <w:tcPr>
            <w:tcW w:w="2120" w:type="dxa"/>
            <w:tcBorders>
              <w:top w:val="nil"/>
              <w:left w:val="nil"/>
              <w:bottom w:val="nil"/>
              <w:right w:val="nil"/>
            </w:tcBorders>
            <w:vAlign w:val="bottom"/>
          </w:tcPr>
          <w:p w14:paraId="32B29EA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097D8E3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4.294155</w:t>
            </w:r>
          </w:p>
        </w:tc>
        <w:tc>
          <w:tcPr>
            <w:tcW w:w="2300" w:type="dxa"/>
            <w:gridSpan w:val="2"/>
            <w:tcBorders>
              <w:top w:val="nil"/>
              <w:left w:val="nil"/>
              <w:bottom w:val="nil"/>
              <w:right w:val="nil"/>
            </w:tcBorders>
            <w:vAlign w:val="bottom"/>
          </w:tcPr>
          <w:p w14:paraId="30C59F23"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2876BC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0.197712</w:t>
            </w:r>
          </w:p>
        </w:tc>
      </w:tr>
      <w:tr w:rsidR="00EA38DE" w:rsidRPr="00EA38DE" w14:paraId="19E8551F" w14:textId="77777777" w:rsidTr="009501B5">
        <w:trPr>
          <w:trHeight w:val="220"/>
        </w:trPr>
        <w:tc>
          <w:tcPr>
            <w:tcW w:w="2120" w:type="dxa"/>
            <w:tcBorders>
              <w:top w:val="nil"/>
              <w:left w:val="nil"/>
              <w:bottom w:val="nil"/>
              <w:right w:val="nil"/>
            </w:tcBorders>
            <w:vAlign w:val="bottom"/>
          </w:tcPr>
          <w:p w14:paraId="4F7E48F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3AC1D0D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2.327797</w:t>
            </w:r>
          </w:p>
        </w:tc>
        <w:tc>
          <w:tcPr>
            <w:tcW w:w="1150" w:type="dxa"/>
            <w:tcBorders>
              <w:top w:val="nil"/>
              <w:left w:val="nil"/>
              <w:bottom w:val="nil"/>
              <w:right w:val="nil"/>
            </w:tcBorders>
            <w:vAlign w:val="bottom"/>
          </w:tcPr>
          <w:p w14:paraId="3874DEC2"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7692837A"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6DCAD8B4"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3177F193" w14:textId="77777777" w:rsidTr="009501B5">
        <w:trPr>
          <w:trHeight w:hRule="exact" w:val="88"/>
        </w:trPr>
        <w:tc>
          <w:tcPr>
            <w:tcW w:w="2120" w:type="dxa"/>
            <w:tcBorders>
              <w:top w:val="nil"/>
              <w:left w:val="nil"/>
              <w:bottom w:val="double" w:sz="6" w:space="2" w:color="auto"/>
              <w:right w:val="nil"/>
            </w:tcBorders>
            <w:vAlign w:val="bottom"/>
          </w:tcPr>
          <w:p w14:paraId="011657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118A6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9BD90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859DF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AD611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8FA8102" w14:textId="77777777" w:rsidTr="009501B5">
        <w:trPr>
          <w:trHeight w:hRule="exact" w:val="132"/>
        </w:trPr>
        <w:tc>
          <w:tcPr>
            <w:tcW w:w="2120" w:type="dxa"/>
            <w:tcBorders>
              <w:top w:val="nil"/>
              <w:left w:val="nil"/>
              <w:bottom w:val="nil"/>
              <w:right w:val="nil"/>
            </w:tcBorders>
            <w:vAlign w:val="bottom"/>
          </w:tcPr>
          <w:p w14:paraId="617B67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6389E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515D3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164002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466DB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3733592" w14:textId="77777777" w:rsidTr="009501B5">
        <w:trPr>
          <w:trHeight w:val="220"/>
        </w:trPr>
        <w:tc>
          <w:tcPr>
            <w:tcW w:w="6420" w:type="dxa"/>
            <w:gridSpan w:val="5"/>
            <w:tcBorders>
              <w:top w:val="nil"/>
              <w:left w:val="nil"/>
              <w:bottom w:val="nil"/>
              <w:right w:val="nil"/>
            </w:tcBorders>
            <w:vAlign w:val="bottom"/>
          </w:tcPr>
          <w:p w14:paraId="6D341E1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3013F67C" w14:textId="77777777" w:rsidTr="009501B5">
        <w:trPr>
          <w:trHeight w:val="220"/>
        </w:trPr>
        <w:tc>
          <w:tcPr>
            <w:tcW w:w="2120" w:type="dxa"/>
            <w:tcBorders>
              <w:top w:val="nil"/>
              <w:left w:val="nil"/>
              <w:bottom w:val="nil"/>
              <w:right w:val="nil"/>
            </w:tcBorders>
            <w:vAlign w:val="bottom"/>
          </w:tcPr>
          <w:p w14:paraId="75DAD40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7047D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445F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41E02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E60BB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CCC7A09" w14:textId="77777777" w:rsidTr="009501B5">
        <w:trPr>
          <w:trHeight w:val="220"/>
        </w:trPr>
        <w:tc>
          <w:tcPr>
            <w:tcW w:w="2120" w:type="dxa"/>
            <w:tcBorders>
              <w:top w:val="nil"/>
              <w:left w:val="nil"/>
              <w:bottom w:val="nil"/>
              <w:right w:val="nil"/>
            </w:tcBorders>
            <w:vAlign w:val="bottom"/>
          </w:tcPr>
          <w:p w14:paraId="08E3CD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65A70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69DF8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55E56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F2801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673ECC3" w14:textId="77777777" w:rsidTr="009501B5">
        <w:trPr>
          <w:trHeight w:val="220"/>
        </w:trPr>
        <w:tc>
          <w:tcPr>
            <w:tcW w:w="3170" w:type="dxa"/>
            <w:gridSpan w:val="2"/>
            <w:tcBorders>
              <w:top w:val="nil"/>
              <w:left w:val="nil"/>
              <w:bottom w:val="nil"/>
              <w:right w:val="nil"/>
            </w:tcBorders>
            <w:vAlign w:val="bottom"/>
          </w:tcPr>
          <w:p w14:paraId="3B727C4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3216241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52DCE8FC" w14:textId="77777777" w:rsidTr="009501B5">
        <w:trPr>
          <w:trHeight w:hRule="exact" w:val="88"/>
        </w:trPr>
        <w:tc>
          <w:tcPr>
            <w:tcW w:w="2120" w:type="dxa"/>
            <w:tcBorders>
              <w:top w:val="nil"/>
              <w:left w:val="nil"/>
              <w:bottom w:val="double" w:sz="6" w:space="2" w:color="auto"/>
              <w:right w:val="nil"/>
            </w:tcBorders>
            <w:vAlign w:val="bottom"/>
          </w:tcPr>
          <w:p w14:paraId="784EBD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FBDF90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606E9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22715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07851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DD50F3C" w14:textId="77777777" w:rsidTr="009501B5">
        <w:trPr>
          <w:trHeight w:hRule="exact" w:val="132"/>
        </w:trPr>
        <w:tc>
          <w:tcPr>
            <w:tcW w:w="2120" w:type="dxa"/>
            <w:tcBorders>
              <w:top w:val="nil"/>
              <w:left w:val="nil"/>
              <w:bottom w:val="nil"/>
              <w:right w:val="nil"/>
            </w:tcBorders>
            <w:vAlign w:val="bottom"/>
          </w:tcPr>
          <w:p w14:paraId="7FE2DA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CF46A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7AFD6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FB3F1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55375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E6D045A" w14:textId="77777777" w:rsidTr="009501B5">
        <w:trPr>
          <w:trHeight w:val="220"/>
        </w:trPr>
        <w:tc>
          <w:tcPr>
            <w:tcW w:w="2120" w:type="dxa"/>
            <w:tcBorders>
              <w:top w:val="nil"/>
              <w:left w:val="nil"/>
              <w:bottom w:val="nil"/>
              <w:right w:val="nil"/>
            </w:tcBorders>
            <w:vAlign w:val="bottom"/>
          </w:tcPr>
          <w:p w14:paraId="51B657E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5B56E9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305BB48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49287CA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3143BB1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7E3AFF10" w14:textId="77777777" w:rsidTr="009501B5">
        <w:trPr>
          <w:trHeight w:hRule="exact" w:val="88"/>
        </w:trPr>
        <w:tc>
          <w:tcPr>
            <w:tcW w:w="2120" w:type="dxa"/>
            <w:tcBorders>
              <w:top w:val="nil"/>
              <w:left w:val="nil"/>
              <w:bottom w:val="double" w:sz="6" w:space="2" w:color="auto"/>
              <w:right w:val="nil"/>
            </w:tcBorders>
            <w:vAlign w:val="bottom"/>
          </w:tcPr>
          <w:p w14:paraId="074C9D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14329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88F1F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5AAEE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9892A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90B8C79" w14:textId="77777777" w:rsidTr="009501B5">
        <w:trPr>
          <w:trHeight w:hRule="exact" w:val="132"/>
        </w:trPr>
        <w:tc>
          <w:tcPr>
            <w:tcW w:w="2120" w:type="dxa"/>
            <w:tcBorders>
              <w:top w:val="nil"/>
              <w:left w:val="nil"/>
              <w:bottom w:val="nil"/>
              <w:right w:val="nil"/>
            </w:tcBorders>
            <w:vAlign w:val="bottom"/>
          </w:tcPr>
          <w:p w14:paraId="385802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3701A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EC340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37E87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82E73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D410F98" w14:textId="77777777" w:rsidTr="009501B5">
        <w:trPr>
          <w:trHeight w:val="220"/>
        </w:trPr>
        <w:tc>
          <w:tcPr>
            <w:tcW w:w="2120" w:type="dxa"/>
            <w:tcBorders>
              <w:top w:val="nil"/>
              <w:left w:val="nil"/>
              <w:bottom w:val="nil"/>
              <w:right w:val="nil"/>
            </w:tcBorders>
            <w:vAlign w:val="bottom"/>
          </w:tcPr>
          <w:p w14:paraId="2B18DCD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73DC16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10.21524</w:t>
            </w:r>
          </w:p>
        </w:tc>
        <w:tc>
          <w:tcPr>
            <w:tcW w:w="1150" w:type="dxa"/>
            <w:tcBorders>
              <w:top w:val="nil"/>
              <w:left w:val="nil"/>
              <w:bottom w:val="nil"/>
              <w:right w:val="nil"/>
            </w:tcBorders>
            <w:vAlign w:val="bottom"/>
          </w:tcPr>
          <w:p w14:paraId="5D494EB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605DD02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1.81</w:t>
            </w:r>
          </w:p>
        </w:tc>
        <w:tc>
          <w:tcPr>
            <w:tcW w:w="950" w:type="dxa"/>
            <w:tcBorders>
              <w:top w:val="nil"/>
              <w:left w:val="nil"/>
              <w:bottom w:val="nil"/>
              <w:right w:val="nil"/>
            </w:tcBorders>
            <w:vAlign w:val="bottom"/>
          </w:tcPr>
          <w:p w14:paraId="0A07EDF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2.93</w:t>
            </w:r>
          </w:p>
        </w:tc>
      </w:tr>
      <w:tr w:rsidR="00EA38DE" w:rsidRPr="00EA38DE" w14:paraId="29BAC04C" w14:textId="77777777" w:rsidTr="009501B5">
        <w:trPr>
          <w:trHeight w:val="220"/>
        </w:trPr>
        <w:tc>
          <w:tcPr>
            <w:tcW w:w="2120" w:type="dxa"/>
            <w:tcBorders>
              <w:top w:val="nil"/>
              <w:left w:val="nil"/>
              <w:bottom w:val="nil"/>
              <w:right w:val="nil"/>
            </w:tcBorders>
            <w:vAlign w:val="bottom"/>
          </w:tcPr>
          <w:p w14:paraId="7400258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44AC16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18FAC04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66AE370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2.14</w:t>
            </w:r>
          </w:p>
        </w:tc>
        <w:tc>
          <w:tcPr>
            <w:tcW w:w="950" w:type="dxa"/>
            <w:tcBorders>
              <w:top w:val="nil"/>
              <w:left w:val="nil"/>
              <w:bottom w:val="nil"/>
              <w:right w:val="nil"/>
            </w:tcBorders>
            <w:vAlign w:val="bottom"/>
          </w:tcPr>
          <w:p w14:paraId="448126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3.34</w:t>
            </w:r>
          </w:p>
        </w:tc>
      </w:tr>
      <w:tr w:rsidR="00EA38DE" w:rsidRPr="00EA38DE" w14:paraId="4E8C0037" w14:textId="77777777" w:rsidTr="009501B5">
        <w:trPr>
          <w:trHeight w:val="220"/>
        </w:trPr>
        <w:tc>
          <w:tcPr>
            <w:tcW w:w="2120" w:type="dxa"/>
            <w:tcBorders>
              <w:top w:val="nil"/>
              <w:left w:val="nil"/>
              <w:bottom w:val="nil"/>
              <w:right w:val="nil"/>
            </w:tcBorders>
            <w:vAlign w:val="bottom"/>
          </w:tcPr>
          <w:p w14:paraId="7C6FE9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C4D19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4DCF1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0B188F8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2.44</w:t>
            </w:r>
          </w:p>
        </w:tc>
        <w:tc>
          <w:tcPr>
            <w:tcW w:w="950" w:type="dxa"/>
            <w:tcBorders>
              <w:top w:val="nil"/>
              <w:left w:val="nil"/>
              <w:bottom w:val="nil"/>
              <w:right w:val="nil"/>
            </w:tcBorders>
            <w:vAlign w:val="bottom"/>
          </w:tcPr>
          <w:p w14:paraId="48465D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3.71</w:t>
            </w:r>
          </w:p>
        </w:tc>
      </w:tr>
      <w:tr w:rsidR="00EA38DE" w:rsidRPr="00EA38DE" w14:paraId="0F8F36B4" w14:textId="77777777" w:rsidTr="009501B5">
        <w:trPr>
          <w:trHeight w:val="220"/>
        </w:trPr>
        <w:tc>
          <w:tcPr>
            <w:tcW w:w="2120" w:type="dxa"/>
            <w:tcBorders>
              <w:top w:val="nil"/>
              <w:left w:val="nil"/>
              <w:bottom w:val="nil"/>
              <w:right w:val="nil"/>
            </w:tcBorders>
            <w:vAlign w:val="bottom"/>
          </w:tcPr>
          <w:p w14:paraId="6BF10D6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99C16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428CC0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7C28166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2.82</w:t>
            </w:r>
          </w:p>
        </w:tc>
        <w:tc>
          <w:tcPr>
            <w:tcW w:w="950" w:type="dxa"/>
            <w:tcBorders>
              <w:top w:val="nil"/>
              <w:left w:val="nil"/>
              <w:bottom w:val="nil"/>
              <w:right w:val="nil"/>
            </w:tcBorders>
            <w:vAlign w:val="bottom"/>
          </w:tcPr>
          <w:p w14:paraId="28EFB8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4.21</w:t>
            </w:r>
          </w:p>
        </w:tc>
      </w:tr>
      <w:tr w:rsidR="00EA38DE" w:rsidRPr="00EA38DE" w14:paraId="5B41603B" w14:textId="77777777" w:rsidTr="009501B5">
        <w:trPr>
          <w:trHeight w:hRule="exact" w:val="88"/>
        </w:trPr>
        <w:tc>
          <w:tcPr>
            <w:tcW w:w="2120" w:type="dxa"/>
            <w:tcBorders>
              <w:top w:val="nil"/>
              <w:left w:val="nil"/>
              <w:bottom w:val="double" w:sz="6" w:space="0" w:color="auto"/>
              <w:right w:val="nil"/>
            </w:tcBorders>
            <w:vAlign w:val="bottom"/>
          </w:tcPr>
          <w:p w14:paraId="04325D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1B3AB8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6B639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7DA24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56B43A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ACAE7A5" w14:textId="77777777" w:rsidTr="009501B5">
        <w:trPr>
          <w:trHeight w:hRule="exact" w:val="132"/>
        </w:trPr>
        <w:tc>
          <w:tcPr>
            <w:tcW w:w="2120" w:type="dxa"/>
            <w:tcBorders>
              <w:top w:val="nil"/>
              <w:left w:val="nil"/>
              <w:bottom w:val="nil"/>
              <w:right w:val="nil"/>
            </w:tcBorders>
            <w:vAlign w:val="bottom"/>
          </w:tcPr>
          <w:p w14:paraId="76159E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66A05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C60AD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3F775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75CB6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25254A7C" w14:textId="77777777" w:rsidR="003C6B00" w:rsidRPr="00EA38DE" w:rsidRDefault="003C6B00" w:rsidP="003C6B00">
      <w:r w:rsidRPr="00EA38DE">
        <w:rPr>
          <w:rFonts w:ascii="Arial" w:hAnsi="Arial" w:cs="Arial"/>
          <w:sz w:val="18"/>
          <w:szCs w:val="18"/>
        </w:rPr>
        <w:br/>
      </w:r>
    </w:p>
    <w:p w14:paraId="22A72A9A" w14:textId="77777777" w:rsidR="003C6B00" w:rsidRPr="00EA38DE" w:rsidRDefault="003C6B00" w:rsidP="003C6B00"/>
    <w:p w14:paraId="021A083A" w14:textId="77777777" w:rsidR="003C6B00" w:rsidRPr="00EA38DE" w:rsidRDefault="003C6B00" w:rsidP="003C6B00"/>
    <w:p w14:paraId="3BBA47FA" w14:textId="77777777" w:rsidR="003C6B00" w:rsidRPr="00EA38DE" w:rsidRDefault="003C6B00" w:rsidP="003C6B00"/>
    <w:p w14:paraId="7468106B" w14:textId="77777777" w:rsidR="003C6B00" w:rsidRPr="00EA38DE" w:rsidRDefault="003C6B00" w:rsidP="003C6B00"/>
    <w:p w14:paraId="574ADE78" w14:textId="77777777" w:rsidR="003C6B00" w:rsidRPr="00EA38DE" w:rsidRDefault="003C6B00" w:rsidP="003C6B00"/>
    <w:p w14:paraId="6E457656" w14:textId="77777777" w:rsidR="003C6B00" w:rsidRPr="00EA38DE" w:rsidRDefault="003C6B00" w:rsidP="003C6B00"/>
    <w:p w14:paraId="79D9ABC9" w14:textId="77777777" w:rsidR="003C6B00" w:rsidRPr="00EA38DE" w:rsidRDefault="003C6B00" w:rsidP="003C6B00"/>
    <w:p w14:paraId="36A4B229" w14:textId="77777777" w:rsidR="00C26BF7" w:rsidRPr="00EA38DE" w:rsidRDefault="00C26BF7" w:rsidP="003C6B00"/>
    <w:p w14:paraId="2EA0499D"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42EE3BE1" w14:textId="77777777" w:rsidTr="009501B5">
        <w:trPr>
          <w:trHeight w:val="220"/>
        </w:trPr>
        <w:tc>
          <w:tcPr>
            <w:tcW w:w="6420" w:type="dxa"/>
            <w:gridSpan w:val="5"/>
            <w:tcBorders>
              <w:top w:val="nil"/>
              <w:left w:val="nil"/>
              <w:bottom w:val="nil"/>
              <w:right w:val="nil"/>
            </w:tcBorders>
            <w:vAlign w:val="bottom"/>
          </w:tcPr>
          <w:p w14:paraId="5634CEC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ARDL Long Run Form and Bounds Test</w:t>
            </w:r>
          </w:p>
        </w:tc>
      </w:tr>
      <w:tr w:rsidR="00EA38DE" w:rsidRPr="00EA38DE" w14:paraId="7C7DFCEB" w14:textId="77777777" w:rsidTr="009501B5">
        <w:trPr>
          <w:trHeight w:val="220"/>
        </w:trPr>
        <w:tc>
          <w:tcPr>
            <w:tcW w:w="5470" w:type="dxa"/>
            <w:gridSpan w:val="4"/>
            <w:tcBorders>
              <w:top w:val="nil"/>
              <w:left w:val="nil"/>
              <w:bottom w:val="nil"/>
              <w:right w:val="nil"/>
            </w:tcBorders>
            <w:vAlign w:val="bottom"/>
          </w:tcPr>
          <w:p w14:paraId="487C036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D(LPOR)</w:t>
            </w:r>
          </w:p>
        </w:tc>
        <w:tc>
          <w:tcPr>
            <w:tcW w:w="950" w:type="dxa"/>
            <w:tcBorders>
              <w:top w:val="nil"/>
              <w:left w:val="nil"/>
              <w:bottom w:val="nil"/>
              <w:right w:val="nil"/>
            </w:tcBorders>
            <w:vAlign w:val="bottom"/>
          </w:tcPr>
          <w:p w14:paraId="589C3A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A2C4BB2" w14:textId="77777777" w:rsidTr="009501B5">
        <w:trPr>
          <w:trHeight w:val="220"/>
        </w:trPr>
        <w:tc>
          <w:tcPr>
            <w:tcW w:w="6420" w:type="dxa"/>
            <w:gridSpan w:val="5"/>
            <w:tcBorders>
              <w:top w:val="nil"/>
              <w:left w:val="nil"/>
              <w:bottom w:val="nil"/>
              <w:right w:val="nil"/>
            </w:tcBorders>
            <w:vAlign w:val="bottom"/>
          </w:tcPr>
          <w:p w14:paraId="085CC63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ARDL(2, 0, 0, 1, 3, 0)</w:t>
            </w:r>
          </w:p>
        </w:tc>
      </w:tr>
      <w:tr w:rsidR="00EA38DE" w:rsidRPr="00EA38DE" w14:paraId="5EECB059" w14:textId="77777777" w:rsidTr="009501B5">
        <w:trPr>
          <w:trHeight w:val="220"/>
        </w:trPr>
        <w:tc>
          <w:tcPr>
            <w:tcW w:w="6420" w:type="dxa"/>
            <w:gridSpan w:val="5"/>
            <w:tcBorders>
              <w:top w:val="nil"/>
              <w:left w:val="nil"/>
              <w:bottom w:val="nil"/>
              <w:right w:val="nil"/>
            </w:tcBorders>
            <w:vAlign w:val="bottom"/>
          </w:tcPr>
          <w:p w14:paraId="4060DC3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1: No Constant and No Trend</w:t>
            </w:r>
          </w:p>
        </w:tc>
      </w:tr>
      <w:tr w:rsidR="00EA38DE" w:rsidRPr="00EA38DE" w14:paraId="7FCB5CD1" w14:textId="77777777" w:rsidTr="009501B5">
        <w:trPr>
          <w:trHeight w:val="220"/>
        </w:trPr>
        <w:tc>
          <w:tcPr>
            <w:tcW w:w="5470" w:type="dxa"/>
            <w:gridSpan w:val="4"/>
            <w:tcBorders>
              <w:top w:val="nil"/>
              <w:left w:val="nil"/>
              <w:bottom w:val="nil"/>
              <w:right w:val="nil"/>
            </w:tcBorders>
            <w:vAlign w:val="bottom"/>
          </w:tcPr>
          <w:p w14:paraId="3936310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09:44</w:t>
            </w:r>
          </w:p>
        </w:tc>
        <w:tc>
          <w:tcPr>
            <w:tcW w:w="950" w:type="dxa"/>
            <w:tcBorders>
              <w:top w:val="nil"/>
              <w:left w:val="nil"/>
              <w:bottom w:val="nil"/>
              <w:right w:val="nil"/>
            </w:tcBorders>
            <w:vAlign w:val="bottom"/>
          </w:tcPr>
          <w:p w14:paraId="6F03CC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537D998" w14:textId="77777777" w:rsidTr="009501B5">
        <w:trPr>
          <w:trHeight w:val="220"/>
        </w:trPr>
        <w:tc>
          <w:tcPr>
            <w:tcW w:w="4320" w:type="dxa"/>
            <w:gridSpan w:val="3"/>
            <w:tcBorders>
              <w:top w:val="nil"/>
              <w:left w:val="nil"/>
              <w:bottom w:val="nil"/>
              <w:right w:val="nil"/>
            </w:tcBorders>
            <w:vAlign w:val="bottom"/>
          </w:tcPr>
          <w:p w14:paraId="37B4BA3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2B5950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C708F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248A458" w14:textId="77777777" w:rsidTr="009501B5">
        <w:trPr>
          <w:trHeight w:val="220"/>
        </w:trPr>
        <w:tc>
          <w:tcPr>
            <w:tcW w:w="5470" w:type="dxa"/>
            <w:gridSpan w:val="4"/>
            <w:tcBorders>
              <w:top w:val="nil"/>
              <w:left w:val="nil"/>
              <w:bottom w:val="nil"/>
              <w:right w:val="nil"/>
            </w:tcBorders>
            <w:vAlign w:val="bottom"/>
          </w:tcPr>
          <w:p w14:paraId="6AA35FA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189975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22B4662" w14:textId="77777777" w:rsidTr="009501B5">
        <w:trPr>
          <w:trHeight w:hRule="exact" w:val="88"/>
        </w:trPr>
        <w:tc>
          <w:tcPr>
            <w:tcW w:w="2120" w:type="dxa"/>
            <w:tcBorders>
              <w:top w:val="nil"/>
              <w:left w:val="nil"/>
              <w:bottom w:val="double" w:sz="6" w:space="2" w:color="auto"/>
              <w:right w:val="nil"/>
            </w:tcBorders>
            <w:vAlign w:val="bottom"/>
          </w:tcPr>
          <w:p w14:paraId="47D5954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7CC2E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F251F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E4451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DF885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68EF920" w14:textId="77777777" w:rsidTr="009501B5">
        <w:trPr>
          <w:trHeight w:hRule="exact" w:val="132"/>
        </w:trPr>
        <w:tc>
          <w:tcPr>
            <w:tcW w:w="2120" w:type="dxa"/>
            <w:tcBorders>
              <w:top w:val="nil"/>
              <w:left w:val="nil"/>
              <w:bottom w:val="nil"/>
              <w:right w:val="nil"/>
            </w:tcBorders>
            <w:vAlign w:val="bottom"/>
          </w:tcPr>
          <w:p w14:paraId="6137EF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9F469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06EA6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00413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77D22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A6115CD" w14:textId="77777777" w:rsidTr="009501B5">
        <w:trPr>
          <w:trHeight w:val="220"/>
        </w:trPr>
        <w:tc>
          <w:tcPr>
            <w:tcW w:w="6420" w:type="dxa"/>
            <w:gridSpan w:val="5"/>
            <w:tcBorders>
              <w:top w:val="nil"/>
              <w:left w:val="nil"/>
              <w:bottom w:val="nil"/>
              <w:right w:val="nil"/>
            </w:tcBorders>
            <w:vAlign w:val="bottom"/>
          </w:tcPr>
          <w:p w14:paraId="25F81C4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5B6D4852" w14:textId="77777777" w:rsidTr="009501B5">
        <w:trPr>
          <w:trHeight w:hRule="exact" w:val="88"/>
        </w:trPr>
        <w:tc>
          <w:tcPr>
            <w:tcW w:w="2120" w:type="dxa"/>
            <w:tcBorders>
              <w:top w:val="nil"/>
              <w:left w:val="nil"/>
              <w:bottom w:val="double" w:sz="6" w:space="2" w:color="auto"/>
              <w:right w:val="nil"/>
            </w:tcBorders>
            <w:vAlign w:val="bottom"/>
          </w:tcPr>
          <w:p w14:paraId="398E1C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BEF3C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3FBFB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4F41E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45351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BE0C018" w14:textId="77777777" w:rsidTr="009501B5">
        <w:trPr>
          <w:trHeight w:hRule="exact" w:val="132"/>
        </w:trPr>
        <w:tc>
          <w:tcPr>
            <w:tcW w:w="2120" w:type="dxa"/>
            <w:tcBorders>
              <w:top w:val="nil"/>
              <w:left w:val="nil"/>
              <w:bottom w:val="nil"/>
              <w:right w:val="nil"/>
            </w:tcBorders>
            <w:vAlign w:val="bottom"/>
          </w:tcPr>
          <w:p w14:paraId="0A7C5C6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FF214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4FD72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A29AB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B9846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012FEBA" w14:textId="77777777" w:rsidTr="009501B5">
        <w:trPr>
          <w:trHeight w:val="220"/>
        </w:trPr>
        <w:tc>
          <w:tcPr>
            <w:tcW w:w="2120" w:type="dxa"/>
            <w:tcBorders>
              <w:top w:val="nil"/>
              <w:left w:val="nil"/>
              <w:bottom w:val="nil"/>
              <w:right w:val="nil"/>
            </w:tcBorders>
            <w:vAlign w:val="bottom"/>
          </w:tcPr>
          <w:p w14:paraId="78365D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58B05F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014B1F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39FE0E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6280BE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1224F55B" w14:textId="77777777" w:rsidTr="009501B5">
        <w:trPr>
          <w:trHeight w:hRule="exact" w:val="88"/>
        </w:trPr>
        <w:tc>
          <w:tcPr>
            <w:tcW w:w="2120" w:type="dxa"/>
            <w:tcBorders>
              <w:top w:val="nil"/>
              <w:left w:val="nil"/>
              <w:bottom w:val="double" w:sz="6" w:space="2" w:color="auto"/>
              <w:right w:val="nil"/>
            </w:tcBorders>
            <w:vAlign w:val="bottom"/>
          </w:tcPr>
          <w:p w14:paraId="73C2E7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7327A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68BE2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F6EB7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591B6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0F5ECB0" w14:textId="77777777" w:rsidTr="009501B5">
        <w:trPr>
          <w:trHeight w:hRule="exact" w:val="132"/>
        </w:trPr>
        <w:tc>
          <w:tcPr>
            <w:tcW w:w="2120" w:type="dxa"/>
            <w:tcBorders>
              <w:top w:val="nil"/>
              <w:left w:val="nil"/>
              <w:bottom w:val="nil"/>
              <w:right w:val="nil"/>
            </w:tcBorders>
            <w:vAlign w:val="bottom"/>
          </w:tcPr>
          <w:p w14:paraId="2EE54C7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DB287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50834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6D79B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86C61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9D11245" w14:textId="77777777" w:rsidTr="009501B5">
        <w:trPr>
          <w:trHeight w:val="220"/>
        </w:trPr>
        <w:tc>
          <w:tcPr>
            <w:tcW w:w="2120" w:type="dxa"/>
            <w:tcBorders>
              <w:top w:val="nil"/>
              <w:left w:val="nil"/>
              <w:bottom w:val="nil"/>
              <w:right w:val="nil"/>
            </w:tcBorders>
            <w:vAlign w:val="bottom"/>
          </w:tcPr>
          <w:p w14:paraId="1585CD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LPOR(-1)*</w:t>
            </w:r>
          </w:p>
        </w:tc>
        <w:tc>
          <w:tcPr>
            <w:tcW w:w="1050" w:type="dxa"/>
            <w:tcBorders>
              <w:top w:val="nil"/>
              <w:left w:val="nil"/>
              <w:bottom w:val="nil"/>
              <w:right w:val="nil"/>
            </w:tcBorders>
            <w:vAlign w:val="bottom"/>
          </w:tcPr>
          <w:p w14:paraId="4933AA0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-0.427951</w:t>
            </w:r>
          </w:p>
        </w:tc>
        <w:tc>
          <w:tcPr>
            <w:tcW w:w="1150" w:type="dxa"/>
            <w:tcBorders>
              <w:top w:val="nil"/>
              <w:left w:val="nil"/>
              <w:bottom w:val="nil"/>
              <w:right w:val="nil"/>
            </w:tcBorders>
            <w:vAlign w:val="bottom"/>
          </w:tcPr>
          <w:p w14:paraId="5E0E8F8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0.089761</w:t>
            </w:r>
          </w:p>
        </w:tc>
        <w:tc>
          <w:tcPr>
            <w:tcW w:w="1150" w:type="dxa"/>
            <w:tcBorders>
              <w:top w:val="nil"/>
              <w:left w:val="nil"/>
              <w:bottom w:val="nil"/>
              <w:right w:val="nil"/>
            </w:tcBorders>
            <w:vAlign w:val="bottom"/>
          </w:tcPr>
          <w:p w14:paraId="6FA434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-4.767656</w:t>
            </w:r>
          </w:p>
        </w:tc>
        <w:tc>
          <w:tcPr>
            <w:tcW w:w="950" w:type="dxa"/>
            <w:tcBorders>
              <w:top w:val="nil"/>
              <w:left w:val="nil"/>
              <w:bottom w:val="nil"/>
              <w:right w:val="nil"/>
            </w:tcBorders>
            <w:vAlign w:val="bottom"/>
          </w:tcPr>
          <w:p w14:paraId="0973C8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20FE4ED9" w14:textId="77777777" w:rsidTr="009501B5">
        <w:trPr>
          <w:trHeight w:val="220"/>
        </w:trPr>
        <w:tc>
          <w:tcPr>
            <w:tcW w:w="2120" w:type="dxa"/>
            <w:tcBorders>
              <w:top w:val="nil"/>
              <w:left w:val="nil"/>
              <w:bottom w:val="nil"/>
              <w:right w:val="nil"/>
            </w:tcBorders>
            <w:vAlign w:val="bottom"/>
          </w:tcPr>
          <w:p w14:paraId="24B6C6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LFSH**</w:t>
            </w:r>
          </w:p>
        </w:tc>
        <w:tc>
          <w:tcPr>
            <w:tcW w:w="1050" w:type="dxa"/>
            <w:tcBorders>
              <w:top w:val="nil"/>
              <w:left w:val="nil"/>
              <w:bottom w:val="nil"/>
              <w:right w:val="nil"/>
            </w:tcBorders>
            <w:vAlign w:val="bottom"/>
          </w:tcPr>
          <w:p w14:paraId="12D974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-0.190775</w:t>
            </w:r>
          </w:p>
        </w:tc>
        <w:tc>
          <w:tcPr>
            <w:tcW w:w="1150" w:type="dxa"/>
            <w:tcBorders>
              <w:top w:val="nil"/>
              <w:left w:val="nil"/>
              <w:bottom w:val="nil"/>
              <w:right w:val="nil"/>
            </w:tcBorders>
            <w:vAlign w:val="bottom"/>
          </w:tcPr>
          <w:p w14:paraId="3B5E36B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0.564696</w:t>
            </w:r>
          </w:p>
        </w:tc>
        <w:tc>
          <w:tcPr>
            <w:tcW w:w="1150" w:type="dxa"/>
            <w:tcBorders>
              <w:top w:val="nil"/>
              <w:left w:val="nil"/>
              <w:bottom w:val="nil"/>
              <w:right w:val="nil"/>
            </w:tcBorders>
            <w:vAlign w:val="bottom"/>
          </w:tcPr>
          <w:p w14:paraId="2866D05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-0.337837</w:t>
            </w:r>
          </w:p>
        </w:tc>
        <w:tc>
          <w:tcPr>
            <w:tcW w:w="950" w:type="dxa"/>
            <w:tcBorders>
              <w:top w:val="nil"/>
              <w:left w:val="nil"/>
              <w:bottom w:val="nil"/>
              <w:right w:val="nil"/>
            </w:tcBorders>
            <w:vAlign w:val="bottom"/>
          </w:tcPr>
          <w:p w14:paraId="0B5398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0.7388</w:t>
            </w:r>
          </w:p>
        </w:tc>
      </w:tr>
      <w:tr w:rsidR="00EA38DE" w:rsidRPr="00EA38DE" w14:paraId="645D0306" w14:textId="77777777" w:rsidTr="009501B5">
        <w:trPr>
          <w:trHeight w:val="220"/>
        </w:trPr>
        <w:tc>
          <w:tcPr>
            <w:tcW w:w="2120" w:type="dxa"/>
            <w:tcBorders>
              <w:top w:val="nil"/>
              <w:left w:val="nil"/>
              <w:bottom w:val="nil"/>
              <w:right w:val="nil"/>
            </w:tcBorders>
            <w:vAlign w:val="bottom"/>
          </w:tcPr>
          <w:p w14:paraId="57239F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0CBABFF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0.007106</w:t>
            </w:r>
          </w:p>
        </w:tc>
        <w:tc>
          <w:tcPr>
            <w:tcW w:w="1150" w:type="dxa"/>
            <w:tcBorders>
              <w:top w:val="nil"/>
              <w:left w:val="nil"/>
              <w:bottom w:val="nil"/>
              <w:right w:val="nil"/>
            </w:tcBorders>
            <w:vAlign w:val="bottom"/>
          </w:tcPr>
          <w:p w14:paraId="7363D03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0.005892</w:t>
            </w:r>
          </w:p>
        </w:tc>
        <w:tc>
          <w:tcPr>
            <w:tcW w:w="1150" w:type="dxa"/>
            <w:tcBorders>
              <w:top w:val="nil"/>
              <w:left w:val="nil"/>
              <w:bottom w:val="nil"/>
              <w:right w:val="nil"/>
            </w:tcBorders>
            <w:vAlign w:val="bottom"/>
          </w:tcPr>
          <w:p w14:paraId="57375AC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1.205922</w:t>
            </w:r>
          </w:p>
        </w:tc>
        <w:tc>
          <w:tcPr>
            <w:tcW w:w="950" w:type="dxa"/>
            <w:tcBorders>
              <w:top w:val="nil"/>
              <w:left w:val="nil"/>
              <w:bottom w:val="nil"/>
              <w:right w:val="nil"/>
            </w:tcBorders>
            <w:vAlign w:val="bottom"/>
          </w:tcPr>
          <w:p w14:paraId="01A2F9F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0.2413</w:t>
            </w:r>
          </w:p>
        </w:tc>
      </w:tr>
      <w:tr w:rsidR="00EA38DE" w:rsidRPr="00EA38DE" w14:paraId="6FCC1BB4" w14:textId="77777777" w:rsidTr="009501B5">
        <w:trPr>
          <w:trHeight w:val="220"/>
        </w:trPr>
        <w:tc>
          <w:tcPr>
            <w:tcW w:w="2120" w:type="dxa"/>
            <w:tcBorders>
              <w:top w:val="nil"/>
              <w:left w:val="nil"/>
              <w:bottom w:val="nil"/>
              <w:right w:val="nil"/>
            </w:tcBorders>
            <w:vAlign w:val="bottom"/>
          </w:tcPr>
          <w:p w14:paraId="5F49EC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LLAB(-1)</w:t>
            </w:r>
          </w:p>
        </w:tc>
        <w:tc>
          <w:tcPr>
            <w:tcW w:w="1050" w:type="dxa"/>
            <w:tcBorders>
              <w:top w:val="nil"/>
              <w:left w:val="nil"/>
              <w:bottom w:val="nil"/>
              <w:right w:val="nil"/>
            </w:tcBorders>
            <w:vAlign w:val="bottom"/>
          </w:tcPr>
          <w:p w14:paraId="31F5537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0.347249</w:t>
            </w:r>
          </w:p>
        </w:tc>
        <w:tc>
          <w:tcPr>
            <w:tcW w:w="1150" w:type="dxa"/>
            <w:tcBorders>
              <w:top w:val="nil"/>
              <w:left w:val="nil"/>
              <w:bottom w:val="nil"/>
              <w:right w:val="nil"/>
            </w:tcBorders>
            <w:vAlign w:val="bottom"/>
          </w:tcPr>
          <w:p w14:paraId="2B90822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0.607618</w:t>
            </w:r>
          </w:p>
        </w:tc>
        <w:tc>
          <w:tcPr>
            <w:tcW w:w="1150" w:type="dxa"/>
            <w:tcBorders>
              <w:top w:val="nil"/>
              <w:left w:val="nil"/>
              <w:bottom w:val="nil"/>
              <w:right w:val="nil"/>
            </w:tcBorders>
            <w:vAlign w:val="bottom"/>
          </w:tcPr>
          <w:p w14:paraId="61DEF92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0.571492</w:t>
            </w:r>
          </w:p>
        </w:tc>
        <w:tc>
          <w:tcPr>
            <w:tcW w:w="950" w:type="dxa"/>
            <w:tcBorders>
              <w:top w:val="nil"/>
              <w:left w:val="nil"/>
              <w:bottom w:val="nil"/>
              <w:right w:val="nil"/>
            </w:tcBorders>
            <w:vAlign w:val="bottom"/>
          </w:tcPr>
          <w:p w14:paraId="420909D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0.5737</w:t>
            </w:r>
          </w:p>
        </w:tc>
      </w:tr>
      <w:tr w:rsidR="00EA38DE" w:rsidRPr="00EA38DE" w14:paraId="5F5AB3C7" w14:textId="77777777" w:rsidTr="009501B5">
        <w:trPr>
          <w:trHeight w:val="220"/>
        </w:trPr>
        <w:tc>
          <w:tcPr>
            <w:tcW w:w="2120" w:type="dxa"/>
            <w:tcBorders>
              <w:top w:val="nil"/>
              <w:left w:val="nil"/>
              <w:bottom w:val="nil"/>
              <w:right w:val="nil"/>
            </w:tcBorders>
            <w:vAlign w:val="bottom"/>
          </w:tcPr>
          <w:p w14:paraId="044FBF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0284AFC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-0.058355</w:t>
            </w:r>
          </w:p>
        </w:tc>
        <w:tc>
          <w:tcPr>
            <w:tcW w:w="1150" w:type="dxa"/>
            <w:tcBorders>
              <w:top w:val="nil"/>
              <w:left w:val="nil"/>
              <w:bottom w:val="nil"/>
              <w:right w:val="nil"/>
            </w:tcBorders>
            <w:vAlign w:val="bottom"/>
          </w:tcPr>
          <w:p w14:paraId="3757B2C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0.058854</w:t>
            </w:r>
          </w:p>
        </w:tc>
        <w:tc>
          <w:tcPr>
            <w:tcW w:w="1150" w:type="dxa"/>
            <w:tcBorders>
              <w:top w:val="nil"/>
              <w:left w:val="nil"/>
              <w:bottom w:val="nil"/>
              <w:right w:val="nil"/>
            </w:tcBorders>
            <w:vAlign w:val="bottom"/>
          </w:tcPr>
          <w:p w14:paraId="3A72DF4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-0.991518</w:t>
            </w:r>
          </w:p>
        </w:tc>
        <w:tc>
          <w:tcPr>
            <w:tcW w:w="950" w:type="dxa"/>
            <w:tcBorders>
              <w:top w:val="nil"/>
              <w:left w:val="nil"/>
              <w:bottom w:val="nil"/>
              <w:right w:val="nil"/>
            </w:tcBorders>
            <w:vAlign w:val="bottom"/>
          </w:tcPr>
          <w:p w14:paraId="63EB925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0.3327</w:t>
            </w:r>
          </w:p>
        </w:tc>
      </w:tr>
      <w:tr w:rsidR="00EA38DE" w:rsidRPr="00EA38DE" w14:paraId="6450B139" w14:textId="77777777" w:rsidTr="009501B5">
        <w:trPr>
          <w:trHeight w:val="220"/>
        </w:trPr>
        <w:tc>
          <w:tcPr>
            <w:tcW w:w="2120" w:type="dxa"/>
            <w:tcBorders>
              <w:top w:val="nil"/>
              <w:left w:val="nil"/>
              <w:bottom w:val="nil"/>
              <w:right w:val="nil"/>
            </w:tcBorders>
            <w:vAlign w:val="bottom"/>
          </w:tcPr>
          <w:p w14:paraId="35AFC9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D(LPOR(-1))</w:t>
            </w:r>
          </w:p>
        </w:tc>
        <w:tc>
          <w:tcPr>
            <w:tcW w:w="1050" w:type="dxa"/>
            <w:tcBorders>
              <w:top w:val="nil"/>
              <w:left w:val="nil"/>
              <w:bottom w:val="nil"/>
              <w:right w:val="nil"/>
            </w:tcBorders>
            <w:vAlign w:val="bottom"/>
          </w:tcPr>
          <w:p w14:paraId="33DC09F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-0.567377</w:t>
            </w:r>
          </w:p>
        </w:tc>
        <w:tc>
          <w:tcPr>
            <w:tcW w:w="1150" w:type="dxa"/>
            <w:tcBorders>
              <w:top w:val="nil"/>
              <w:left w:val="nil"/>
              <w:bottom w:val="nil"/>
              <w:right w:val="nil"/>
            </w:tcBorders>
            <w:vAlign w:val="bottom"/>
          </w:tcPr>
          <w:p w14:paraId="1B7737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0.159229</w:t>
            </w:r>
          </w:p>
        </w:tc>
        <w:tc>
          <w:tcPr>
            <w:tcW w:w="1150" w:type="dxa"/>
            <w:tcBorders>
              <w:top w:val="nil"/>
              <w:left w:val="nil"/>
              <w:bottom w:val="nil"/>
              <w:right w:val="nil"/>
            </w:tcBorders>
            <w:vAlign w:val="bottom"/>
          </w:tcPr>
          <w:p w14:paraId="479AE88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-3.563285</w:t>
            </w:r>
          </w:p>
        </w:tc>
        <w:tc>
          <w:tcPr>
            <w:tcW w:w="950" w:type="dxa"/>
            <w:tcBorders>
              <w:top w:val="nil"/>
              <w:left w:val="nil"/>
              <w:bottom w:val="nil"/>
              <w:right w:val="nil"/>
            </w:tcBorders>
            <w:vAlign w:val="bottom"/>
          </w:tcPr>
          <w:p w14:paraId="1CD64CE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0.0018</w:t>
            </w:r>
          </w:p>
        </w:tc>
      </w:tr>
      <w:tr w:rsidR="00EA38DE" w:rsidRPr="00EA38DE" w14:paraId="77FE8B14" w14:textId="77777777" w:rsidTr="009501B5">
        <w:trPr>
          <w:trHeight w:val="220"/>
        </w:trPr>
        <w:tc>
          <w:tcPr>
            <w:tcW w:w="2120" w:type="dxa"/>
            <w:tcBorders>
              <w:top w:val="nil"/>
              <w:left w:val="nil"/>
              <w:bottom w:val="nil"/>
              <w:right w:val="nil"/>
            </w:tcBorders>
            <w:vAlign w:val="bottom"/>
          </w:tcPr>
          <w:p w14:paraId="06ABD5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091F5B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5.939768</w:t>
            </w:r>
          </w:p>
        </w:tc>
        <w:tc>
          <w:tcPr>
            <w:tcW w:w="1150" w:type="dxa"/>
            <w:tcBorders>
              <w:top w:val="nil"/>
              <w:left w:val="nil"/>
              <w:bottom w:val="nil"/>
              <w:right w:val="nil"/>
            </w:tcBorders>
            <w:vAlign w:val="bottom"/>
          </w:tcPr>
          <w:p w14:paraId="131833C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2.813029</w:t>
            </w:r>
          </w:p>
        </w:tc>
        <w:tc>
          <w:tcPr>
            <w:tcW w:w="1150" w:type="dxa"/>
            <w:tcBorders>
              <w:top w:val="nil"/>
              <w:left w:val="nil"/>
              <w:bottom w:val="nil"/>
              <w:right w:val="nil"/>
            </w:tcBorders>
            <w:vAlign w:val="bottom"/>
          </w:tcPr>
          <w:p w14:paraId="228633D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2.111520</w:t>
            </w:r>
          </w:p>
        </w:tc>
        <w:tc>
          <w:tcPr>
            <w:tcW w:w="950" w:type="dxa"/>
            <w:tcBorders>
              <w:top w:val="nil"/>
              <w:left w:val="nil"/>
              <w:bottom w:val="nil"/>
              <w:right w:val="nil"/>
            </w:tcBorders>
            <w:vAlign w:val="bottom"/>
          </w:tcPr>
          <w:p w14:paraId="118009A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0.0469</w:t>
            </w:r>
          </w:p>
        </w:tc>
      </w:tr>
      <w:tr w:rsidR="00EA38DE" w:rsidRPr="00EA38DE" w14:paraId="6A9F7B40" w14:textId="77777777" w:rsidTr="009501B5">
        <w:trPr>
          <w:trHeight w:hRule="exact" w:val="88"/>
        </w:trPr>
        <w:tc>
          <w:tcPr>
            <w:tcW w:w="2120" w:type="dxa"/>
            <w:tcBorders>
              <w:top w:val="nil"/>
              <w:left w:val="nil"/>
              <w:bottom w:val="double" w:sz="6" w:space="2" w:color="auto"/>
              <w:right w:val="nil"/>
            </w:tcBorders>
            <w:vAlign w:val="bottom"/>
          </w:tcPr>
          <w:p w14:paraId="7B2A68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4F579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83DB5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25CA2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6C33A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2C648D7" w14:textId="77777777" w:rsidTr="009501B5">
        <w:trPr>
          <w:trHeight w:hRule="exact" w:val="132"/>
        </w:trPr>
        <w:tc>
          <w:tcPr>
            <w:tcW w:w="2120" w:type="dxa"/>
            <w:tcBorders>
              <w:top w:val="nil"/>
              <w:left w:val="nil"/>
              <w:bottom w:val="nil"/>
              <w:right w:val="nil"/>
            </w:tcBorders>
            <w:vAlign w:val="bottom"/>
          </w:tcPr>
          <w:p w14:paraId="03482E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3346A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CF262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9BE02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97619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74E03A8" w14:textId="77777777" w:rsidTr="009501B5">
        <w:trPr>
          <w:trHeight w:val="220"/>
        </w:trPr>
        <w:tc>
          <w:tcPr>
            <w:tcW w:w="6420" w:type="dxa"/>
            <w:gridSpan w:val="5"/>
            <w:tcBorders>
              <w:top w:val="nil"/>
              <w:left w:val="nil"/>
              <w:bottom w:val="nil"/>
              <w:right w:val="nil"/>
            </w:tcBorders>
            <w:vAlign w:val="bottom"/>
          </w:tcPr>
          <w:p w14:paraId="6BE5507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021F9A3C" w14:textId="77777777" w:rsidTr="009501B5">
        <w:trPr>
          <w:trHeight w:val="220"/>
        </w:trPr>
        <w:tc>
          <w:tcPr>
            <w:tcW w:w="6420" w:type="dxa"/>
            <w:gridSpan w:val="5"/>
            <w:tcBorders>
              <w:top w:val="nil"/>
              <w:left w:val="nil"/>
              <w:bottom w:val="nil"/>
              <w:right w:val="nil"/>
            </w:tcBorders>
            <w:vAlign w:val="bottom"/>
          </w:tcPr>
          <w:p w14:paraId="66EF370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Variable interpreted as Z = Z(-1) + D(Z).</w:t>
            </w:r>
          </w:p>
        </w:tc>
      </w:tr>
      <w:tr w:rsidR="00EA38DE" w:rsidRPr="00EA38DE" w14:paraId="355C961D" w14:textId="77777777" w:rsidTr="009501B5">
        <w:trPr>
          <w:trHeight w:val="220"/>
        </w:trPr>
        <w:tc>
          <w:tcPr>
            <w:tcW w:w="2120" w:type="dxa"/>
            <w:tcBorders>
              <w:top w:val="nil"/>
              <w:left w:val="nil"/>
              <w:bottom w:val="nil"/>
              <w:right w:val="nil"/>
            </w:tcBorders>
            <w:vAlign w:val="bottom"/>
          </w:tcPr>
          <w:p w14:paraId="116C9F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F254D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50B2D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8E6A9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3FA53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E9DCD4A" w14:textId="77777777" w:rsidTr="009501B5">
        <w:trPr>
          <w:trHeight w:hRule="exact" w:val="88"/>
        </w:trPr>
        <w:tc>
          <w:tcPr>
            <w:tcW w:w="2120" w:type="dxa"/>
            <w:tcBorders>
              <w:top w:val="nil"/>
              <w:left w:val="nil"/>
              <w:bottom w:val="double" w:sz="6" w:space="2" w:color="auto"/>
              <w:right w:val="nil"/>
            </w:tcBorders>
            <w:vAlign w:val="bottom"/>
          </w:tcPr>
          <w:p w14:paraId="3BF798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48FEE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C079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30CDB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F5082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B5BC8E4" w14:textId="77777777" w:rsidTr="009501B5">
        <w:trPr>
          <w:trHeight w:hRule="exact" w:val="132"/>
        </w:trPr>
        <w:tc>
          <w:tcPr>
            <w:tcW w:w="2120" w:type="dxa"/>
            <w:tcBorders>
              <w:top w:val="nil"/>
              <w:left w:val="nil"/>
              <w:bottom w:val="nil"/>
              <w:right w:val="nil"/>
            </w:tcBorders>
            <w:vAlign w:val="bottom"/>
          </w:tcPr>
          <w:p w14:paraId="26D94F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9C8BD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511F4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CDDDD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67B82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1A98750" w14:textId="77777777" w:rsidTr="009501B5">
        <w:trPr>
          <w:trHeight w:val="220"/>
        </w:trPr>
        <w:tc>
          <w:tcPr>
            <w:tcW w:w="6420" w:type="dxa"/>
            <w:gridSpan w:val="5"/>
            <w:tcBorders>
              <w:top w:val="nil"/>
              <w:left w:val="nil"/>
              <w:bottom w:val="nil"/>
              <w:right w:val="nil"/>
            </w:tcBorders>
            <w:vAlign w:val="bottom"/>
          </w:tcPr>
          <w:p w14:paraId="3B36D5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0F8BF173" w14:textId="77777777" w:rsidTr="009501B5">
        <w:trPr>
          <w:trHeight w:val="220"/>
        </w:trPr>
        <w:tc>
          <w:tcPr>
            <w:tcW w:w="6420" w:type="dxa"/>
            <w:gridSpan w:val="5"/>
            <w:tcBorders>
              <w:top w:val="nil"/>
              <w:left w:val="nil"/>
              <w:bottom w:val="nil"/>
              <w:right w:val="nil"/>
            </w:tcBorders>
            <w:vAlign w:val="bottom"/>
          </w:tcPr>
          <w:p w14:paraId="1FB8CC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1: No Constant and No Trend</w:t>
            </w:r>
          </w:p>
        </w:tc>
      </w:tr>
      <w:tr w:rsidR="00EA38DE" w:rsidRPr="00EA38DE" w14:paraId="63DD7B45" w14:textId="77777777" w:rsidTr="009501B5">
        <w:trPr>
          <w:trHeight w:hRule="exact" w:val="88"/>
        </w:trPr>
        <w:tc>
          <w:tcPr>
            <w:tcW w:w="2120" w:type="dxa"/>
            <w:tcBorders>
              <w:top w:val="nil"/>
              <w:left w:val="nil"/>
              <w:bottom w:val="double" w:sz="6" w:space="2" w:color="auto"/>
              <w:right w:val="nil"/>
            </w:tcBorders>
            <w:vAlign w:val="bottom"/>
          </w:tcPr>
          <w:p w14:paraId="06BA93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EB5D3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078E9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9943F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755DB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A88D2BB" w14:textId="77777777" w:rsidTr="009501B5">
        <w:trPr>
          <w:trHeight w:hRule="exact" w:val="132"/>
        </w:trPr>
        <w:tc>
          <w:tcPr>
            <w:tcW w:w="2120" w:type="dxa"/>
            <w:tcBorders>
              <w:top w:val="nil"/>
              <w:left w:val="nil"/>
              <w:bottom w:val="nil"/>
              <w:right w:val="nil"/>
            </w:tcBorders>
            <w:vAlign w:val="bottom"/>
          </w:tcPr>
          <w:p w14:paraId="42CEEA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70026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BE420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9CC67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1A463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C33C0F" w14:textId="77777777" w:rsidTr="009501B5">
        <w:trPr>
          <w:trHeight w:val="220"/>
        </w:trPr>
        <w:tc>
          <w:tcPr>
            <w:tcW w:w="2120" w:type="dxa"/>
            <w:tcBorders>
              <w:top w:val="nil"/>
              <w:left w:val="nil"/>
              <w:bottom w:val="nil"/>
              <w:right w:val="nil"/>
            </w:tcBorders>
            <w:vAlign w:val="bottom"/>
          </w:tcPr>
          <w:p w14:paraId="3E0905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B16C1D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331742C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1E6A895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7822AFE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5569479F" w14:textId="77777777" w:rsidTr="009501B5">
        <w:trPr>
          <w:trHeight w:hRule="exact" w:val="88"/>
        </w:trPr>
        <w:tc>
          <w:tcPr>
            <w:tcW w:w="2120" w:type="dxa"/>
            <w:tcBorders>
              <w:top w:val="nil"/>
              <w:left w:val="nil"/>
              <w:bottom w:val="double" w:sz="6" w:space="2" w:color="auto"/>
              <w:right w:val="nil"/>
            </w:tcBorders>
            <w:vAlign w:val="bottom"/>
          </w:tcPr>
          <w:p w14:paraId="0DE3F1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CA645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1B690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3DA06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E2B12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811ADE1" w14:textId="77777777" w:rsidTr="009501B5">
        <w:trPr>
          <w:trHeight w:hRule="exact" w:val="132"/>
        </w:trPr>
        <w:tc>
          <w:tcPr>
            <w:tcW w:w="2120" w:type="dxa"/>
            <w:tcBorders>
              <w:top w:val="nil"/>
              <w:left w:val="nil"/>
              <w:bottom w:val="nil"/>
              <w:right w:val="nil"/>
            </w:tcBorders>
            <w:vAlign w:val="bottom"/>
          </w:tcPr>
          <w:p w14:paraId="42ED75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AB443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090E8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407D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F1307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B7AF303" w14:textId="77777777" w:rsidTr="009501B5">
        <w:trPr>
          <w:trHeight w:val="220"/>
        </w:trPr>
        <w:tc>
          <w:tcPr>
            <w:tcW w:w="2120" w:type="dxa"/>
            <w:tcBorders>
              <w:top w:val="nil"/>
              <w:left w:val="nil"/>
              <w:bottom w:val="nil"/>
              <w:right w:val="nil"/>
            </w:tcBorders>
            <w:vAlign w:val="bottom"/>
          </w:tcPr>
          <w:p w14:paraId="694868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LFSH</w:t>
            </w:r>
          </w:p>
        </w:tc>
        <w:tc>
          <w:tcPr>
            <w:tcW w:w="1050" w:type="dxa"/>
            <w:tcBorders>
              <w:top w:val="nil"/>
              <w:left w:val="nil"/>
              <w:bottom w:val="nil"/>
              <w:right w:val="nil"/>
            </w:tcBorders>
            <w:vAlign w:val="bottom"/>
          </w:tcPr>
          <w:p w14:paraId="19D185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-0.445787</w:t>
            </w:r>
          </w:p>
        </w:tc>
        <w:tc>
          <w:tcPr>
            <w:tcW w:w="1150" w:type="dxa"/>
            <w:tcBorders>
              <w:top w:val="nil"/>
              <w:left w:val="nil"/>
              <w:bottom w:val="nil"/>
              <w:right w:val="nil"/>
            </w:tcBorders>
            <w:vAlign w:val="bottom"/>
          </w:tcPr>
          <w:p w14:paraId="15FE42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1.327489</w:t>
            </w:r>
          </w:p>
        </w:tc>
        <w:tc>
          <w:tcPr>
            <w:tcW w:w="1150" w:type="dxa"/>
            <w:tcBorders>
              <w:top w:val="nil"/>
              <w:left w:val="nil"/>
              <w:bottom w:val="nil"/>
              <w:right w:val="nil"/>
            </w:tcBorders>
            <w:vAlign w:val="bottom"/>
          </w:tcPr>
          <w:p w14:paraId="564CEA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-0.335812</w:t>
            </w:r>
          </w:p>
        </w:tc>
        <w:tc>
          <w:tcPr>
            <w:tcW w:w="950" w:type="dxa"/>
            <w:tcBorders>
              <w:top w:val="nil"/>
              <w:left w:val="nil"/>
              <w:bottom w:val="nil"/>
              <w:right w:val="nil"/>
            </w:tcBorders>
            <w:vAlign w:val="bottom"/>
          </w:tcPr>
          <w:p w14:paraId="5FB9F1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0.7403</w:t>
            </w:r>
          </w:p>
        </w:tc>
      </w:tr>
      <w:tr w:rsidR="00EA38DE" w:rsidRPr="00EA38DE" w14:paraId="0E08A41C" w14:textId="77777777" w:rsidTr="009501B5">
        <w:trPr>
          <w:trHeight w:val="220"/>
        </w:trPr>
        <w:tc>
          <w:tcPr>
            <w:tcW w:w="2120" w:type="dxa"/>
            <w:tcBorders>
              <w:top w:val="nil"/>
              <w:left w:val="nil"/>
              <w:bottom w:val="nil"/>
              <w:right w:val="nil"/>
            </w:tcBorders>
            <w:vAlign w:val="bottom"/>
          </w:tcPr>
          <w:p w14:paraId="36C9AB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71CEFA1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0.016604</w:t>
            </w:r>
          </w:p>
        </w:tc>
        <w:tc>
          <w:tcPr>
            <w:tcW w:w="1150" w:type="dxa"/>
            <w:tcBorders>
              <w:top w:val="nil"/>
              <w:left w:val="nil"/>
              <w:bottom w:val="nil"/>
              <w:right w:val="nil"/>
            </w:tcBorders>
            <w:vAlign w:val="bottom"/>
          </w:tcPr>
          <w:p w14:paraId="2C5CD1D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0.015458</w:t>
            </w:r>
          </w:p>
        </w:tc>
        <w:tc>
          <w:tcPr>
            <w:tcW w:w="1150" w:type="dxa"/>
            <w:tcBorders>
              <w:top w:val="nil"/>
              <w:left w:val="nil"/>
              <w:bottom w:val="nil"/>
              <w:right w:val="nil"/>
            </w:tcBorders>
            <w:vAlign w:val="bottom"/>
          </w:tcPr>
          <w:p w14:paraId="7FEB199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1.074133</w:t>
            </w:r>
          </w:p>
        </w:tc>
        <w:tc>
          <w:tcPr>
            <w:tcW w:w="950" w:type="dxa"/>
            <w:tcBorders>
              <w:top w:val="nil"/>
              <w:left w:val="nil"/>
              <w:bottom w:val="nil"/>
              <w:right w:val="nil"/>
            </w:tcBorders>
            <w:vAlign w:val="bottom"/>
          </w:tcPr>
          <w:p w14:paraId="7942AD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0.2950</w:t>
            </w:r>
          </w:p>
        </w:tc>
      </w:tr>
      <w:tr w:rsidR="00EA38DE" w:rsidRPr="00EA38DE" w14:paraId="3E6B3E45" w14:textId="77777777" w:rsidTr="009501B5">
        <w:trPr>
          <w:trHeight w:val="220"/>
        </w:trPr>
        <w:tc>
          <w:tcPr>
            <w:tcW w:w="2120" w:type="dxa"/>
            <w:tcBorders>
              <w:top w:val="nil"/>
              <w:left w:val="nil"/>
              <w:bottom w:val="nil"/>
              <w:right w:val="nil"/>
            </w:tcBorders>
            <w:vAlign w:val="bottom"/>
          </w:tcPr>
          <w:p w14:paraId="7C8C8E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373D034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0.811421</w:t>
            </w:r>
          </w:p>
        </w:tc>
        <w:tc>
          <w:tcPr>
            <w:tcW w:w="1150" w:type="dxa"/>
            <w:tcBorders>
              <w:top w:val="nil"/>
              <w:left w:val="nil"/>
              <w:bottom w:val="nil"/>
              <w:right w:val="nil"/>
            </w:tcBorders>
            <w:vAlign w:val="bottom"/>
          </w:tcPr>
          <w:p w14:paraId="3AB3C82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1.432209</w:t>
            </w:r>
          </w:p>
        </w:tc>
        <w:tc>
          <w:tcPr>
            <w:tcW w:w="1150" w:type="dxa"/>
            <w:tcBorders>
              <w:top w:val="nil"/>
              <w:left w:val="nil"/>
              <w:bottom w:val="nil"/>
              <w:right w:val="nil"/>
            </w:tcBorders>
            <w:vAlign w:val="bottom"/>
          </w:tcPr>
          <w:p w14:paraId="1E1383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0.566552</w:t>
            </w:r>
          </w:p>
        </w:tc>
        <w:tc>
          <w:tcPr>
            <w:tcW w:w="950" w:type="dxa"/>
            <w:tcBorders>
              <w:top w:val="nil"/>
              <w:left w:val="nil"/>
              <w:bottom w:val="nil"/>
              <w:right w:val="nil"/>
            </w:tcBorders>
            <w:vAlign w:val="bottom"/>
          </w:tcPr>
          <w:p w14:paraId="6DAA6ED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0.5770</w:t>
            </w:r>
          </w:p>
        </w:tc>
      </w:tr>
      <w:tr w:rsidR="00EA38DE" w:rsidRPr="00EA38DE" w14:paraId="45399EDC" w14:textId="77777777" w:rsidTr="009501B5">
        <w:trPr>
          <w:trHeight w:val="220"/>
        </w:trPr>
        <w:tc>
          <w:tcPr>
            <w:tcW w:w="2120" w:type="dxa"/>
            <w:tcBorders>
              <w:top w:val="nil"/>
              <w:left w:val="nil"/>
              <w:bottom w:val="nil"/>
              <w:right w:val="nil"/>
            </w:tcBorders>
            <w:vAlign w:val="bottom"/>
          </w:tcPr>
          <w:p w14:paraId="3340A2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51B356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-0.136358</w:t>
            </w:r>
          </w:p>
        </w:tc>
        <w:tc>
          <w:tcPr>
            <w:tcW w:w="1150" w:type="dxa"/>
            <w:tcBorders>
              <w:top w:val="nil"/>
              <w:left w:val="nil"/>
              <w:bottom w:val="nil"/>
              <w:right w:val="nil"/>
            </w:tcBorders>
            <w:vAlign w:val="bottom"/>
          </w:tcPr>
          <w:p w14:paraId="680E96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0.141849</w:t>
            </w:r>
          </w:p>
        </w:tc>
        <w:tc>
          <w:tcPr>
            <w:tcW w:w="1150" w:type="dxa"/>
            <w:tcBorders>
              <w:top w:val="nil"/>
              <w:left w:val="nil"/>
              <w:bottom w:val="nil"/>
              <w:right w:val="nil"/>
            </w:tcBorders>
            <w:vAlign w:val="bottom"/>
          </w:tcPr>
          <w:p w14:paraId="12AA17C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-0.961288</w:t>
            </w:r>
          </w:p>
        </w:tc>
        <w:tc>
          <w:tcPr>
            <w:tcW w:w="950" w:type="dxa"/>
            <w:tcBorders>
              <w:top w:val="nil"/>
              <w:left w:val="nil"/>
              <w:bottom w:val="nil"/>
              <w:right w:val="nil"/>
            </w:tcBorders>
            <w:vAlign w:val="bottom"/>
          </w:tcPr>
          <w:p w14:paraId="225F833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0.3473</w:t>
            </w:r>
          </w:p>
        </w:tc>
      </w:tr>
      <w:tr w:rsidR="00EA38DE" w:rsidRPr="00EA38DE" w14:paraId="0F5B9999" w14:textId="77777777" w:rsidTr="009501B5">
        <w:trPr>
          <w:trHeight w:hRule="exact" w:val="88"/>
        </w:trPr>
        <w:tc>
          <w:tcPr>
            <w:tcW w:w="2120" w:type="dxa"/>
            <w:tcBorders>
              <w:top w:val="nil"/>
              <w:left w:val="nil"/>
              <w:bottom w:val="double" w:sz="6" w:space="2" w:color="auto"/>
              <w:right w:val="nil"/>
            </w:tcBorders>
            <w:vAlign w:val="bottom"/>
          </w:tcPr>
          <w:p w14:paraId="4E903B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E47BF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178FA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92F54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7CB5A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F5E73F" w14:textId="77777777" w:rsidTr="009501B5">
        <w:trPr>
          <w:trHeight w:hRule="exact" w:val="132"/>
        </w:trPr>
        <w:tc>
          <w:tcPr>
            <w:tcW w:w="2120" w:type="dxa"/>
            <w:tcBorders>
              <w:top w:val="nil"/>
              <w:left w:val="nil"/>
              <w:bottom w:val="nil"/>
              <w:right w:val="nil"/>
            </w:tcBorders>
            <w:vAlign w:val="bottom"/>
          </w:tcPr>
          <w:p w14:paraId="482045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92253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4FBEE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000CC7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9B125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69F177D" w14:textId="77777777" w:rsidTr="009501B5">
        <w:trPr>
          <w:trHeight w:val="220"/>
        </w:trPr>
        <w:tc>
          <w:tcPr>
            <w:tcW w:w="6420" w:type="dxa"/>
            <w:gridSpan w:val="5"/>
            <w:tcBorders>
              <w:top w:val="nil"/>
              <w:left w:val="nil"/>
              <w:bottom w:val="nil"/>
              <w:right w:val="nil"/>
            </w:tcBorders>
            <w:vAlign w:val="bottom"/>
          </w:tcPr>
          <w:p w14:paraId="63B5202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LPOR - (-0.4458*LFSH + 0.0166*IFR + 0.8114*LLAB + 2.5840*LGR  </w:t>
            </w:r>
          </w:p>
        </w:tc>
      </w:tr>
      <w:tr w:rsidR="00EA38DE" w:rsidRPr="00EA38DE" w14:paraId="7F30B746" w14:textId="77777777" w:rsidTr="009501B5">
        <w:trPr>
          <w:trHeight w:val="220"/>
        </w:trPr>
        <w:tc>
          <w:tcPr>
            <w:tcW w:w="5470" w:type="dxa"/>
            <w:gridSpan w:val="4"/>
            <w:tcBorders>
              <w:top w:val="nil"/>
              <w:left w:val="nil"/>
              <w:bottom w:val="nil"/>
              <w:right w:val="nil"/>
            </w:tcBorders>
            <w:vAlign w:val="bottom"/>
          </w:tcPr>
          <w:p w14:paraId="1054ED6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-0.1364*TRF )</w:t>
            </w:r>
          </w:p>
        </w:tc>
        <w:tc>
          <w:tcPr>
            <w:tcW w:w="950" w:type="dxa"/>
            <w:tcBorders>
              <w:top w:val="nil"/>
              <w:left w:val="nil"/>
              <w:bottom w:val="nil"/>
              <w:right w:val="nil"/>
            </w:tcBorders>
            <w:vAlign w:val="bottom"/>
          </w:tcPr>
          <w:p w14:paraId="25245D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3E36F19" w14:textId="77777777" w:rsidTr="009501B5">
        <w:trPr>
          <w:trHeight w:hRule="exact" w:val="88"/>
        </w:trPr>
        <w:tc>
          <w:tcPr>
            <w:tcW w:w="2120" w:type="dxa"/>
            <w:tcBorders>
              <w:top w:val="nil"/>
              <w:left w:val="nil"/>
              <w:bottom w:val="double" w:sz="6" w:space="0" w:color="auto"/>
              <w:right w:val="nil"/>
            </w:tcBorders>
            <w:vAlign w:val="bottom"/>
          </w:tcPr>
          <w:p w14:paraId="0AF405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4E763B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8C531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00ACC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295097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03C26C3" w14:textId="77777777" w:rsidTr="009501B5">
        <w:trPr>
          <w:trHeight w:hRule="exact" w:val="132"/>
        </w:trPr>
        <w:tc>
          <w:tcPr>
            <w:tcW w:w="2120" w:type="dxa"/>
            <w:tcBorders>
              <w:top w:val="nil"/>
              <w:left w:val="nil"/>
              <w:bottom w:val="nil"/>
              <w:right w:val="nil"/>
            </w:tcBorders>
            <w:vAlign w:val="bottom"/>
          </w:tcPr>
          <w:p w14:paraId="1729CF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A10DF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44E14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711A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81CB4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5EA7D810" w14:textId="77777777" w:rsidR="003C6B00" w:rsidRPr="00EA38DE" w:rsidRDefault="003C6B00" w:rsidP="003C6B00">
      <w:r w:rsidRPr="00EA38DE">
        <w:rPr>
          <w:rFonts w:ascii="Arial" w:hAnsi="Arial" w:cs="Arial"/>
          <w:sz w:val="18"/>
          <w:szCs w:val="18"/>
        </w:rPr>
        <w:br/>
      </w:r>
    </w:p>
    <w:p w14:paraId="6818B3C1" w14:textId="77777777" w:rsidR="003C6B00" w:rsidRPr="00EA38DE" w:rsidRDefault="003C6B00" w:rsidP="003C6B00"/>
    <w:p w14:paraId="16B4DA11" w14:textId="77777777" w:rsidR="003C6B00" w:rsidRPr="00EA38DE" w:rsidRDefault="003C6B00" w:rsidP="003C6B00"/>
    <w:p w14:paraId="331E87AE" w14:textId="77777777" w:rsidR="003C6B00" w:rsidRPr="00EA38DE" w:rsidRDefault="003C6B00" w:rsidP="003C6B00"/>
    <w:p w14:paraId="3547FF52" w14:textId="77777777" w:rsidR="003C6B00" w:rsidRPr="00EA38DE" w:rsidRDefault="003C6B00" w:rsidP="003C6B00"/>
    <w:p w14:paraId="261AAFDA" w14:textId="77777777" w:rsidR="003C6B00" w:rsidRPr="00EA38DE" w:rsidRDefault="003C6B00" w:rsidP="003C6B00"/>
    <w:p w14:paraId="68D90779" w14:textId="77777777" w:rsidR="003C6B00" w:rsidRPr="00EA38DE" w:rsidRDefault="003C6B00" w:rsidP="003C6B00"/>
    <w:p w14:paraId="0DF337B1" w14:textId="77777777" w:rsidR="00C26BF7" w:rsidRPr="00EA38DE" w:rsidRDefault="00C26BF7" w:rsidP="003C6B00"/>
    <w:p w14:paraId="55BF7B7E" w14:textId="77777777" w:rsidR="00C26BF7" w:rsidRPr="00EA38DE" w:rsidRDefault="00C26BF7" w:rsidP="003C6B00"/>
    <w:p w14:paraId="22C76CDF" w14:textId="77777777" w:rsidR="00C26BF7" w:rsidRPr="00EA38DE" w:rsidRDefault="00C26BF7" w:rsidP="003C6B00"/>
    <w:p w14:paraId="69009F85"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5FBB7EF7" w14:textId="77777777" w:rsidTr="009501B5">
        <w:trPr>
          <w:trHeight w:val="220"/>
        </w:trPr>
        <w:tc>
          <w:tcPr>
            <w:tcW w:w="6420" w:type="dxa"/>
            <w:gridSpan w:val="5"/>
            <w:tcBorders>
              <w:top w:val="nil"/>
              <w:left w:val="nil"/>
              <w:bottom w:val="nil"/>
              <w:right w:val="nil"/>
            </w:tcBorders>
            <w:vAlign w:val="bottom"/>
          </w:tcPr>
          <w:p w14:paraId="57F4A71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3450CEFE" w14:textId="77777777" w:rsidTr="009501B5">
        <w:trPr>
          <w:trHeight w:val="220"/>
        </w:trPr>
        <w:tc>
          <w:tcPr>
            <w:tcW w:w="5470" w:type="dxa"/>
            <w:gridSpan w:val="4"/>
            <w:tcBorders>
              <w:top w:val="nil"/>
              <w:left w:val="nil"/>
              <w:bottom w:val="nil"/>
              <w:right w:val="nil"/>
            </w:tcBorders>
            <w:vAlign w:val="bottom"/>
          </w:tcPr>
          <w:p w14:paraId="3702A08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D(LCTP)</w:t>
            </w:r>
          </w:p>
        </w:tc>
        <w:tc>
          <w:tcPr>
            <w:tcW w:w="950" w:type="dxa"/>
            <w:tcBorders>
              <w:top w:val="nil"/>
              <w:left w:val="nil"/>
              <w:bottom w:val="nil"/>
              <w:right w:val="nil"/>
            </w:tcBorders>
            <w:vAlign w:val="bottom"/>
          </w:tcPr>
          <w:p w14:paraId="7AD40F0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4C918C3" w14:textId="77777777" w:rsidTr="009501B5">
        <w:trPr>
          <w:trHeight w:val="220"/>
        </w:trPr>
        <w:tc>
          <w:tcPr>
            <w:tcW w:w="6420" w:type="dxa"/>
            <w:gridSpan w:val="5"/>
            <w:tcBorders>
              <w:top w:val="nil"/>
              <w:left w:val="nil"/>
              <w:bottom w:val="nil"/>
              <w:right w:val="nil"/>
            </w:tcBorders>
            <w:vAlign w:val="bottom"/>
          </w:tcPr>
          <w:p w14:paraId="1B21A52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1, 1, 1, 1, 1)</w:t>
            </w:r>
          </w:p>
        </w:tc>
      </w:tr>
      <w:tr w:rsidR="00EA38DE" w:rsidRPr="00EA38DE" w14:paraId="4C82DB3F" w14:textId="77777777" w:rsidTr="009501B5">
        <w:trPr>
          <w:trHeight w:val="220"/>
        </w:trPr>
        <w:tc>
          <w:tcPr>
            <w:tcW w:w="6420" w:type="dxa"/>
            <w:gridSpan w:val="5"/>
            <w:tcBorders>
              <w:top w:val="nil"/>
              <w:left w:val="nil"/>
              <w:bottom w:val="nil"/>
              <w:right w:val="nil"/>
            </w:tcBorders>
            <w:vAlign w:val="bottom"/>
          </w:tcPr>
          <w:p w14:paraId="61C7E40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176573AE" w14:textId="77777777" w:rsidTr="009501B5">
        <w:trPr>
          <w:trHeight w:val="220"/>
        </w:trPr>
        <w:tc>
          <w:tcPr>
            <w:tcW w:w="5470" w:type="dxa"/>
            <w:gridSpan w:val="4"/>
            <w:tcBorders>
              <w:top w:val="nil"/>
              <w:left w:val="nil"/>
              <w:bottom w:val="nil"/>
              <w:right w:val="nil"/>
            </w:tcBorders>
            <w:vAlign w:val="bottom"/>
          </w:tcPr>
          <w:p w14:paraId="5321D46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09:51</w:t>
            </w:r>
          </w:p>
        </w:tc>
        <w:tc>
          <w:tcPr>
            <w:tcW w:w="950" w:type="dxa"/>
            <w:tcBorders>
              <w:top w:val="nil"/>
              <w:left w:val="nil"/>
              <w:bottom w:val="nil"/>
              <w:right w:val="nil"/>
            </w:tcBorders>
            <w:vAlign w:val="bottom"/>
          </w:tcPr>
          <w:p w14:paraId="53DE6F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E92071" w14:textId="77777777" w:rsidTr="009501B5">
        <w:trPr>
          <w:trHeight w:val="220"/>
        </w:trPr>
        <w:tc>
          <w:tcPr>
            <w:tcW w:w="4320" w:type="dxa"/>
            <w:gridSpan w:val="3"/>
            <w:tcBorders>
              <w:top w:val="nil"/>
              <w:left w:val="nil"/>
              <w:bottom w:val="nil"/>
              <w:right w:val="nil"/>
            </w:tcBorders>
            <w:vAlign w:val="bottom"/>
          </w:tcPr>
          <w:p w14:paraId="2A138DD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4B352A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1A68F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773EAF" w14:textId="77777777" w:rsidTr="009501B5">
        <w:trPr>
          <w:trHeight w:val="220"/>
        </w:trPr>
        <w:tc>
          <w:tcPr>
            <w:tcW w:w="5470" w:type="dxa"/>
            <w:gridSpan w:val="4"/>
            <w:tcBorders>
              <w:top w:val="nil"/>
              <w:left w:val="nil"/>
              <w:bottom w:val="nil"/>
              <w:right w:val="nil"/>
            </w:tcBorders>
            <w:vAlign w:val="bottom"/>
          </w:tcPr>
          <w:p w14:paraId="738E7A1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34</w:t>
            </w:r>
          </w:p>
        </w:tc>
        <w:tc>
          <w:tcPr>
            <w:tcW w:w="950" w:type="dxa"/>
            <w:tcBorders>
              <w:top w:val="nil"/>
              <w:left w:val="nil"/>
              <w:bottom w:val="nil"/>
              <w:right w:val="nil"/>
            </w:tcBorders>
            <w:vAlign w:val="bottom"/>
          </w:tcPr>
          <w:p w14:paraId="3BEFE6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FF9FE64" w14:textId="77777777" w:rsidTr="009501B5">
        <w:trPr>
          <w:trHeight w:hRule="exact" w:val="88"/>
        </w:trPr>
        <w:tc>
          <w:tcPr>
            <w:tcW w:w="2120" w:type="dxa"/>
            <w:tcBorders>
              <w:top w:val="nil"/>
              <w:left w:val="nil"/>
              <w:bottom w:val="double" w:sz="6" w:space="2" w:color="auto"/>
              <w:right w:val="nil"/>
            </w:tcBorders>
            <w:vAlign w:val="bottom"/>
          </w:tcPr>
          <w:p w14:paraId="62ACC0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85FE5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1FFC4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C1444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08D83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E1163D" w14:textId="77777777" w:rsidTr="009501B5">
        <w:trPr>
          <w:trHeight w:hRule="exact" w:val="132"/>
        </w:trPr>
        <w:tc>
          <w:tcPr>
            <w:tcW w:w="2120" w:type="dxa"/>
            <w:tcBorders>
              <w:top w:val="nil"/>
              <w:left w:val="nil"/>
              <w:bottom w:val="nil"/>
              <w:right w:val="nil"/>
            </w:tcBorders>
            <w:vAlign w:val="bottom"/>
          </w:tcPr>
          <w:p w14:paraId="34A134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75A45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3BA6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4700B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96B21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A05A9A2" w14:textId="77777777" w:rsidTr="009501B5">
        <w:trPr>
          <w:trHeight w:val="220"/>
        </w:trPr>
        <w:tc>
          <w:tcPr>
            <w:tcW w:w="6420" w:type="dxa"/>
            <w:gridSpan w:val="5"/>
            <w:tcBorders>
              <w:top w:val="nil"/>
              <w:left w:val="nil"/>
              <w:bottom w:val="nil"/>
              <w:right w:val="nil"/>
            </w:tcBorders>
            <w:vAlign w:val="bottom"/>
          </w:tcPr>
          <w:p w14:paraId="3F1F2C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3A44EF62" w14:textId="77777777" w:rsidTr="009501B5">
        <w:trPr>
          <w:trHeight w:val="220"/>
        </w:trPr>
        <w:tc>
          <w:tcPr>
            <w:tcW w:w="6420" w:type="dxa"/>
            <w:gridSpan w:val="5"/>
            <w:tcBorders>
              <w:top w:val="nil"/>
              <w:left w:val="nil"/>
              <w:bottom w:val="nil"/>
              <w:right w:val="nil"/>
            </w:tcBorders>
            <w:vAlign w:val="bottom"/>
          </w:tcPr>
          <w:p w14:paraId="36496F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70E8B8DE" w14:textId="77777777" w:rsidTr="009501B5">
        <w:trPr>
          <w:trHeight w:hRule="exact" w:val="88"/>
        </w:trPr>
        <w:tc>
          <w:tcPr>
            <w:tcW w:w="2120" w:type="dxa"/>
            <w:tcBorders>
              <w:top w:val="nil"/>
              <w:left w:val="nil"/>
              <w:bottom w:val="double" w:sz="6" w:space="2" w:color="auto"/>
              <w:right w:val="nil"/>
            </w:tcBorders>
            <w:vAlign w:val="bottom"/>
          </w:tcPr>
          <w:p w14:paraId="01A058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F6913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D2ACE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E4522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D3DA4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2C30E74" w14:textId="77777777" w:rsidTr="009501B5">
        <w:trPr>
          <w:trHeight w:hRule="exact" w:val="132"/>
        </w:trPr>
        <w:tc>
          <w:tcPr>
            <w:tcW w:w="2120" w:type="dxa"/>
            <w:tcBorders>
              <w:top w:val="nil"/>
              <w:left w:val="nil"/>
              <w:bottom w:val="nil"/>
              <w:right w:val="nil"/>
            </w:tcBorders>
            <w:vAlign w:val="bottom"/>
          </w:tcPr>
          <w:p w14:paraId="2B091F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817A3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DF291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DC60D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20E89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6FE2591" w14:textId="77777777" w:rsidTr="009501B5">
        <w:trPr>
          <w:trHeight w:val="220"/>
        </w:trPr>
        <w:tc>
          <w:tcPr>
            <w:tcW w:w="2120" w:type="dxa"/>
            <w:tcBorders>
              <w:top w:val="nil"/>
              <w:left w:val="nil"/>
              <w:bottom w:val="nil"/>
              <w:right w:val="nil"/>
            </w:tcBorders>
            <w:vAlign w:val="bottom"/>
          </w:tcPr>
          <w:p w14:paraId="000E42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3E21763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24C1D84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3B9211C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6DC0C2C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00843E7E" w14:textId="77777777" w:rsidTr="009501B5">
        <w:trPr>
          <w:trHeight w:hRule="exact" w:val="88"/>
        </w:trPr>
        <w:tc>
          <w:tcPr>
            <w:tcW w:w="2120" w:type="dxa"/>
            <w:tcBorders>
              <w:top w:val="nil"/>
              <w:left w:val="nil"/>
              <w:bottom w:val="double" w:sz="6" w:space="2" w:color="auto"/>
              <w:right w:val="nil"/>
            </w:tcBorders>
            <w:vAlign w:val="bottom"/>
          </w:tcPr>
          <w:p w14:paraId="2EF3DF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CC4AC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278D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86C0F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4962E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9385801" w14:textId="77777777" w:rsidTr="009501B5">
        <w:trPr>
          <w:trHeight w:hRule="exact" w:val="132"/>
        </w:trPr>
        <w:tc>
          <w:tcPr>
            <w:tcW w:w="2120" w:type="dxa"/>
            <w:tcBorders>
              <w:top w:val="nil"/>
              <w:left w:val="nil"/>
              <w:bottom w:val="nil"/>
              <w:right w:val="nil"/>
            </w:tcBorders>
            <w:vAlign w:val="bottom"/>
          </w:tcPr>
          <w:p w14:paraId="6C5E0E3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F557E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DDD79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48EA4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F58B5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FF741EC" w14:textId="77777777" w:rsidTr="009501B5">
        <w:trPr>
          <w:trHeight w:val="220"/>
        </w:trPr>
        <w:tc>
          <w:tcPr>
            <w:tcW w:w="2120" w:type="dxa"/>
            <w:tcBorders>
              <w:top w:val="nil"/>
              <w:left w:val="nil"/>
              <w:bottom w:val="nil"/>
              <w:right w:val="nil"/>
            </w:tcBorders>
            <w:vAlign w:val="bottom"/>
          </w:tcPr>
          <w:p w14:paraId="7194EA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w:t>
            </w:r>
          </w:p>
        </w:tc>
        <w:tc>
          <w:tcPr>
            <w:tcW w:w="1050" w:type="dxa"/>
            <w:tcBorders>
              <w:top w:val="nil"/>
              <w:left w:val="nil"/>
              <w:bottom w:val="nil"/>
              <w:right w:val="nil"/>
            </w:tcBorders>
            <w:vAlign w:val="bottom"/>
          </w:tcPr>
          <w:p w14:paraId="78E36D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0.028668</w:t>
            </w:r>
          </w:p>
        </w:tc>
        <w:tc>
          <w:tcPr>
            <w:tcW w:w="1150" w:type="dxa"/>
            <w:tcBorders>
              <w:top w:val="nil"/>
              <w:left w:val="nil"/>
              <w:bottom w:val="nil"/>
              <w:right w:val="nil"/>
            </w:tcBorders>
            <w:vAlign w:val="bottom"/>
          </w:tcPr>
          <w:p w14:paraId="47D9A4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0.051302</w:t>
            </w:r>
          </w:p>
        </w:tc>
        <w:tc>
          <w:tcPr>
            <w:tcW w:w="1150" w:type="dxa"/>
            <w:tcBorders>
              <w:top w:val="nil"/>
              <w:left w:val="nil"/>
              <w:bottom w:val="nil"/>
              <w:right w:val="nil"/>
            </w:tcBorders>
            <w:vAlign w:val="bottom"/>
          </w:tcPr>
          <w:p w14:paraId="03865E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0.558821</w:t>
            </w:r>
          </w:p>
        </w:tc>
        <w:tc>
          <w:tcPr>
            <w:tcW w:w="950" w:type="dxa"/>
            <w:tcBorders>
              <w:top w:val="nil"/>
              <w:left w:val="nil"/>
              <w:bottom w:val="nil"/>
              <w:right w:val="nil"/>
            </w:tcBorders>
            <w:vAlign w:val="bottom"/>
          </w:tcPr>
          <w:p w14:paraId="54DA26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0.5819</w:t>
            </w:r>
          </w:p>
        </w:tc>
      </w:tr>
      <w:tr w:rsidR="00EA38DE" w:rsidRPr="00EA38DE" w14:paraId="21BA980C" w14:textId="77777777" w:rsidTr="009501B5">
        <w:trPr>
          <w:trHeight w:val="220"/>
        </w:trPr>
        <w:tc>
          <w:tcPr>
            <w:tcW w:w="2120" w:type="dxa"/>
            <w:tcBorders>
              <w:top w:val="nil"/>
              <w:left w:val="nil"/>
              <w:bottom w:val="nil"/>
              <w:right w:val="nil"/>
            </w:tcBorders>
            <w:vAlign w:val="bottom"/>
          </w:tcPr>
          <w:p w14:paraId="5BA8CF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7635057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-0.001357</w:t>
            </w:r>
          </w:p>
        </w:tc>
        <w:tc>
          <w:tcPr>
            <w:tcW w:w="1150" w:type="dxa"/>
            <w:tcBorders>
              <w:top w:val="nil"/>
              <w:left w:val="nil"/>
              <w:bottom w:val="nil"/>
              <w:right w:val="nil"/>
            </w:tcBorders>
            <w:vAlign w:val="bottom"/>
          </w:tcPr>
          <w:p w14:paraId="6B20186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0.001386</w:t>
            </w:r>
          </w:p>
        </w:tc>
        <w:tc>
          <w:tcPr>
            <w:tcW w:w="1150" w:type="dxa"/>
            <w:tcBorders>
              <w:top w:val="nil"/>
              <w:left w:val="nil"/>
              <w:bottom w:val="nil"/>
              <w:right w:val="nil"/>
            </w:tcBorders>
            <w:vAlign w:val="bottom"/>
          </w:tcPr>
          <w:p w14:paraId="4954DD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-0.978581</w:t>
            </w:r>
          </w:p>
        </w:tc>
        <w:tc>
          <w:tcPr>
            <w:tcW w:w="950" w:type="dxa"/>
            <w:tcBorders>
              <w:top w:val="nil"/>
              <w:left w:val="nil"/>
              <w:bottom w:val="nil"/>
              <w:right w:val="nil"/>
            </w:tcBorders>
            <w:vAlign w:val="bottom"/>
          </w:tcPr>
          <w:p w14:paraId="57BA50C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0.3384</w:t>
            </w:r>
          </w:p>
        </w:tc>
      </w:tr>
      <w:tr w:rsidR="00EA38DE" w:rsidRPr="00EA38DE" w14:paraId="50630CE6" w14:textId="77777777" w:rsidTr="009501B5">
        <w:trPr>
          <w:trHeight w:val="220"/>
        </w:trPr>
        <w:tc>
          <w:tcPr>
            <w:tcW w:w="2120" w:type="dxa"/>
            <w:tcBorders>
              <w:top w:val="nil"/>
              <w:left w:val="nil"/>
              <w:bottom w:val="nil"/>
              <w:right w:val="nil"/>
            </w:tcBorders>
            <w:vAlign w:val="bottom"/>
          </w:tcPr>
          <w:p w14:paraId="0E67DA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413462A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-0.818319</w:t>
            </w:r>
          </w:p>
        </w:tc>
        <w:tc>
          <w:tcPr>
            <w:tcW w:w="1150" w:type="dxa"/>
            <w:tcBorders>
              <w:top w:val="nil"/>
              <w:left w:val="nil"/>
              <w:bottom w:val="nil"/>
              <w:right w:val="nil"/>
            </w:tcBorders>
            <w:vAlign w:val="bottom"/>
          </w:tcPr>
          <w:p w14:paraId="11B9FB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0.523761</w:t>
            </w:r>
          </w:p>
        </w:tc>
        <w:tc>
          <w:tcPr>
            <w:tcW w:w="1150" w:type="dxa"/>
            <w:tcBorders>
              <w:top w:val="nil"/>
              <w:left w:val="nil"/>
              <w:bottom w:val="nil"/>
              <w:right w:val="nil"/>
            </w:tcBorders>
            <w:vAlign w:val="bottom"/>
          </w:tcPr>
          <w:p w14:paraId="26EDC0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-1.562390</w:t>
            </w:r>
          </w:p>
        </w:tc>
        <w:tc>
          <w:tcPr>
            <w:tcW w:w="950" w:type="dxa"/>
            <w:tcBorders>
              <w:top w:val="nil"/>
              <w:left w:val="nil"/>
              <w:bottom w:val="nil"/>
              <w:right w:val="nil"/>
            </w:tcBorders>
            <w:vAlign w:val="bottom"/>
          </w:tcPr>
          <w:p w14:paraId="09FD2AE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0.1325</w:t>
            </w:r>
          </w:p>
        </w:tc>
      </w:tr>
      <w:tr w:rsidR="00EA38DE" w:rsidRPr="00EA38DE" w14:paraId="38B92471" w14:textId="77777777" w:rsidTr="009501B5">
        <w:trPr>
          <w:trHeight w:val="220"/>
        </w:trPr>
        <w:tc>
          <w:tcPr>
            <w:tcW w:w="2120" w:type="dxa"/>
            <w:tcBorders>
              <w:top w:val="nil"/>
              <w:left w:val="nil"/>
              <w:bottom w:val="nil"/>
              <w:right w:val="nil"/>
            </w:tcBorders>
            <w:vAlign w:val="bottom"/>
          </w:tcPr>
          <w:p w14:paraId="02F2A3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31775E6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0.055609</w:t>
            </w:r>
          </w:p>
        </w:tc>
        <w:tc>
          <w:tcPr>
            <w:tcW w:w="1150" w:type="dxa"/>
            <w:tcBorders>
              <w:top w:val="nil"/>
              <w:left w:val="nil"/>
              <w:bottom w:val="nil"/>
              <w:right w:val="nil"/>
            </w:tcBorders>
            <w:vAlign w:val="bottom"/>
          </w:tcPr>
          <w:p w14:paraId="4B6EA89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0.024682</w:t>
            </w:r>
          </w:p>
        </w:tc>
        <w:tc>
          <w:tcPr>
            <w:tcW w:w="1150" w:type="dxa"/>
            <w:tcBorders>
              <w:top w:val="nil"/>
              <w:left w:val="nil"/>
              <w:bottom w:val="nil"/>
              <w:right w:val="nil"/>
            </w:tcBorders>
            <w:vAlign w:val="bottom"/>
          </w:tcPr>
          <w:p w14:paraId="6F4742C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2.253016</w:t>
            </w:r>
          </w:p>
        </w:tc>
        <w:tc>
          <w:tcPr>
            <w:tcW w:w="950" w:type="dxa"/>
            <w:tcBorders>
              <w:top w:val="nil"/>
              <w:left w:val="nil"/>
              <w:bottom w:val="nil"/>
              <w:right w:val="nil"/>
            </w:tcBorders>
            <w:vAlign w:val="bottom"/>
          </w:tcPr>
          <w:p w14:paraId="1BDAEC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0.0346</w:t>
            </w:r>
          </w:p>
        </w:tc>
      </w:tr>
      <w:tr w:rsidR="00EA38DE" w:rsidRPr="00EA38DE" w14:paraId="5E22384F" w14:textId="77777777" w:rsidTr="009501B5">
        <w:trPr>
          <w:trHeight w:val="220"/>
        </w:trPr>
        <w:tc>
          <w:tcPr>
            <w:tcW w:w="2120" w:type="dxa"/>
            <w:tcBorders>
              <w:top w:val="nil"/>
              <w:left w:val="nil"/>
              <w:bottom w:val="nil"/>
              <w:right w:val="nil"/>
            </w:tcBorders>
            <w:vAlign w:val="bottom"/>
          </w:tcPr>
          <w:p w14:paraId="31B7E0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763481E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-0.517771</w:t>
            </w:r>
          </w:p>
        </w:tc>
        <w:tc>
          <w:tcPr>
            <w:tcW w:w="1150" w:type="dxa"/>
            <w:tcBorders>
              <w:top w:val="nil"/>
              <w:left w:val="nil"/>
              <w:bottom w:val="nil"/>
              <w:right w:val="nil"/>
            </w:tcBorders>
            <w:vAlign w:val="bottom"/>
          </w:tcPr>
          <w:p w14:paraId="5768685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0.081687</w:t>
            </w:r>
          </w:p>
        </w:tc>
        <w:tc>
          <w:tcPr>
            <w:tcW w:w="1150" w:type="dxa"/>
            <w:tcBorders>
              <w:top w:val="nil"/>
              <w:left w:val="nil"/>
              <w:bottom w:val="nil"/>
              <w:right w:val="nil"/>
            </w:tcBorders>
            <w:vAlign w:val="bottom"/>
          </w:tcPr>
          <w:p w14:paraId="5B76A66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-6.338441</w:t>
            </w:r>
          </w:p>
        </w:tc>
        <w:tc>
          <w:tcPr>
            <w:tcW w:w="950" w:type="dxa"/>
            <w:tcBorders>
              <w:top w:val="nil"/>
              <w:left w:val="nil"/>
              <w:bottom w:val="nil"/>
              <w:right w:val="nil"/>
            </w:tcBorders>
            <w:vAlign w:val="bottom"/>
          </w:tcPr>
          <w:p w14:paraId="71DA48A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0DB6A265" w14:textId="77777777" w:rsidTr="009501B5">
        <w:trPr>
          <w:trHeight w:hRule="exact" w:val="88"/>
        </w:trPr>
        <w:tc>
          <w:tcPr>
            <w:tcW w:w="2120" w:type="dxa"/>
            <w:tcBorders>
              <w:top w:val="nil"/>
              <w:left w:val="nil"/>
              <w:bottom w:val="double" w:sz="6" w:space="2" w:color="auto"/>
              <w:right w:val="nil"/>
            </w:tcBorders>
            <w:vAlign w:val="bottom"/>
          </w:tcPr>
          <w:p w14:paraId="61D722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551FB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51941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4EE9C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0F4E30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8132093" w14:textId="77777777" w:rsidTr="009501B5">
        <w:trPr>
          <w:trHeight w:hRule="exact" w:val="132"/>
        </w:trPr>
        <w:tc>
          <w:tcPr>
            <w:tcW w:w="2120" w:type="dxa"/>
            <w:tcBorders>
              <w:top w:val="nil"/>
              <w:left w:val="nil"/>
              <w:bottom w:val="nil"/>
              <w:right w:val="nil"/>
            </w:tcBorders>
            <w:vAlign w:val="bottom"/>
          </w:tcPr>
          <w:p w14:paraId="3280B3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E662E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04294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7AFCC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E4715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732F82D" w14:textId="77777777" w:rsidTr="009501B5">
        <w:trPr>
          <w:trHeight w:val="220"/>
        </w:trPr>
        <w:tc>
          <w:tcPr>
            <w:tcW w:w="2120" w:type="dxa"/>
            <w:tcBorders>
              <w:top w:val="nil"/>
              <w:left w:val="nil"/>
              <w:bottom w:val="nil"/>
              <w:right w:val="nil"/>
            </w:tcBorders>
            <w:vAlign w:val="bottom"/>
          </w:tcPr>
          <w:p w14:paraId="30D56EB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0705F92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0.570883</w:t>
            </w:r>
          </w:p>
        </w:tc>
        <w:tc>
          <w:tcPr>
            <w:tcW w:w="2300" w:type="dxa"/>
            <w:gridSpan w:val="2"/>
            <w:tcBorders>
              <w:top w:val="nil"/>
              <w:left w:val="nil"/>
              <w:bottom w:val="nil"/>
              <w:right w:val="nil"/>
            </w:tcBorders>
            <w:vAlign w:val="bottom"/>
          </w:tcPr>
          <w:p w14:paraId="0B33A190"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56C9CFB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0.054283</w:t>
            </w:r>
          </w:p>
        </w:tc>
      </w:tr>
      <w:tr w:rsidR="00EA38DE" w:rsidRPr="00EA38DE" w14:paraId="7C32F685" w14:textId="77777777" w:rsidTr="009501B5">
        <w:trPr>
          <w:trHeight w:val="220"/>
        </w:trPr>
        <w:tc>
          <w:tcPr>
            <w:tcW w:w="2120" w:type="dxa"/>
            <w:tcBorders>
              <w:top w:val="nil"/>
              <w:left w:val="nil"/>
              <w:bottom w:val="nil"/>
              <w:right w:val="nil"/>
            </w:tcBorders>
            <w:vAlign w:val="bottom"/>
          </w:tcPr>
          <w:p w14:paraId="1967958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35DFA12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0.494255</w:t>
            </w:r>
          </w:p>
        </w:tc>
        <w:tc>
          <w:tcPr>
            <w:tcW w:w="2300" w:type="dxa"/>
            <w:gridSpan w:val="2"/>
            <w:tcBorders>
              <w:top w:val="nil"/>
              <w:left w:val="nil"/>
              <w:bottom w:val="nil"/>
              <w:right w:val="nil"/>
            </w:tcBorders>
            <w:vAlign w:val="bottom"/>
          </w:tcPr>
          <w:p w14:paraId="5F36117C"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3849A45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0.119378</w:t>
            </w:r>
          </w:p>
        </w:tc>
      </w:tr>
      <w:tr w:rsidR="00EA38DE" w:rsidRPr="00EA38DE" w14:paraId="355C2346" w14:textId="77777777" w:rsidTr="009501B5">
        <w:trPr>
          <w:trHeight w:val="220"/>
        </w:trPr>
        <w:tc>
          <w:tcPr>
            <w:tcW w:w="2120" w:type="dxa"/>
            <w:tcBorders>
              <w:top w:val="nil"/>
              <w:left w:val="nil"/>
              <w:bottom w:val="nil"/>
              <w:right w:val="nil"/>
            </w:tcBorders>
            <w:vAlign w:val="bottom"/>
          </w:tcPr>
          <w:p w14:paraId="4A2846C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062F061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0.084897</w:t>
            </w:r>
          </w:p>
        </w:tc>
        <w:tc>
          <w:tcPr>
            <w:tcW w:w="2300" w:type="dxa"/>
            <w:gridSpan w:val="2"/>
            <w:tcBorders>
              <w:top w:val="nil"/>
              <w:left w:val="nil"/>
              <w:bottom w:val="nil"/>
              <w:right w:val="nil"/>
            </w:tcBorders>
            <w:vAlign w:val="bottom"/>
          </w:tcPr>
          <w:p w14:paraId="5509B875"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70F6565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-1.935982</w:t>
            </w:r>
          </w:p>
        </w:tc>
      </w:tr>
      <w:tr w:rsidR="00EA38DE" w:rsidRPr="00EA38DE" w14:paraId="0351D47B" w14:textId="77777777" w:rsidTr="009501B5">
        <w:trPr>
          <w:trHeight w:val="220"/>
        </w:trPr>
        <w:tc>
          <w:tcPr>
            <w:tcW w:w="2120" w:type="dxa"/>
            <w:tcBorders>
              <w:top w:val="nil"/>
              <w:left w:val="nil"/>
              <w:bottom w:val="nil"/>
              <w:right w:val="nil"/>
            </w:tcBorders>
            <w:vAlign w:val="bottom"/>
          </w:tcPr>
          <w:p w14:paraId="2AC2071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70964B2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0.201808</w:t>
            </w:r>
          </w:p>
        </w:tc>
        <w:tc>
          <w:tcPr>
            <w:tcW w:w="2300" w:type="dxa"/>
            <w:gridSpan w:val="2"/>
            <w:tcBorders>
              <w:top w:val="nil"/>
              <w:left w:val="nil"/>
              <w:bottom w:val="nil"/>
              <w:right w:val="nil"/>
            </w:tcBorders>
            <w:vAlign w:val="bottom"/>
          </w:tcPr>
          <w:p w14:paraId="50CDFC8C"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095E579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-1.666624</w:t>
            </w:r>
          </w:p>
        </w:tc>
      </w:tr>
      <w:tr w:rsidR="00EA38DE" w:rsidRPr="00EA38DE" w14:paraId="2A6EBD35" w14:textId="77777777" w:rsidTr="009501B5">
        <w:trPr>
          <w:trHeight w:val="220"/>
        </w:trPr>
        <w:tc>
          <w:tcPr>
            <w:tcW w:w="2120" w:type="dxa"/>
            <w:tcBorders>
              <w:top w:val="nil"/>
              <w:left w:val="nil"/>
              <w:bottom w:val="nil"/>
              <w:right w:val="nil"/>
            </w:tcBorders>
            <w:vAlign w:val="bottom"/>
          </w:tcPr>
          <w:p w14:paraId="755129C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45BBBE5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38.91170</w:t>
            </w:r>
          </w:p>
        </w:tc>
        <w:tc>
          <w:tcPr>
            <w:tcW w:w="2300" w:type="dxa"/>
            <w:gridSpan w:val="2"/>
            <w:tcBorders>
              <w:top w:val="nil"/>
              <w:left w:val="nil"/>
              <w:bottom w:val="nil"/>
              <w:right w:val="nil"/>
            </w:tcBorders>
            <w:vAlign w:val="bottom"/>
          </w:tcPr>
          <w:p w14:paraId="4E82B9E5"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0822644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-1.844123</w:t>
            </w:r>
          </w:p>
        </w:tc>
      </w:tr>
      <w:tr w:rsidR="00EA38DE" w:rsidRPr="00EA38DE" w14:paraId="262E56E2" w14:textId="77777777" w:rsidTr="009501B5">
        <w:trPr>
          <w:trHeight w:val="220"/>
        </w:trPr>
        <w:tc>
          <w:tcPr>
            <w:tcW w:w="2120" w:type="dxa"/>
            <w:tcBorders>
              <w:top w:val="nil"/>
              <w:left w:val="nil"/>
              <w:bottom w:val="nil"/>
              <w:right w:val="nil"/>
            </w:tcBorders>
            <w:vAlign w:val="bottom"/>
          </w:tcPr>
          <w:p w14:paraId="755D6EE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1C75375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1.751037</w:t>
            </w:r>
          </w:p>
        </w:tc>
        <w:tc>
          <w:tcPr>
            <w:tcW w:w="1150" w:type="dxa"/>
            <w:tcBorders>
              <w:top w:val="nil"/>
              <w:left w:val="nil"/>
              <w:bottom w:val="nil"/>
              <w:right w:val="nil"/>
            </w:tcBorders>
            <w:vAlign w:val="bottom"/>
          </w:tcPr>
          <w:p w14:paraId="57D7E156"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0FEC81F4"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7F421BB8"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03F90A38" w14:textId="77777777" w:rsidTr="009501B5">
        <w:trPr>
          <w:trHeight w:hRule="exact" w:val="88"/>
        </w:trPr>
        <w:tc>
          <w:tcPr>
            <w:tcW w:w="2120" w:type="dxa"/>
            <w:tcBorders>
              <w:top w:val="nil"/>
              <w:left w:val="nil"/>
              <w:bottom w:val="double" w:sz="6" w:space="2" w:color="auto"/>
              <w:right w:val="nil"/>
            </w:tcBorders>
            <w:vAlign w:val="bottom"/>
          </w:tcPr>
          <w:p w14:paraId="5AC7EB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2A082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2B4AB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82074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03247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4A9B9C4" w14:textId="77777777" w:rsidTr="009501B5">
        <w:trPr>
          <w:trHeight w:hRule="exact" w:val="132"/>
        </w:trPr>
        <w:tc>
          <w:tcPr>
            <w:tcW w:w="2120" w:type="dxa"/>
            <w:tcBorders>
              <w:top w:val="nil"/>
              <w:left w:val="nil"/>
              <w:bottom w:val="nil"/>
              <w:right w:val="nil"/>
            </w:tcBorders>
            <w:vAlign w:val="bottom"/>
          </w:tcPr>
          <w:p w14:paraId="0409C7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62A27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A4B1D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EAFB0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51E40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AFA75F1" w14:textId="77777777" w:rsidTr="009501B5">
        <w:trPr>
          <w:trHeight w:val="220"/>
        </w:trPr>
        <w:tc>
          <w:tcPr>
            <w:tcW w:w="6420" w:type="dxa"/>
            <w:gridSpan w:val="5"/>
            <w:tcBorders>
              <w:top w:val="nil"/>
              <w:left w:val="nil"/>
              <w:bottom w:val="nil"/>
              <w:right w:val="nil"/>
            </w:tcBorders>
            <w:vAlign w:val="bottom"/>
          </w:tcPr>
          <w:p w14:paraId="6E48693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38658F32" w14:textId="77777777" w:rsidTr="009501B5">
        <w:trPr>
          <w:trHeight w:val="220"/>
        </w:trPr>
        <w:tc>
          <w:tcPr>
            <w:tcW w:w="2120" w:type="dxa"/>
            <w:tcBorders>
              <w:top w:val="nil"/>
              <w:left w:val="nil"/>
              <w:bottom w:val="nil"/>
              <w:right w:val="nil"/>
            </w:tcBorders>
            <w:vAlign w:val="bottom"/>
          </w:tcPr>
          <w:p w14:paraId="258B99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792AC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0F66E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90239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5696C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4C99347" w14:textId="77777777" w:rsidTr="009501B5">
        <w:trPr>
          <w:trHeight w:val="220"/>
        </w:trPr>
        <w:tc>
          <w:tcPr>
            <w:tcW w:w="2120" w:type="dxa"/>
            <w:tcBorders>
              <w:top w:val="nil"/>
              <w:left w:val="nil"/>
              <w:bottom w:val="nil"/>
              <w:right w:val="nil"/>
            </w:tcBorders>
            <w:vAlign w:val="bottom"/>
          </w:tcPr>
          <w:p w14:paraId="2B3331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60E42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C149C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BC86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4881C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15E11C8" w14:textId="77777777" w:rsidTr="009501B5">
        <w:trPr>
          <w:trHeight w:val="220"/>
        </w:trPr>
        <w:tc>
          <w:tcPr>
            <w:tcW w:w="3170" w:type="dxa"/>
            <w:gridSpan w:val="2"/>
            <w:tcBorders>
              <w:top w:val="nil"/>
              <w:left w:val="nil"/>
              <w:bottom w:val="nil"/>
              <w:right w:val="nil"/>
            </w:tcBorders>
            <w:vAlign w:val="bottom"/>
          </w:tcPr>
          <w:p w14:paraId="4423B79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29475A4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61D60B15" w14:textId="77777777" w:rsidTr="009501B5">
        <w:trPr>
          <w:trHeight w:hRule="exact" w:val="88"/>
        </w:trPr>
        <w:tc>
          <w:tcPr>
            <w:tcW w:w="2120" w:type="dxa"/>
            <w:tcBorders>
              <w:top w:val="nil"/>
              <w:left w:val="nil"/>
              <w:bottom w:val="double" w:sz="6" w:space="2" w:color="auto"/>
              <w:right w:val="nil"/>
            </w:tcBorders>
            <w:vAlign w:val="bottom"/>
          </w:tcPr>
          <w:p w14:paraId="00DCF8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84588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E8684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98AEA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15AC2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D5FF122" w14:textId="77777777" w:rsidTr="009501B5">
        <w:trPr>
          <w:trHeight w:hRule="exact" w:val="132"/>
        </w:trPr>
        <w:tc>
          <w:tcPr>
            <w:tcW w:w="2120" w:type="dxa"/>
            <w:tcBorders>
              <w:top w:val="nil"/>
              <w:left w:val="nil"/>
              <w:bottom w:val="nil"/>
              <w:right w:val="nil"/>
            </w:tcBorders>
            <w:vAlign w:val="bottom"/>
          </w:tcPr>
          <w:p w14:paraId="6B740D1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E269A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9F099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E4AEB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B33CD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E63200F" w14:textId="77777777" w:rsidTr="009501B5">
        <w:trPr>
          <w:trHeight w:val="220"/>
        </w:trPr>
        <w:tc>
          <w:tcPr>
            <w:tcW w:w="2120" w:type="dxa"/>
            <w:tcBorders>
              <w:top w:val="nil"/>
              <w:left w:val="nil"/>
              <w:bottom w:val="nil"/>
              <w:right w:val="nil"/>
            </w:tcBorders>
            <w:vAlign w:val="bottom"/>
          </w:tcPr>
          <w:p w14:paraId="04B2775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4D987A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6D8F28D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281E1A4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25E2870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75A6B269" w14:textId="77777777" w:rsidTr="009501B5">
        <w:trPr>
          <w:trHeight w:hRule="exact" w:val="88"/>
        </w:trPr>
        <w:tc>
          <w:tcPr>
            <w:tcW w:w="2120" w:type="dxa"/>
            <w:tcBorders>
              <w:top w:val="nil"/>
              <w:left w:val="nil"/>
              <w:bottom w:val="double" w:sz="6" w:space="2" w:color="auto"/>
              <w:right w:val="nil"/>
            </w:tcBorders>
            <w:vAlign w:val="bottom"/>
          </w:tcPr>
          <w:p w14:paraId="3BD1DD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D331E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D3090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B2C56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EFE87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CF65F9" w14:textId="77777777" w:rsidTr="009501B5">
        <w:trPr>
          <w:trHeight w:hRule="exact" w:val="132"/>
        </w:trPr>
        <w:tc>
          <w:tcPr>
            <w:tcW w:w="2120" w:type="dxa"/>
            <w:tcBorders>
              <w:top w:val="nil"/>
              <w:left w:val="nil"/>
              <w:bottom w:val="nil"/>
              <w:right w:val="nil"/>
            </w:tcBorders>
            <w:vAlign w:val="bottom"/>
          </w:tcPr>
          <w:p w14:paraId="17174E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4293F4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D6CAA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CDAD2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1D60D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31E10A9" w14:textId="77777777" w:rsidTr="009501B5">
        <w:trPr>
          <w:trHeight w:val="220"/>
        </w:trPr>
        <w:tc>
          <w:tcPr>
            <w:tcW w:w="2120" w:type="dxa"/>
            <w:tcBorders>
              <w:top w:val="nil"/>
              <w:left w:val="nil"/>
              <w:bottom w:val="nil"/>
              <w:right w:val="nil"/>
            </w:tcBorders>
            <w:vAlign w:val="bottom"/>
          </w:tcPr>
          <w:p w14:paraId="1E87CFE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5B3FD7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4.509533</w:t>
            </w:r>
          </w:p>
        </w:tc>
        <w:tc>
          <w:tcPr>
            <w:tcW w:w="1150" w:type="dxa"/>
            <w:tcBorders>
              <w:top w:val="nil"/>
              <w:left w:val="nil"/>
              <w:bottom w:val="nil"/>
              <w:right w:val="nil"/>
            </w:tcBorders>
            <w:vAlign w:val="bottom"/>
          </w:tcPr>
          <w:p w14:paraId="3B4BF82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6C7C454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2.08</w:t>
            </w:r>
          </w:p>
        </w:tc>
        <w:tc>
          <w:tcPr>
            <w:tcW w:w="950" w:type="dxa"/>
            <w:tcBorders>
              <w:top w:val="nil"/>
              <w:left w:val="nil"/>
              <w:bottom w:val="nil"/>
              <w:right w:val="nil"/>
            </w:tcBorders>
            <w:vAlign w:val="bottom"/>
          </w:tcPr>
          <w:p w14:paraId="767A0BA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w:t>
            </w:r>
          </w:p>
        </w:tc>
      </w:tr>
      <w:tr w:rsidR="00EA38DE" w:rsidRPr="00EA38DE" w14:paraId="58532E77" w14:textId="77777777" w:rsidTr="009501B5">
        <w:trPr>
          <w:trHeight w:val="220"/>
        </w:trPr>
        <w:tc>
          <w:tcPr>
            <w:tcW w:w="2120" w:type="dxa"/>
            <w:tcBorders>
              <w:top w:val="nil"/>
              <w:left w:val="nil"/>
              <w:bottom w:val="nil"/>
              <w:right w:val="nil"/>
            </w:tcBorders>
            <w:vAlign w:val="bottom"/>
          </w:tcPr>
          <w:p w14:paraId="7371FB2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76BC3C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2E5A183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515F07E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2.39</w:t>
            </w:r>
          </w:p>
        </w:tc>
        <w:tc>
          <w:tcPr>
            <w:tcW w:w="950" w:type="dxa"/>
            <w:tcBorders>
              <w:top w:val="nil"/>
              <w:left w:val="nil"/>
              <w:bottom w:val="nil"/>
              <w:right w:val="nil"/>
            </w:tcBorders>
            <w:vAlign w:val="bottom"/>
          </w:tcPr>
          <w:p w14:paraId="45BF560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3.38</w:t>
            </w:r>
          </w:p>
        </w:tc>
      </w:tr>
      <w:tr w:rsidR="00EA38DE" w:rsidRPr="00EA38DE" w14:paraId="387CBAE3" w14:textId="77777777" w:rsidTr="009501B5">
        <w:trPr>
          <w:trHeight w:val="220"/>
        </w:trPr>
        <w:tc>
          <w:tcPr>
            <w:tcW w:w="2120" w:type="dxa"/>
            <w:tcBorders>
              <w:top w:val="nil"/>
              <w:left w:val="nil"/>
              <w:bottom w:val="nil"/>
              <w:right w:val="nil"/>
            </w:tcBorders>
            <w:vAlign w:val="bottom"/>
          </w:tcPr>
          <w:p w14:paraId="0A2A7D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B25EA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8A848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0AE057A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w:t>
            </w:r>
          </w:p>
        </w:tc>
        <w:tc>
          <w:tcPr>
            <w:tcW w:w="950" w:type="dxa"/>
            <w:tcBorders>
              <w:top w:val="nil"/>
              <w:left w:val="nil"/>
              <w:bottom w:val="nil"/>
              <w:right w:val="nil"/>
            </w:tcBorders>
            <w:vAlign w:val="bottom"/>
          </w:tcPr>
          <w:p w14:paraId="5B8FD8C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3.73</w:t>
            </w:r>
          </w:p>
        </w:tc>
      </w:tr>
      <w:tr w:rsidR="00EA38DE" w:rsidRPr="00EA38DE" w14:paraId="420E6655" w14:textId="77777777" w:rsidTr="009501B5">
        <w:trPr>
          <w:trHeight w:val="220"/>
        </w:trPr>
        <w:tc>
          <w:tcPr>
            <w:tcW w:w="2120" w:type="dxa"/>
            <w:tcBorders>
              <w:top w:val="nil"/>
              <w:left w:val="nil"/>
              <w:bottom w:val="nil"/>
              <w:right w:val="nil"/>
            </w:tcBorders>
            <w:vAlign w:val="bottom"/>
          </w:tcPr>
          <w:p w14:paraId="241A79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6C041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8A0D83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0D9426E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3.06</w:t>
            </w:r>
          </w:p>
        </w:tc>
        <w:tc>
          <w:tcPr>
            <w:tcW w:w="950" w:type="dxa"/>
            <w:tcBorders>
              <w:top w:val="nil"/>
              <w:left w:val="nil"/>
              <w:bottom w:val="nil"/>
              <w:right w:val="nil"/>
            </w:tcBorders>
            <w:vAlign w:val="bottom"/>
          </w:tcPr>
          <w:p w14:paraId="07A438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4.15</w:t>
            </w:r>
          </w:p>
        </w:tc>
      </w:tr>
      <w:tr w:rsidR="00EA38DE" w:rsidRPr="00EA38DE" w14:paraId="42C50FEB" w14:textId="77777777" w:rsidTr="009501B5">
        <w:trPr>
          <w:trHeight w:hRule="exact" w:val="88"/>
        </w:trPr>
        <w:tc>
          <w:tcPr>
            <w:tcW w:w="2120" w:type="dxa"/>
            <w:tcBorders>
              <w:top w:val="nil"/>
              <w:left w:val="nil"/>
              <w:bottom w:val="double" w:sz="6" w:space="0" w:color="auto"/>
              <w:right w:val="nil"/>
            </w:tcBorders>
            <w:vAlign w:val="bottom"/>
          </w:tcPr>
          <w:p w14:paraId="3D78B3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5A8A3F0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4A135C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799EB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26DE8C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A499D74" w14:textId="77777777" w:rsidTr="009501B5">
        <w:trPr>
          <w:trHeight w:hRule="exact" w:val="132"/>
        </w:trPr>
        <w:tc>
          <w:tcPr>
            <w:tcW w:w="2120" w:type="dxa"/>
            <w:tcBorders>
              <w:top w:val="nil"/>
              <w:left w:val="nil"/>
              <w:bottom w:val="nil"/>
              <w:right w:val="nil"/>
            </w:tcBorders>
            <w:vAlign w:val="bottom"/>
          </w:tcPr>
          <w:p w14:paraId="1D007C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6BA8A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D5A72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E05C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73D00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152A18ED" w14:textId="77777777" w:rsidR="003C6B00" w:rsidRPr="00EA38DE" w:rsidRDefault="003C6B00" w:rsidP="003C6B00">
      <w:r w:rsidRPr="00EA38DE">
        <w:rPr>
          <w:rFonts w:ascii="Arial" w:hAnsi="Arial" w:cs="Arial"/>
          <w:sz w:val="18"/>
          <w:szCs w:val="18"/>
        </w:rPr>
        <w:br/>
      </w:r>
    </w:p>
    <w:p w14:paraId="0B0AEEE7" w14:textId="77777777" w:rsidR="003C6B00" w:rsidRPr="00EA38DE" w:rsidRDefault="003C6B00" w:rsidP="003C6B00"/>
    <w:p w14:paraId="3D7BCD3D" w14:textId="77777777" w:rsidR="003C6B00" w:rsidRPr="00EA38DE" w:rsidRDefault="003C6B00" w:rsidP="003C6B00"/>
    <w:p w14:paraId="517D7546" w14:textId="77777777" w:rsidR="003C6B00" w:rsidRPr="00EA38DE" w:rsidRDefault="003C6B00" w:rsidP="003C6B00"/>
    <w:p w14:paraId="5508EFA5" w14:textId="77777777" w:rsidR="003C6B00" w:rsidRPr="00EA38DE" w:rsidRDefault="003C6B00" w:rsidP="003C6B00"/>
    <w:p w14:paraId="52DE7863" w14:textId="77777777" w:rsidR="003C6B00" w:rsidRPr="00EA38DE" w:rsidRDefault="003C6B00" w:rsidP="003C6B00"/>
    <w:p w14:paraId="3BBD59F0" w14:textId="77777777" w:rsidR="003C6B00" w:rsidRPr="00EA38DE" w:rsidRDefault="003C6B00" w:rsidP="003C6B00"/>
    <w:p w14:paraId="6A301C35" w14:textId="77777777" w:rsidR="003C6B00" w:rsidRPr="00EA38DE" w:rsidRDefault="003C6B00" w:rsidP="003C6B00"/>
    <w:p w14:paraId="52B71D28" w14:textId="77777777" w:rsidR="003C6B00" w:rsidRPr="00EA38DE" w:rsidRDefault="003C6B00" w:rsidP="003C6B00"/>
    <w:p w14:paraId="55E663B1"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3901F613" w14:textId="77777777" w:rsidTr="009501B5">
        <w:trPr>
          <w:trHeight w:val="220"/>
        </w:trPr>
        <w:tc>
          <w:tcPr>
            <w:tcW w:w="6420" w:type="dxa"/>
            <w:gridSpan w:val="5"/>
            <w:tcBorders>
              <w:top w:val="nil"/>
              <w:left w:val="nil"/>
              <w:bottom w:val="nil"/>
              <w:right w:val="nil"/>
            </w:tcBorders>
            <w:vAlign w:val="bottom"/>
          </w:tcPr>
          <w:p w14:paraId="028B672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288C705A" w14:textId="77777777" w:rsidTr="009501B5">
        <w:trPr>
          <w:trHeight w:val="220"/>
        </w:trPr>
        <w:tc>
          <w:tcPr>
            <w:tcW w:w="5470" w:type="dxa"/>
            <w:gridSpan w:val="4"/>
            <w:tcBorders>
              <w:top w:val="nil"/>
              <w:left w:val="nil"/>
              <w:bottom w:val="nil"/>
              <w:right w:val="nil"/>
            </w:tcBorders>
            <w:vAlign w:val="bottom"/>
          </w:tcPr>
          <w:p w14:paraId="1B4A10B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D(LSHPC)</w:t>
            </w:r>
          </w:p>
        </w:tc>
        <w:tc>
          <w:tcPr>
            <w:tcW w:w="950" w:type="dxa"/>
            <w:tcBorders>
              <w:top w:val="nil"/>
              <w:left w:val="nil"/>
              <w:bottom w:val="nil"/>
              <w:right w:val="nil"/>
            </w:tcBorders>
            <w:vAlign w:val="bottom"/>
          </w:tcPr>
          <w:p w14:paraId="037131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FCC9A10" w14:textId="77777777" w:rsidTr="009501B5">
        <w:trPr>
          <w:trHeight w:val="220"/>
        </w:trPr>
        <w:tc>
          <w:tcPr>
            <w:tcW w:w="6420" w:type="dxa"/>
            <w:gridSpan w:val="5"/>
            <w:tcBorders>
              <w:top w:val="nil"/>
              <w:left w:val="nil"/>
              <w:bottom w:val="nil"/>
              <w:right w:val="nil"/>
            </w:tcBorders>
            <w:vAlign w:val="bottom"/>
          </w:tcPr>
          <w:p w14:paraId="2EBEFBB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3, 3, 3, 3, 0)</w:t>
            </w:r>
          </w:p>
        </w:tc>
      </w:tr>
      <w:tr w:rsidR="00EA38DE" w:rsidRPr="00EA38DE" w14:paraId="71014726" w14:textId="77777777" w:rsidTr="009501B5">
        <w:trPr>
          <w:trHeight w:val="220"/>
        </w:trPr>
        <w:tc>
          <w:tcPr>
            <w:tcW w:w="6420" w:type="dxa"/>
            <w:gridSpan w:val="5"/>
            <w:tcBorders>
              <w:top w:val="nil"/>
              <w:left w:val="nil"/>
              <w:bottom w:val="nil"/>
              <w:right w:val="nil"/>
            </w:tcBorders>
            <w:vAlign w:val="bottom"/>
          </w:tcPr>
          <w:p w14:paraId="173F433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4A973596" w14:textId="77777777" w:rsidTr="009501B5">
        <w:trPr>
          <w:trHeight w:val="220"/>
        </w:trPr>
        <w:tc>
          <w:tcPr>
            <w:tcW w:w="5470" w:type="dxa"/>
            <w:gridSpan w:val="4"/>
            <w:tcBorders>
              <w:top w:val="nil"/>
              <w:left w:val="nil"/>
              <w:bottom w:val="nil"/>
              <w:right w:val="nil"/>
            </w:tcBorders>
            <w:vAlign w:val="bottom"/>
          </w:tcPr>
          <w:p w14:paraId="59137E4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09:54</w:t>
            </w:r>
          </w:p>
        </w:tc>
        <w:tc>
          <w:tcPr>
            <w:tcW w:w="950" w:type="dxa"/>
            <w:tcBorders>
              <w:top w:val="nil"/>
              <w:left w:val="nil"/>
              <w:bottom w:val="nil"/>
              <w:right w:val="nil"/>
            </w:tcBorders>
            <w:vAlign w:val="bottom"/>
          </w:tcPr>
          <w:p w14:paraId="5BE065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AB6A024" w14:textId="77777777" w:rsidTr="009501B5">
        <w:trPr>
          <w:trHeight w:val="220"/>
        </w:trPr>
        <w:tc>
          <w:tcPr>
            <w:tcW w:w="4320" w:type="dxa"/>
            <w:gridSpan w:val="3"/>
            <w:tcBorders>
              <w:top w:val="nil"/>
              <w:left w:val="nil"/>
              <w:bottom w:val="nil"/>
              <w:right w:val="nil"/>
            </w:tcBorders>
            <w:vAlign w:val="bottom"/>
          </w:tcPr>
          <w:p w14:paraId="25EF901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727778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C5A99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49CDCFB" w14:textId="77777777" w:rsidTr="009501B5">
        <w:trPr>
          <w:trHeight w:val="220"/>
        </w:trPr>
        <w:tc>
          <w:tcPr>
            <w:tcW w:w="5470" w:type="dxa"/>
            <w:gridSpan w:val="4"/>
            <w:tcBorders>
              <w:top w:val="nil"/>
              <w:left w:val="nil"/>
              <w:bottom w:val="nil"/>
              <w:right w:val="nil"/>
            </w:tcBorders>
            <w:vAlign w:val="bottom"/>
          </w:tcPr>
          <w:p w14:paraId="7B2A683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24EC9F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BA28D75" w14:textId="77777777" w:rsidTr="009501B5">
        <w:trPr>
          <w:trHeight w:hRule="exact" w:val="88"/>
        </w:trPr>
        <w:tc>
          <w:tcPr>
            <w:tcW w:w="2120" w:type="dxa"/>
            <w:tcBorders>
              <w:top w:val="nil"/>
              <w:left w:val="nil"/>
              <w:bottom w:val="double" w:sz="6" w:space="2" w:color="auto"/>
              <w:right w:val="nil"/>
            </w:tcBorders>
            <w:vAlign w:val="bottom"/>
          </w:tcPr>
          <w:p w14:paraId="30D647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7717F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82571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F7AFF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C98C3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0F779E2" w14:textId="77777777" w:rsidTr="009501B5">
        <w:trPr>
          <w:trHeight w:hRule="exact" w:val="132"/>
        </w:trPr>
        <w:tc>
          <w:tcPr>
            <w:tcW w:w="2120" w:type="dxa"/>
            <w:tcBorders>
              <w:top w:val="nil"/>
              <w:left w:val="nil"/>
              <w:bottom w:val="nil"/>
              <w:right w:val="nil"/>
            </w:tcBorders>
            <w:vAlign w:val="bottom"/>
          </w:tcPr>
          <w:p w14:paraId="06199A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F3E32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02748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E1951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C4FEB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F0EF1C8" w14:textId="77777777" w:rsidTr="009501B5">
        <w:trPr>
          <w:trHeight w:val="220"/>
        </w:trPr>
        <w:tc>
          <w:tcPr>
            <w:tcW w:w="6420" w:type="dxa"/>
            <w:gridSpan w:val="5"/>
            <w:tcBorders>
              <w:top w:val="nil"/>
              <w:left w:val="nil"/>
              <w:bottom w:val="nil"/>
              <w:right w:val="nil"/>
            </w:tcBorders>
            <w:vAlign w:val="bottom"/>
          </w:tcPr>
          <w:p w14:paraId="310B71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0B7BAFAA" w14:textId="77777777" w:rsidTr="009501B5">
        <w:trPr>
          <w:trHeight w:val="220"/>
        </w:trPr>
        <w:tc>
          <w:tcPr>
            <w:tcW w:w="6420" w:type="dxa"/>
            <w:gridSpan w:val="5"/>
            <w:tcBorders>
              <w:top w:val="nil"/>
              <w:left w:val="nil"/>
              <w:bottom w:val="nil"/>
              <w:right w:val="nil"/>
            </w:tcBorders>
            <w:vAlign w:val="bottom"/>
          </w:tcPr>
          <w:p w14:paraId="1B5E4B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09A5A917" w14:textId="77777777" w:rsidTr="009501B5">
        <w:trPr>
          <w:trHeight w:hRule="exact" w:val="88"/>
        </w:trPr>
        <w:tc>
          <w:tcPr>
            <w:tcW w:w="2120" w:type="dxa"/>
            <w:tcBorders>
              <w:top w:val="nil"/>
              <w:left w:val="nil"/>
              <w:bottom w:val="double" w:sz="6" w:space="2" w:color="auto"/>
              <w:right w:val="nil"/>
            </w:tcBorders>
            <w:vAlign w:val="bottom"/>
          </w:tcPr>
          <w:p w14:paraId="230ED1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A76E2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DD9A4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18632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44442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C6D9FD4" w14:textId="77777777" w:rsidTr="009501B5">
        <w:trPr>
          <w:trHeight w:hRule="exact" w:val="132"/>
        </w:trPr>
        <w:tc>
          <w:tcPr>
            <w:tcW w:w="2120" w:type="dxa"/>
            <w:tcBorders>
              <w:top w:val="nil"/>
              <w:left w:val="nil"/>
              <w:bottom w:val="nil"/>
              <w:right w:val="nil"/>
            </w:tcBorders>
            <w:vAlign w:val="bottom"/>
          </w:tcPr>
          <w:p w14:paraId="335480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BDAD0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47DF7E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F9B0E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A83C6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595C14E" w14:textId="77777777" w:rsidTr="009501B5">
        <w:trPr>
          <w:trHeight w:val="220"/>
        </w:trPr>
        <w:tc>
          <w:tcPr>
            <w:tcW w:w="2120" w:type="dxa"/>
            <w:tcBorders>
              <w:top w:val="nil"/>
              <w:left w:val="nil"/>
              <w:bottom w:val="nil"/>
              <w:right w:val="nil"/>
            </w:tcBorders>
            <w:vAlign w:val="bottom"/>
          </w:tcPr>
          <w:p w14:paraId="549952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18F31B4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41699D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0BD2C28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2F7C7B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047A35E7" w14:textId="77777777" w:rsidTr="009501B5">
        <w:trPr>
          <w:trHeight w:hRule="exact" w:val="88"/>
        </w:trPr>
        <w:tc>
          <w:tcPr>
            <w:tcW w:w="2120" w:type="dxa"/>
            <w:tcBorders>
              <w:top w:val="nil"/>
              <w:left w:val="nil"/>
              <w:bottom w:val="double" w:sz="6" w:space="2" w:color="auto"/>
              <w:right w:val="nil"/>
            </w:tcBorders>
            <w:vAlign w:val="bottom"/>
          </w:tcPr>
          <w:p w14:paraId="6D25A6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86B9C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35D7B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45715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BD20E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88211D8" w14:textId="77777777" w:rsidTr="009501B5">
        <w:trPr>
          <w:trHeight w:hRule="exact" w:val="132"/>
        </w:trPr>
        <w:tc>
          <w:tcPr>
            <w:tcW w:w="2120" w:type="dxa"/>
            <w:tcBorders>
              <w:top w:val="nil"/>
              <w:left w:val="nil"/>
              <w:bottom w:val="nil"/>
              <w:right w:val="nil"/>
            </w:tcBorders>
            <w:vAlign w:val="bottom"/>
          </w:tcPr>
          <w:p w14:paraId="5F7281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6D79B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882C0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1091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5A4A6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4DE3CF1" w14:textId="77777777" w:rsidTr="009501B5">
        <w:trPr>
          <w:trHeight w:val="220"/>
        </w:trPr>
        <w:tc>
          <w:tcPr>
            <w:tcW w:w="2120" w:type="dxa"/>
            <w:tcBorders>
              <w:top w:val="nil"/>
              <w:left w:val="nil"/>
              <w:bottom w:val="nil"/>
              <w:right w:val="nil"/>
            </w:tcBorders>
            <w:vAlign w:val="bottom"/>
          </w:tcPr>
          <w:p w14:paraId="00F340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0F0D583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372.4412</w:t>
            </w:r>
          </w:p>
        </w:tc>
        <w:tc>
          <w:tcPr>
            <w:tcW w:w="1150" w:type="dxa"/>
            <w:tcBorders>
              <w:top w:val="nil"/>
              <w:left w:val="nil"/>
              <w:bottom w:val="nil"/>
              <w:right w:val="nil"/>
            </w:tcBorders>
            <w:vAlign w:val="bottom"/>
          </w:tcPr>
          <w:p w14:paraId="0DFE64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64.80956</w:t>
            </w:r>
          </w:p>
        </w:tc>
        <w:tc>
          <w:tcPr>
            <w:tcW w:w="1150" w:type="dxa"/>
            <w:tcBorders>
              <w:top w:val="nil"/>
              <w:left w:val="nil"/>
              <w:bottom w:val="nil"/>
              <w:right w:val="nil"/>
            </w:tcBorders>
            <w:vAlign w:val="bottom"/>
          </w:tcPr>
          <w:p w14:paraId="7350B71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5.746702</w:t>
            </w:r>
          </w:p>
        </w:tc>
        <w:tc>
          <w:tcPr>
            <w:tcW w:w="950" w:type="dxa"/>
            <w:tcBorders>
              <w:top w:val="nil"/>
              <w:left w:val="nil"/>
              <w:bottom w:val="nil"/>
              <w:right w:val="nil"/>
            </w:tcBorders>
            <w:vAlign w:val="bottom"/>
          </w:tcPr>
          <w:p w14:paraId="7A8D2C0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26241B93" w14:textId="77777777" w:rsidTr="009501B5">
        <w:trPr>
          <w:trHeight w:val="220"/>
        </w:trPr>
        <w:tc>
          <w:tcPr>
            <w:tcW w:w="2120" w:type="dxa"/>
            <w:tcBorders>
              <w:top w:val="nil"/>
              <w:left w:val="nil"/>
              <w:bottom w:val="nil"/>
              <w:right w:val="nil"/>
            </w:tcBorders>
            <w:vAlign w:val="bottom"/>
          </w:tcPr>
          <w:p w14:paraId="2CD4B8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@TREND</w:t>
            </w:r>
          </w:p>
        </w:tc>
        <w:tc>
          <w:tcPr>
            <w:tcW w:w="1050" w:type="dxa"/>
            <w:tcBorders>
              <w:top w:val="nil"/>
              <w:left w:val="nil"/>
              <w:bottom w:val="nil"/>
              <w:right w:val="nil"/>
            </w:tcBorders>
            <w:vAlign w:val="bottom"/>
          </w:tcPr>
          <w:p w14:paraId="77C6371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1.003712</w:t>
            </w:r>
          </w:p>
        </w:tc>
        <w:tc>
          <w:tcPr>
            <w:tcW w:w="1150" w:type="dxa"/>
            <w:tcBorders>
              <w:top w:val="nil"/>
              <w:left w:val="nil"/>
              <w:bottom w:val="nil"/>
              <w:right w:val="nil"/>
            </w:tcBorders>
            <w:vAlign w:val="bottom"/>
          </w:tcPr>
          <w:p w14:paraId="0A3CE1B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0.172783</w:t>
            </w:r>
          </w:p>
        </w:tc>
        <w:tc>
          <w:tcPr>
            <w:tcW w:w="1150" w:type="dxa"/>
            <w:tcBorders>
              <w:top w:val="nil"/>
              <w:left w:val="nil"/>
              <w:bottom w:val="nil"/>
              <w:right w:val="nil"/>
            </w:tcBorders>
            <w:vAlign w:val="bottom"/>
          </w:tcPr>
          <w:p w14:paraId="5CAB503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5.809108</w:t>
            </w:r>
          </w:p>
        </w:tc>
        <w:tc>
          <w:tcPr>
            <w:tcW w:w="950" w:type="dxa"/>
            <w:tcBorders>
              <w:top w:val="nil"/>
              <w:left w:val="nil"/>
              <w:bottom w:val="nil"/>
              <w:right w:val="nil"/>
            </w:tcBorders>
            <w:vAlign w:val="bottom"/>
          </w:tcPr>
          <w:p w14:paraId="333227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7B3EAA55" w14:textId="77777777" w:rsidTr="009501B5">
        <w:trPr>
          <w:trHeight w:val="220"/>
        </w:trPr>
        <w:tc>
          <w:tcPr>
            <w:tcW w:w="2120" w:type="dxa"/>
            <w:tcBorders>
              <w:top w:val="nil"/>
              <w:left w:val="nil"/>
              <w:bottom w:val="nil"/>
              <w:right w:val="nil"/>
            </w:tcBorders>
            <w:vAlign w:val="bottom"/>
          </w:tcPr>
          <w:p w14:paraId="524297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w:t>
            </w:r>
          </w:p>
        </w:tc>
        <w:tc>
          <w:tcPr>
            <w:tcW w:w="1050" w:type="dxa"/>
            <w:tcBorders>
              <w:top w:val="nil"/>
              <w:left w:val="nil"/>
              <w:bottom w:val="nil"/>
              <w:right w:val="nil"/>
            </w:tcBorders>
            <w:vAlign w:val="bottom"/>
          </w:tcPr>
          <w:p w14:paraId="5FBE56B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-0.406603</w:t>
            </w:r>
          </w:p>
        </w:tc>
        <w:tc>
          <w:tcPr>
            <w:tcW w:w="1150" w:type="dxa"/>
            <w:tcBorders>
              <w:top w:val="nil"/>
              <w:left w:val="nil"/>
              <w:bottom w:val="nil"/>
              <w:right w:val="nil"/>
            </w:tcBorders>
            <w:vAlign w:val="bottom"/>
          </w:tcPr>
          <w:p w14:paraId="24129D8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0.154575</w:t>
            </w:r>
          </w:p>
        </w:tc>
        <w:tc>
          <w:tcPr>
            <w:tcW w:w="1150" w:type="dxa"/>
            <w:tcBorders>
              <w:top w:val="nil"/>
              <w:left w:val="nil"/>
              <w:bottom w:val="nil"/>
              <w:right w:val="nil"/>
            </w:tcBorders>
            <w:vAlign w:val="bottom"/>
          </w:tcPr>
          <w:p w14:paraId="79320A1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-2.630455</w:t>
            </w:r>
          </w:p>
        </w:tc>
        <w:tc>
          <w:tcPr>
            <w:tcW w:w="950" w:type="dxa"/>
            <w:tcBorders>
              <w:top w:val="nil"/>
              <w:left w:val="nil"/>
              <w:bottom w:val="nil"/>
              <w:right w:val="nil"/>
            </w:tcBorders>
            <w:vAlign w:val="bottom"/>
          </w:tcPr>
          <w:p w14:paraId="0FBA5A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0.0220</w:t>
            </w:r>
          </w:p>
        </w:tc>
      </w:tr>
      <w:tr w:rsidR="00EA38DE" w:rsidRPr="00EA38DE" w14:paraId="14F953DA" w14:textId="77777777" w:rsidTr="009501B5">
        <w:trPr>
          <w:trHeight w:val="220"/>
        </w:trPr>
        <w:tc>
          <w:tcPr>
            <w:tcW w:w="2120" w:type="dxa"/>
            <w:tcBorders>
              <w:top w:val="nil"/>
              <w:left w:val="nil"/>
              <w:bottom w:val="nil"/>
              <w:right w:val="nil"/>
            </w:tcBorders>
            <w:vAlign w:val="bottom"/>
          </w:tcPr>
          <w:p w14:paraId="2E196B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D(LAQT(-1))</w:t>
            </w:r>
          </w:p>
        </w:tc>
        <w:tc>
          <w:tcPr>
            <w:tcW w:w="1050" w:type="dxa"/>
            <w:tcBorders>
              <w:top w:val="nil"/>
              <w:left w:val="nil"/>
              <w:bottom w:val="nil"/>
              <w:right w:val="nil"/>
            </w:tcBorders>
            <w:vAlign w:val="bottom"/>
          </w:tcPr>
          <w:p w14:paraId="20335CB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0.705401</w:t>
            </w:r>
          </w:p>
        </w:tc>
        <w:tc>
          <w:tcPr>
            <w:tcW w:w="1150" w:type="dxa"/>
            <w:tcBorders>
              <w:top w:val="nil"/>
              <w:left w:val="nil"/>
              <w:bottom w:val="nil"/>
              <w:right w:val="nil"/>
            </w:tcBorders>
            <w:vAlign w:val="bottom"/>
          </w:tcPr>
          <w:p w14:paraId="6D78F81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0.158030</w:t>
            </w:r>
          </w:p>
        </w:tc>
        <w:tc>
          <w:tcPr>
            <w:tcW w:w="1150" w:type="dxa"/>
            <w:tcBorders>
              <w:top w:val="nil"/>
              <w:left w:val="nil"/>
              <w:bottom w:val="nil"/>
              <w:right w:val="nil"/>
            </w:tcBorders>
            <w:vAlign w:val="bottom"/>
          </w:tcPr>
          <w:p w14:paraId="54D1ED0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4.463716</w:t>
            </w:r>
          </w:p>
        </w:tc>
        <w:tc>
          <w:tcPr>
            <w:tcW w:w="950" w:type="dxa"/>
            <w:tcBorders>
              <w:top w:val="nil"/>
              <w:left w:val="nil"/>
              <w:bottom w:val="nil"/>
              <w:right w:val="nil"/>
            </w:tcBorders>
            <w:vAlign w:val="bottom"/>
          </w:tcPr>
          <w:p w14:paraId="148031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0.0008</w:t>
            </w:r>
          </w:p>
        </w:tc>
      </w:tr>
      <w:tr w:rsidR="00EA38DE" w:rsidRPr="00EA38DE" w14:paraId="285C623F" w14:textId="77777777" w:rsidTr="009501B5">
        <w:trPr>
          <w:trHeight w:val="220"/>
        </w:trPr>
        <w:tc>
          <w:tcPr>
            <w:tcW w:w="2120" w:type="dxa"/>
            <w:tcBorders>
              <w:top w:val="nil"/>
              <w:left w:val="nil"/>
              <w:bottom w:val="nil"/>
              <w:right w:val="nil"/>
            </w:tcBorders>
            <w:vAlign w:val="bottom"/>
          </w:tcPr>
          <w:p w14:paraId="3C1288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D(LAQT(-2))</w:t>
            </w:r>
          </w:p>
        </w:tc>
        <w:tc>
          <w:tcPr>
            <w:tcW w:w="1050" w:type="dxa"/>
            <w:tcBorders>
              <w:top w:val="nil"/>
              <w:left w:val="nil"/>
              <w:bottom w:val="nil"/>
              <w:right w:val="nil"/>
            </w:tcBorders>
            <w:vAlign w:val="bottom"/>
          </w:tcPr>
          <w:p w14:paraId="2DFAE50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0.343347</w:t>
            </w:r>
          </w:p>
        </w:tc>
        <w:tc>
          <w:tcPr>
            <w:tcW w:w="1150" w:type="dxa"/>
            <w:tcBorders>
              <w:top w:val="nil"/>
              <w:left w:val="nil"/>
              <w:bottom w:val="nil"/>
              <w:right w:val="nil"/>
            </w:tcBorders>
            <w:vAlign w:val="bottom"/>
          </w:tcPr>
          <w:p w14:paraId="0D30B96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0.093264</w:t>
            </w:r>
          </w:p>
        </w:tc>
        <w:tc>
          <w:tcPr>
            <w:tcW w:w="1150" w:type="dxa"/>
            <w:tcBorders>
              <w:top w:val="nil"/>
              <w:left w:val="nil"/>
              <w:bottom w:val="nil"/>
              <w:right w:val="nil"/>
            </w:tcBorders>
            <w:vAlign w:val="bottom"/>
          </w:tcPr>
          <w:p w14:paraId="21463E7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3.681444</w:t>
            </w:r>
          </w:p>
        </w:tc>
        <w:tc>
          <w:tcPr>
            <w:tcW w:w="950" w:type="dxa"/>
            <w:tcBorders>
              <w:top w:val="nil"/>
              <w:left w:val="nil"/>
              <w:bottom w:val="nil"/>
              <w:right w:val="nil"/>
            </w:tcBorders>
            <w:vAlign w:val="bottom"/>
          </w:tcPr>
          <w:p w14:paraId="1ED68FE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0.0031</w:t>
            </w:r>
          </w:p>
        </w:tc>
      </w:tr>
      <w:tr w:rsidR="00EA38DE" w:rsidRPr="00EA38DE" w14:paraId="7B03535C" w14:textId="77777777" w:rsidTr="009501B5">
        <w:trPr>
          <w:trHeight w:val="220"/>
        </w:trPr>
        <w:tc>
          <w:tcPr>
            <w:tcW w:w="2120" w:type="dxa"/>
            <w:tcBorders>
              <w:top w:val="nil"/>
              <w:left w:val="nil"/>
              <w:bottom w:val="nil"/>
              <w:right w:val="nil"/>
            </w:tcBorders>
            <w:vAlign w:val="bottom"/>
          </w:tcPr>
          <w:p w14:paraId="7B31DA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42AAD6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0.000734</w:t>
            </w:r>
          </w:p>
        </w:tc>
        <w:tc>
          <w:tcPr>
            <w:tcW w:w="1150" w:type="dxa"/>
            <w:tcBorders>
              <w:top w:val="nil"/>
              <w:left w:val="nil"/>
              <w:bottom w:val="nil"/>
              <w:right w:val="nil"/>
            </w:tcBorders>
            <w:vAlign w:val="bottom"/>
          </w:tcPr>
          <w:p w14:paraId="2EE2AF2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0.001761</w:t>
            </w:r>
          </w:p>
        </w:tc>
        <w:tc>
          <w:tcPr>
            <w:tcW w:w="1150" w:type="dxa"/>
            <w:tcBorders>
              <w:top w:val="nil"/>
              <w:left w:val="nil"/>
              <w:bottom w:val="nil"/>
              <w:right w:val="nil"/>
            </w:tcBorders>
            <w:vAlign w:val="bottom"/>
          </w:tcPr>
          <w:p w14:paraId="496548E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0.416730</w:t>
            </w:r>
          </w:p>
        </w:tc>
        <w:tc>
          <w:tcPr>
            <w:tcW w:w="950" w:type="dxa"/>
            <w:tcBorders>
              <w:top w:val="nil"/>
              <w:left w:val="nil"/>
              <w:bottom w:val="nil"/>
              <w:right w:val="nil"/>
            </w:tcBorders>
            <w:vAlign w:val="bottom"/>
          </w:tcPr>
          <w:p w14:paraId="4DA982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0.6842</w:t>
            </w:r>
          </w:p>
        </w:tc>
      </w:tr>
      <w:tr w:rsidR="00EA38DE" w:rsidRPr="00EA38DE" w14:paraId="66D01C5B" w14:textId="77777777" w:rsidTr="009501B5">
        <w:trPr>
          <w:trHeight w:val="220"/>
        </w:trPr>
        <w:tc>
          <w:tcPr>
            <w:tcW w:w="2120" w:type="dxa"/>
            <w:tcBorders>
              <w:top w:val="nil"/>
              <w:left w:val="nil"/>
              <w:bottom w:val="nil"/>
              <w:right w:val="nil"/>
            </w:tcBorders>
            <w:vAlign w:val="bottom"/>
          </w:tcPr>
          <w:p w14:paraId="49A1EA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63A786B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-0.004316</w:t>
            </w:r>
          </w:p>
        </w:tc>
        <w:tc>
          <w:tcPr>
            <w:tcW w:w="1150" w:type="dxa"/>
            <w:tcBorders>
              <w:top w:val="nil"/>
              <w:left w:val="nil"/>
              <w:bottom w:val="nil"/>
              <w:right w:val="nil"/>
            </w:tcBorders>
            <w:vAlign w:val="bottom"/>
          </w:tcPr>
          <w:p w14:paraId="2CE8BB8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0.001720</w:t>
            </w:r>
          </w:p>
        </w:tc>
        <w:tc>
          <w:tcPr>
            <w:tcW w:w="1150" w:type="dxa"/>
            <w:tcBorders>
              <w:top w:val="nil"/>
              <w:left w:val="nil"/>
              <w:bottom w:val="nil"/>
              <w:right w:val="nil"/>
            </w:tcBorders>
            <w:vAlign w:val="bottom"/>
          </w:tcPr>
          <w:p w14:paraId="7770079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-2.509115</w:t>
            </w:r>
          </w:p>
        </w:tc>
        <w:tc>
          <w:tcPr>
            <w:tcW w:w="950" w:type="dxa"/>
            <w:tcBorders>
              <w:top w:val="nil"/>
              <w:left w:val="nil"/>
              <w:bottom w:val="nil"/>
              <w:right w:val="nil"/>
            </w:tcBorders>
            <w:vAlign w:val="bottom"/>
          </w:tcPr>
          <w:p w14:paraId="1FDFC6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0.0275</w:t>
            </w:r>
          </w:p>
        </w:tc>
      </w:tr>
      <w:tr w:rsidR="00EA38DE" w:rsidRPr="00EA38DE" w14:paraId="477424D5" w14:textId="77777777" w:rsidTr="009501B5">
        <w:trPr>
          <w:trHeight w:val="220"/>
        </w:trPr>
        <w:tc>
          <w:tcPr>
            <w:tcW w:w="2120" w:type="dxa"/>
            <w:tcBorders>
              <w:top w:val="nil"/>
              <w:left w:val="nil"/>
              <w:bottom w:val="nil"/>
              <w:right w:val="nil"/>
            </w:tcBorders>
            <w:vAlign w:val="bottom"/>
          </w:tcPr>
          <w:p w14:paraId="58DCBD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D(IFR(-2))</w:t>
            </w:r>
          </w:p>
        </w:tc>
        <w:tc>
          <w:tcPr>
            <w:tcW w:w="1050" w:type="dxa"/>
            <w:tcBorders>
              <w:top w:val="nil"/>
              <w:left w:val="nil"/>
              <w:bottom w:val="nil"/>
              <w:right w:val="nil"/>
            </w:tcBorders>
            <w:vAlign w:val="bottom"/>
          </w:tcPr>
          <w:p w14:paraId="276A4D2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-0.005579</w:t>
            </w:r>
          </w:p>
        </w:tc>
        <w:tc>
          <w:tcPr>
            <w:tcW w:w="1150" w:type="dxa"/>
            <w:tcBorders>
              <w:top w:val="nil"/>
              <w:left w:val="nil"/>
              <w:bottom w:val="nil"/>
              <w:right w:val="nil"/>
            </w:tcBorders>
            <w:vAlign w:val="bottom"/>
          </w:tcPr>
          <w:p w14:paraId="341E5EF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0.001778</w:t>
            </w:r>
          </w:p>
        </w:tc>
        <w:tc>
          <w:tcPr>
            <w:tcW w:w="1150" w:type="dxa"/>
            <w:tcBorders>
              <w:top w:val="nil"/>
              <w:left w:val="nil"/>
              <w:bottom w:val="nil"/>
              <w:right w:val="nil"/>
            </w:tcBorders>
            <w:vAlign w:val="bottom"/>
          </w:tcPr>
          <w:p w14:paraId="0C2DA0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-3.138010</w:t>
            </w:r>
          </w:p>
        </w:tc>
        <w:tc>
          <w:tcPr>
            <w:tcW w:w="950" w:type="dxa"/>
            <w:tcBorders>
              <w:top w:val="nil"/>
              <w:left w:val="nil"/>
              <w:bottom w:val="nil"/>
              <w:right w:val="nil"/>
            </w:tcBorders>
            <w:vAlign w:val="bottom"/>
          </w:tcPr>
          <w:p w14:paraId="4D7974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0.0086</w:t>
            </w:r>
          </w:p>
        </w:tc>
      </w:tr>
      <w:tr w:rsidR="00EA38DE" w:rsidRPr="00EA38DE" w14:paraId="36BF4E1D" w14:textId="77777777" w:rsidTr="009501B5">
        <w:trPr>
          <w:trHeight w:val="220"/>
        </w:trPr>
        <w:tc>
          <w:tcPr>
            <w:tcW w:w="2120" w:type="dxa"/>
            <w:tcBorders>
              <w:top w:val="nil"/>
              <w:left w:val="nil"/>
              <w:bottom w:val="nil"/>
              <w:right w:val="nil"/>
            </w:tcBorders>
            <w:vAlign w:val="bottom"/>
          </w:tcPr>
          <w:p w14:paraId="4DB5D1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533E77D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8.057765</w:t>
            </w:r>
          </w:p>
        </w:tc>
        <w:tc>
          <w:tcPr>
            <w:tcW w:w="1150" w:type="dxa"/>
            <w:tcBorders>
              <w:top w:val="nil"/>
              <w:left w:val="nil"/>
              <w:bottom w:val="nil"/>
              <w:right w:val="nil"/>
            </w:tcBorders>
            <w:vAlign w:val="bottom"/>
          </w:tcPr>
          <w:p w14:paraId="1E877E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2.023853</w:t>
            </w:r>
          </w:p>
        </w:tc>
        <w:tc>
          <w:tcPr>
            <w:tcW w:w="1150" w:type="dxa"/>
            <w:tcBorders>
              <w:top w:val="nil"/>
              <w:left w:val="nil"/>
              <w:bottom w:val="nil"/>
              <w:right w:val="nil"/>
            </w:tcBorders>
            <w:vAlign w:val="bottom"/>
          </w:tcPr>
          <w:p w14:paraId="4F13359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3.981398</w:t>
            </w:r>
          </w:p>
        </w:tc>
        <w:tc>
          <w:tcPr>
            <w:tcW w:w="950" w:type="dxa"/>
            <w:tcBorders>
              <w:top w:val="nil"/>
              <w:left w:val="nil"/>
              <w:bottom w:val="nil"/>
              <w:right w:val="nil"/>
            </w:tcBorders>
            <w:vAlign w:val="bottom"/>
          </w:tcPr>
          <w:p w14:paraId="2EFCE3E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0.0018</w:t>
            </w:r>
          </w:p>
        </w:tc>
      </w:tr>
      <w:tr w:rsidR="00EA38DE" w:rsidRPr="00EA38DE" w14:paraId="4B8FAE2F" w14:textId="77777777" w:rsidTr="009501B5">
        <w:trPr>
          <w:trHeight w:val="220"/>
        </w:trPr>
        <w:tc>
          <w:tcPr>
            <w:tcW w:w="2120" w:type="dxa"/>
            <w:tcBorders>
              <w:top w:val="nil"/>
              <w:left w:val="nil"/>
              <w:bottom w:val="nil"/>
              <w:right w:val="nil"/>
            </w:tcBorders>
            <w:vAlign w:val="bottom"/>
          </w:tcPr>
          <w:p w14:paraId="64246F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64D3679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-19.48242</w:t>
            </w:r>
          </w:p>
        </w:tc>
        <w:tc>
          <w:tcPr>
            <w:tcW w:w="1150" w:type="dxa"/>
            <w:tcBorders>
              <w:top w:val="nil"/>
              <w:left w:val="nil"/>
              <w:bottom w:val="nil"/>
              <w:right w:val="nil"/>
            </w:tcBorders>
            <w:vAlign w:val="bottom"/>
          </w:tcPr>
          <w:p w14:paraId="1D3AC2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13.19743</w:t>
            </w:r>
          </w:p>
        </w:tc>
        <w:tc>
          <w:tcPr>
            <w:tcW w:w="1150" w:type="dxa"/>
            <w:tcBorders>
              <w:top w:val="nil"/>
              <w:left w:val="nil"/>
              <w:bottom w:val="nil"/>
              <w:right w:val="nil"/>
            </w:tcBorders>
            <w:vAlign w:val="bottom"/>
          </w:tcPr>
          <w:p w14:paraId="724A91F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-1.476228</w:t>
            </w:r>
          </w:p>
        </w:tc>
        <w:tc>
          <w:tcPr>
            <w:tcW w:w="950" w:type="dxa"/>
            <w:tcBorders>
              <w:top w:val="nil"/>
              <w:left w:val="nil"/>
              <w:bottom w:val="nil"/>
              <w:right w:val="nil"/>
            </w:tcBorders>
            <w:vAlign w:val="bottom"/>
          </w:tcPr>
          <w:p w14:paraId="31CE1F3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0.1656</w:t>
            </w:r>
          </w:p>
        </w:tc>
      </w:tr>
      <w:tr w:rsidR="00EA38DE" w:rsidRPr="00EA38DE" w14:paraId="230F22E3" w14:textId="77777777" w:rsidTr="009501B5">
        <w:trPr>
          <w:trHeight w:val="220"/>
        </w:trPr>
        <w:tc>
          <w:tcPr>
            <w:tcW w:w="2120" w:type="dxa"/>
            <w:tcBorders>
              <w:top w:val="nil"/>
              <w:left w:val="nil"/>
              <w:bottom w:val="nil"/>
              <w:right w:val="nil"/>
            </w:tcBorders>
            <w:vAlign w:val="bottom"/>
          </w:tcPr>
          <w:p w14:paraId="621A25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D(LLAB(-2))</w:t>
            </w:r>
          </w:p>
        </w:tc>
        <w:tc>
          <w:tcPr>
            <w:tcW w:w="1050" w:type="dxa"/>
            <w:tcBorders>
              <w:top w:val="nil"/>
              <w:left w:val="nil"/>
              <w:bottom w:val="nil"/>
              <w:right w:val="nil"/>
            </w:tcBorders>
            <w:vAlign w:val="bottom"/>
          </w:tcPr>
          <w:p w14:paraId="202DE1A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76.20461</w:t>
            </w:r>
          </w:p>
        </w:tc>
        <w:tc>
          <w:tcPr>
            <w:tcW w:w="1150" w:type="dxa"/>
            <w:tcBorders>
              <w:top w:val="nil"/>
              <w:left w:val="nil"/>
              <w:bottom w:val="nil"/>
              <w:right w:val="nil"/>
            </w:tcBorders>
            <w:vAlign w:val="bottom"/>
          </w:tcPr>
          <w:p w14:paraId="1B373E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14.30096</w:t>
            </w:r>
          </w:p>
        </w:tc>
        <w:tc>
          <w:tcPr>
            <w:tcW w:w="1150" w:type="dxa"/>
            <w:tcBorders>
              <w:top w:val="nil"/>
              <w:left w:val="nil"/>
              <w:bottom w:val="nil"/>
              <w:right w:val="nil"/>
            </w:tcBorders>
            <w:vAlign w:val="bottom"/>
          </w:tcPr>
          <w:p w14:paraId="31669F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5.328636</w:t>
            </w:r>
          </w:p>
        </w:tc>
        <w:tc>
          <w:tcPr>
            <w:tcW w:w="950" w:type="dxa"/>
            <w:tcBorders>
              <w:top w:val="nil"/>
              <w:left w:val="nil"/>
              <w:bottom w:val="nil"/>
              <w:right w:val="nil"/>
            </w:tcBorders>
            <w:vAlign w:val="bottom"/>
          </w:tcPr>
          <w:p w14:paraId="491418F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1E0CBA98" w14:textId="77777777" w:rsidTr="009501B5">
        <w:trPr>
          <w:trHeight w:val="220"/>
        </w:trPr>
        <w:tc>
          <w:tcPr>
            <w:tcW w:w="2120" w:type="dxa"/>
            <w:tcBorders>
              <w:top w:val="nil"/>
              <w:left w:val="nil"/>
              <w:bottom w:val="nil"/>
              <w:right w:val="nil"/>
            </w:tcBorders>
            <w:vAlign w:val="bottom"/>
          </w:tcPr>
          <w:p w14:paraId="16BA1F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7D62E4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-0.498660</w:t>
            </w:r>
          </w:p>
        </w:tc>
        <w:tc>
          <w:tcPr>
            <w:tcW w:w="1150" w:type="dxa"/>
            <w:tcBorders>
              <w:top w:val="nil"/>
              <w:left w:val="nil"/>
              <w:bottom w:val="nil"/>
              <w:right w:val="nil"/>
            </w:tcBorders>
            <w:vAlign w:val="bottom"/>
          </w:tcPr>
          <w:p w14:paraId="55DD15D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0.086677</w:t>
            </w:r>
          </w:p>
        </w:tc>
        <w:tc>
          <w:tcPr>
            <w:tcW w:w="1150" w:type="dxa"/>
            <w:tcBorders>
              <w:top w:val="nil"/>
              <w:left w:val="nil"/>
              <w:bottom w:val="nil"/>
              <w:right w:val="nil"/>
            </w:tcBorders>
            <w:vAlign w:val="bottom"/>
          </w:tcPr>
          <w:p w14:paraId="1D9CD2F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-5.753079</w:t>
            </w:r>
          </w:p>
        </w:tc>
        <w:tc>
          <w:tcPr>
            <w:tcW w:w="950" w:type="dxa"/>
            <w:tcBorders>
              <w:top w:val="nil"/>
              <w:left w:val="nil"/>
              <w:bottom w:val="nil"/>
              <w:right w:val="nil"/>
            </w:tcBorders>
            <w:vAlign w:val="bottom"/>
          </w:tcPr>
          <w:p w14:paraId="24564E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1F8BE142" w14:textId="77777777" w:rsidTr="009501B5">
        <w:trPr>
          <w:trHeight w:hRule="exact" w:val="88"/>
        </w:trPr>
        <w:tc>
          <w:tcPr>
            <w:tcW w:w="2120" w:type="dxa"/>
            <w:tcBorders>
              <w:top w:val="nil"/>
              <w:left w:val="nil"/>
              <w:bottom w:val="double" w:sz="6" w:space="2" w:color="auto"/>
              <w:right w:val="nil"/>
            </w:tcBorders>
            <w:vAlign w:val="bottom"/>
          </w:tcPr>
          <w:p w14:paraId="695F15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FD2AA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FEAFB6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4BB73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654D5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C9819EF" w14:textId="77777777" w:rsidTr="009501B5">
        <w:trPr>
          <w:trHeight w:hRule="exact" w:val="132"/>
        </w:trPr>
        <w:tc>
          <w:tcPr>
            <w:tcW w:w="2120" w:type="dxa"/>
            <w:tcBorders>
              <w:top w:val="nil"/>
              <w:left w:val="nil"/>
              <w:bottom w:val="nil"/>
              <w:right w:val="nil"/>
            </w:tcBorders>
            <w:vAlign w:val="bottom"/>
          </w:tcPr>
          <w:p w14:paraId="544D58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65190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21F13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D445D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2C0E1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DE89BEC" w14:textId="77777777" w:rsidTr="009501B5">
        <w:trPr>
          <w:trHeight w:val="220"/>
        </w:trPr>
        <w:tc>
          <w:tcPr>
            <w:tcW w:w="2120" w:type="dxa"/>
            <w:tcBorders>
              <w:top w:val="nil"/>
              <w:left w:val="nil"/>
              <w:bottom w:val="nil"/>
              <w:right w:val="nil"/>
            </w:tcBorders>
            <w:vAlign w:val="bottom"/>
          </w:tcPr>
          <w:p w14:paraId="6227BA4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2921B7B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0.806505</w:t>
            </w:r>
          </w:p>
        </w:tc>
        <w:tc>
          <w:tcPr>
            <w:tcW w:w="2300" w:type="dxa"/>
            <w:gridSpan w:val="2"/>
            <w:tcBorders>
              <w:top w:val="nil"/>
              <w:left w:val="nil"/>
              <w:bottom w:val="nil"/>
              <w:right w:val="nil"/>
            </w:tcBorders>
            <w:vAlign w:val="bottom"/>
          </w:tcPr>
          <w:p w14:paraId="0D92C33A"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52583B5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0.009201</w:t>
            </w:r>
          </w:p>
        </w:tc>
      </w:tr>
      <w:tr w:rsidR="00EA38DE" w:rsidRPr="00EA38DE" w14:paraId="6399A237" w14:textId="77777777" w:rsidTr="009501B5">
        <w:trPr>
          <w:trHeight w:val="220"/>
        </w:trPr>
        <w:tc>
          <w:tcPr>
            <w:tcW w:w="2120" w:type="dxa"/>
            <w:tcBorders>
              <w:top w:val="nil"/>
              <w:left w:val="nil"/>
              <w:bottom w:val="nil"/>
              <w:right w:val="nil"/>
            </w:tcBorders>
            <w:vAlign w:val="bottom"/>
          </w:tcPr>
          <w:p w14:paraId="7FB26C1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7AEAD4B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0.647156</w:t>
            </w:r>
          </w:p>
        </w:tc>
        <w:tc>
          <w:tcPr>
            <w:tcW w:w="2300" w:type="dxa"/>
            <w:gridSpan w:val="2"/>
            <w:tcBorders>
              <w:top w:val="nil"/>
              <w:left w:val="nil"/>
              <w:bottom w:val="nil"/>
              <w:right w:val="nil"/>
            </w:tcBorders>
            <w:vAlign w:val="bottom"/>
          </w:tcPr>
          <w:p w14:paraId="1DEFB9F7"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10BDFCD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0.144487</w:t>
            </w:r>
          </w:p>
        </w:tc>
      </w:tr>
      <w:tr w:rsidR="00EA38DE" w:rsidRPr="00EA38DE" w14:paraId="4DD1CBB6" w14:textId="77777777" w:rsidTr="009501B5">
        <w:trPr>
          <w:trHeight w:val="220"/>
        </w:trPr>
        <w:tc>
          <w:tcPr>
            <w:tcW w:w="2120" w:type="dxa"/>
            <w:tcBorders>
              <w:top w:val="nil"/>
              <w:left w:val="nil"/>
              <w:bottom w:val="nil"/>
              <w:right w:val="nil"/>
            </w:tcBorders>
            <w:vAlign w:val="bottom"/>
          </w:tcPr>
          <w:p w14:paraId="17F0F73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1248CDA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0.085826</w:t>
            </w:r>
          </w:p>
        </w:tc>
        <w:tc>
          <w:tcPr>
            <w:tcW w:w="2300" w:type="dxa"/>
            <w:gridSpan w:val="2"/>
            <w:tcBorders>
              <w:top w:val="nil"/>
              <w:left w:val="nil"/>
              <w:bottom w:val="nil"/>
              <w:right w:val="nil"/>
            </w:tcBorders>
            <w:vAlign w:val="bottom"/>
          </w:tcPr>
          <w:p w14:paraId="0E063CE3"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205A934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-1.768010</w:t>
            </w:r>
          </w:p>
        </w:tc>
      </w:tr>
      <w:tr w:rsidR="00EA38DE" w:rsidRPr="00EA38DE" w14:paraId="07B09A73" w14:textId="77777777" w:rsidTr="009501B5">
        <w:trPr>
          <w:trHeight w:val="220"/>
        </w:trPr>
        <w:tc>
          <w:tcPr>
            <w:tcW w:w="2120" w:type="dxa"/>
            <w:tcBorders>
              <w:top w:val="nil"/>
              <w:left w:val="nil"/>
              <w:bottom w:val="nil"/>
              <w:right w:val="nil"/>
            </w:tcBorders>
            <w:vAlign w:val="bottom"/>
          </w:tcPr>
          <w:p w14:paraId="0480DDB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5EC550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0.125224</w:t>
            </w:r>
          </w:p>
        </w:tc>
        <w:tc>
          <w:tcPr>
            <w:tcW w:w="2300" w:type="dxa"/>
            <w:gridSpan w:val="2"/>
            <w:tcBorders>
              <w:top w:val="nil"/>
              <w:left w:val="nil"/>
              <w:bottom w:val="nil"/>
              <w:right w:val="nil"/>
            </w:tcBorders>
            <w:vAlign w:val="bottom"/>
          </w:tcPr>
          <w:p w14:paraId="52BC7418"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22BEAAF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-1.080946</w:t>
            </w:r>
          </w:p>
        </w:tc>
      </w:tr>
      <w:tr w:rsidR="00EA38DE" w:rsidRPr="00EA38DE" w14:paraId="5D1B1639" w14:textId="77777777" w:rsidTr="009501B5">
        <w:trPr>
          <w:trHeight w:val="220"/>
        </w:trPr>
        <w:tc>
          <w:tcPr>
            <w:tcW w:w="2120" w:type="dxa"/>
            <w:tcBorders>
              <w:top w:val="nil"/>
              <w:left w:val="nil"/>
              <w:bottom w:val="nil"/>
              <w:right w:val="nil"/>
            </w:tcBorders>
            <w:vAlign w:val="bottom"/>
          </w:tcPr>
          <w:p w14:paraId="1D21D86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36781B8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43.28816</w:t>
            </w:r>
          </w:p>
        </w:tc>
        <w:tc>
          <w:tcPr>
            <w:tcW w:w="2300" w:type="dxa"/>
            <w:gridSpan w:val="2"/>
            <w:tcBorders>
              <w:top w:val="nil"/>
              <w:left w:val="nil"/>
              <w:bottom w:val="nil"/>
              <w:right w:val="nil"/>
            </w:tcBorders>
            <w:vAlign w:val="bottom"/>
          </w:tcPr>
          <w:p w14:paraId="38C596D0"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0F3771F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-1.540268</w:t>
            </w:r>
          </w:p>
        </w:tc>
      </w:tr>
      <w:tr w:rsidR="00EA38DE" w:rsidRPr="00EA38DE" w14:paraId="03E91336" w14:textId="77777777" w:rsidTr="009501B5">
        <w:trPr>
          <w:trHeight w:val="220"/>
        </w:trPr>
        <w:tc>
          <w:tcPr>
            <w:tcW w:w="2120" w:type="dxa"/>
            <w:tcBorders>
              <w:top w:val="nil"/>
              <w:left w:val="nil"/>
              <w:bottom w:val="nil"/>
              <w:right w:val="nil"/>
            </w:tcBorders>
            <w:vAlign w:val="bottom"/>
          </w:tcPr>
          <w:p w14:paraId="7330633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225B45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5.061247</w:t>
            </w:r>
          </w:p>
        </w:tc>
        <w:tc>
          <w:tcPr>
            <w:tcW w:w="2300" w:type="dxa"/>
            <w:gridSpan w:val="2"/>
            <w:tcBorders>
              <w:top w:val="nil"/>
              <w:left w:val="nil"/>
              <w:bottom w:val="nil"/>
              <w:right w:val="nil"/>
            </w:tcBorders>
            <w:vAlign w:val="bottom"/>
          </w:tcPr>
          <w:p w14:paraId="228101E4"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Durbin-Watson stat</w:t>
            </w:r>
          </w:p>
        </w:tc>
        <w:tc>
          <w:tcPr>
            <w:tcW w:w="950" w:type="dxa"/>
            <w:tcBorders>
              <w:top w:val="nil"/>
              <w:left w:val="nil"/>
              <w:bottom w:val="nil"/>
              <w:right w:val="nil"/>
            </w:tcBorders>
            <w:vAlign w:val="bottom"/>
          </w:tcPr>
          <w:p w14:paraId="4A323A0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2.648949</w:t>
            </w:r>
          </w:p>
        </w:tc>
      </w:tr>
      <w:tr w:rsidR="00EA38DE" w:rsidRPr="00EA38DE" w14:paraId="1951A11D" w14:textId="77777777" w:rsidTr="009501B5">
        <w:trPr>
          <w:trHeight w:val="220"/>
        </w:trPr>
        <w:tc>
          <w:tcPr>
            <w:tcW w:w="2120" w:type="dxa"/>
            <w:tcBorders>
              <w:top w:val="nil"/>
              <w:left w:val="nil"/>
              <w:bottom w:val="nil"/>
              <w:right w:val="nil"/>
            </w:tcBorders>
            <w:vAlign w:val="bottom"/>
          </w:tcPr>
          <w:p w14:paraId="1F92AAF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Prob(F-statistic)</w:t>
            </w:r>
          </w:p>
        </w:tc>
        <w:tc>
          <w:tcPr>
            <w:tcW w:w="1050" w:type="dxa"/>
            <w:tcBorders>
              <w:top w:val="nil"/>
              <w:left w:val="nil"/>
              <w:bottom w:val="nil"/>
              <w:right w:val="nil"/>
            </w:tcBorders>
            <w:vAlign w:val="bottom"/>
          </w:tcPr>
          <w:p w14:paraId="58B600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0.001085</w:t>
            </w:r>
          </w:p>
        </w:tc>
        <w:tc>
          <w:tcPr>
            <w:tcW w:w="1150" w:type="dxa"/>
            <w:tcBorders>
              <w:top w:val="nil"/>
              <w:left w:val="nil"/>
              <w:bottom w:val="nil"/>
              <w:right w:val="nil"/>
            </w:tcBorders>
            <w:vAlign w:val="bottom"/>
          </w:tcPr>
          <w:p w14:paraId="5944CE1A"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3FA3B2CE"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060F703E"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39883BF5" w14:textId="77777777" w:rsidTr="009501B5">
        <w:trPr>
          <w:trHeight w:hRule="exact" w:val="88"/>
        </w:trPr>
        <w:tc>
          <w:tcPr>
            <w:tcW w:w="2120" w:type="dxa"/>
            <w:tcBorders>
              <w:top w:val="nil"/>
              <w:left w:val="nil"/>
              <w:bottom w:val="double" w:sz="6" w:space="2" w:color="auto"/>
              <w:right w:val="nil"/>
            </w:tcBorders>
            <w:vAlign w:val="bottom"/>
          </w:tcPr>
          <w:p w14:paraId="6B9E9D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F1D05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76FBE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4F789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75380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38275CE" w14:textId="77777777" w:rsidTr="009501B5">
        <w:trPr>
          <w:trHeight w:hRule="exact" w:val="132"/>
        </w:trPr>
        <w:tc>
          <w:tcPr>
            <w:tcW w:w="2120" w:type="dxa"/>
            <w:tcBorders>
              <w:top w:val="nil"/>
              <w:left w:val="nil"/>
              <w:bottom w:val="nil"/>
              <w:right w:val="nil"/>
            </w:tcBorders>
            <w:vAlign w:val="bottom"/>
          </w:tcPr>
          <w:p w14:paraId="3A70FB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B7B79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B03F9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27E60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5387F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1365568" w14:textId="77777777" w:rsidTr="009501B5">
        <w:trPr>
          <w:trHeight w:val="220"/>
        </w:trPr>
        <w:tc>
          <w:tcPr>
            <w:tcW w:w="6420" w:type="dxa"/>
            <w:gridSpan w:val="5"/>
            <w:tcBorders>
              <w:top w:val="nil"/>
              <w:left w:val="nil"/>
              <w:bottom w:val="nil"/>
              <w:right w:val="nil"/>
            </w:tcBorders>
            <w:vAlign w:val="bottom"/>
          </w:tcPr>
          <w:p w14:paraId="2EEE260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2AFCF8EF" w14:textId="77777777" w:rsidTr="009501B5">
        <w:trPr>
          <w:trHeight w:val="220"/>
        </w:trPr>
        <w:tc>
          <w:tcPr>
            <w:tcW w:w="2120" w:type="dxa"/>
            <w:tcBorders>
              <w:top w:val="nil"/>
              <w:left w:val="nil"/>
              <w:bottom w:val="nil"/>
              <w:right w:val="nil"/>
            </w:tcBorders>
            <w:vAlign w:val="bottom"/>
          </w:tcPr>
          <w:p w14:paraId="1C772F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3606E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589A0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BE928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AD00F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5B492FB" w14:textId="77777777" w:rsidTr="009501B5">
        <w:trPr>
          <w:trHeight w:val="220"/>
        </w:trPr>
        <w:tc>
          <w:tcPr>
            <w:tcW w:w="2120" w:type="dxa"/>
            <w:tcBorders>
              <w:top w:val="nil"/>
              <w:left w:val="nil"/>
              <w:bottom w:val="nil"/>
              <w:right w:val="nil"/>
            </w:tcBorders>
            <w:vAlign w:val="bottom"/>
          </w:tcPr>
          <w:p w14:paraId="45E6C1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095E7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1E3DE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DD085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39D54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D595EDA" w14:textId="77777777" w:rsidTr="009501B5">
        <w:trPr>
          <w:trHeight w:val="220"/>
        </w:trPr>
        <w:tc>
          <w:tcPr>
            <w:tcW w:w="3170" w:type="dxa"/>
            <w:gridSpan w:val="2"/>
            <w:tcBorders>
              <w:top w:val="nil"/>
              <w:left w:val="nil"/>
              <w:bottom w:val="nil"/>
              <w:right w:val="nil"/>
            </w:tcBorders>
            <w:vAlign w:val="bottom"/>
          </w:tcPr>
          <w:p w14:paraId="6B77683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5EE61FA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6C9012A4" w14:textId="77777777" w:rsidTr="009501B5">
        <w:trPr>
          <w:trHeight w:hRule="exact" w:val="88"/>
        </w:trPr>
        <w:tc>
          <w:tcPr>
            <w:tcW w:w="2120" w:type="dxa"/>
            <w:tcBorders>
              <w:top w:val="nil"/>
              <w:left w:val="nil"/>
              <w:bottom w:val="double" w:sz="6" w:space="2" w:color="auto"/>
              <w:right w:val="nil"/>
            </w:tcBorders>
            <w:vAlign w:val="bottom"/>
          </w:tcPr>
          <w:p w14:paraId="28989D7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1DE01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CE69D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63DE6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FB061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35457FB" w14:textId="77777777" w:rsidTr="009501B5">
        <w:trPr>
          <w:trHeight w:hRule="exact" w:val="132"/>
        </w:trPr>
        <w:tc>
          <w:tcPr>
            <w:tcW w:w="2120" w:type="dxa"/>
            <w:tcBorders>
              <w:top w:val="nil"/>
              <w:left w:val="nil"/>
              <w:bottom w:val="nil"/>
              <w:right w:val="nil"/>
            </w:tcBorders>
            <w:vAlign w:val="bottom"/>
          </w:tcPr>
          <w:p w14:paraId="6E280C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17351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FFF0A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63891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3342A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A780F3A" w14:textId="77777777" w:rsidTr="009501B5">
        <w:trPr>
          <w:trHeight w:val="220"/>
        </w:trPr>
        <w:tc>
          <w:tcPr>
            <w:tcW w:w="2120" w:type="dxa"/>
            <w:tcBorders>
              <w:top w:val="nil"/>
              <w:left w:val="nil"/>
              <w:bottom w:val="nil"/>
              <w:right w:val="nil"/>
            </w:tcBorders>
            <w:vAlign w:val="bottom"/>
          </w:tcPr>
          <w:p w14:paraId="55BFE47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3DACA7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23A1EE5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1641D64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76C624A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4C33F335" w14:textId="77777777" w:rsidTr="009501B5">
        <w:trPr>
          <w:trHeight w:hRule="exact" w:val="88"/>
        </w:trPr>
        <w:tc>
          <w:tcPr>
            <w:tcW w:w="2120" w:type="dxa"/>
            <w:tcBorders>
              <w:top w:val="nil"/>
              <w:left w:val="nil"/>
              <w:bottom w:val="double" w:sz="6" w:space="2" w:color="auto"/>
              <w:right w:val="nil"/>
            </w:tcBorders>
            <w:vAlign w:val="bottom"/>
          </w:tcPr>
          <w:p w14:paraId="5AECFC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0A7A7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ACD4F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17235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58AE3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07F0E82" w14:textId="77777777" w:rsidTr="009501B5">
        <w:trPr>
          <w:trHeight w:hRule="exact" w:val="132"/>
        </w:trPr>
        <w:tc>
          <w:tcPr>
            <w:tcW w:w="2120" w:type="dxa"/>
            <w:tcBorders>
              <w:top w:val="nil"/>
              <w:left w:val="nil"/>
              <w:bottom w:val="nil"/>
              <w:right w:val="nil"/>
            </w:tcBorders>
            <w:vAlign w:val="bottom"/>
          </w:tcPr>
          <w:p w14:paraId="0006218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64119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A85AF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59EED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D09EA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C4F5CDC" w14:textId="77777777" w:rsidTr="009501B5">
        <w:trPr>
          <w:trHeight w:val="220"/>
        </w:trPr>
        <w:tc>
          <w:tcPr>
            <w:tcW w:w="2120" w:type="dxa"/>
            <w:tcBorders>
              <w:top w:val="nil"/>
              <w:left w:val="nil"/>
              <w:bottom w:val="nil"/>
              <w:right w:val="nil"/>
            </w:tcBorders>
            <w:vAlign w:val="bottom"/>
          </w:tcPr>
          <w:p w14:paraId="255C4D6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6111F0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3.893873</w:t>
            </w:r>
          </w:p>
        </w:tc>
        <w:tc>
          <w:tcPr>
            <w:tcW w:w="1150" w:type="dxa"/>
            <w:tcBorders>
              <w:top w:val="nil"/>
              <w:left w:val="nil"/>
              <w:bottom w:val="nil"/>
              <w:right w:val="nil"/>
            </w:tcBorders>
            <w:vAlign w:val="bottom"/>
          </w:tcPr>
          <w:p w14:paraId="0833690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3750C6D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2.75</w:t>
            </w:r>
          </w:p>
        </w:tc>
        <w:tc>
          <w:tcPr>
            <w:tcW w:w="950" w:type="dxa"/>
            <w:tcBorders>
              <w:top w:val="nil"/>
              <w:left w:val="nil"/>
              <w:bottom w:val="nil"/>
              <w:right w:val="nil"/>
            </w:tcBorders>
            <w:vAlign w:val="bottom"/>
          </w:tcPr>
          <w:p w14:paraId="30E8569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3.79</w:t>
            </w:r>
          </w:p>
        </w:tc>
      </w:tr>
      <w:tr w:rsidR="00EA38DE" w:rsidRPr="00EA38DE" w14:paraId="5A60F021" w14:textId="77777777" w:rsidTr="009501B5">
        <w:trPr>
          <w:trHeight w:val="220"/>
        </w:trPr>
        <w:tc>
          <w:tcPr>
            <w:tcW w:w="2120" w:type="dxa"/>
            <w:tcBorders>
              <w:top w:val="nil"/>
              <w:left w:val="nil"/>
              <w:bottom w:val="nil"/>
              <w:right w:val="nil"/>
            </w:tcBorders>
            <w:vAlign w:val="bottom"/>
          </w:tcPr>
          <w:p w14:paraId="6BAA5AF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0171411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70DA535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02BBF7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3.12</w:t>
            </w:r>
          </w:p>
        </w:tc>
        <w:tc>
          <w:tcPr>
            <w:tcW w:w="950" w:type="dxa"/>
            <w:tcBorders>
              <w:top w:val="nil"/>
              <w:left w:val="nil"/>
              <w:bottom w:val="nil"/>
              <w:right w:val="nil"/>
            </w:tcBorders>
            <w:vAlign w:val="bottom"/>
          </w:tcPr>
          <w:p w14:paraId="0012555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4.25</w:t>
            </w:r>
          </w:p>
        </w:tc>
      </w:tr>
      <w:tr w:rsidR="00EA38DE" w:rsidRPr="00EA38DE" w14:paraId="0953CF8A" w14:textId="77777777" w:rsidTr="009501B5">
        <w:trPr>
          <w:trHeight w:val="220"/>
        </w:trPr>
        <w:tc>
          <w:tcPr>
            <w:tcW w:w="2120" w:type="dxa"/>
            <w:tcBorders>
              <w:top w:val="nil"/>
              <w:left w:val="nil"/>
              <w:bottom w:val="nil"/>
              <w:right w:val="nil"/>
            </w:tcBorders>
            <w:vAlign w:val="bottom"/>
          </w:tcPr>
          <w:p w14:paraId="53E906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DB25BA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E7263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756FF0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3.49</w:t>
            </w:r>
          </w:p>
        </w:tc>
        <w:tc>
          <w:tcPr>
            <w:tcW w:w="950" w:type="dxa"/>
            <w:tcBorders>
              <w:top w:val="nil"/>
              <w:left w:val="nil"/>
              <w:bottom w:val="nil"/>
              <w:right w:val="nil"/>
            </w:tcBorders>
            <w:vAlign w:val="bottom"/>
          </w:tcPr>
          <w:p w14:paraId="6276F9A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4.67</w:t>
            </w:r>
          </w:p>
        </w:tc>
      </w:tr>
      <w:tr w:rsidR="00EA38DE" w:rsidRPr="00EA38DE" w14:paraId="7D713DF9" w14:textId="77777777" w:rsidTr="009501B5">
        <w:trPr>
          <w:trHeight w:val="220"/>
        </w:trPr>
        <w:tc>
          <w:tcPr>
            <w:tcW w:w="2120" w:type="dxa"/>
            <w:tcBorders>
              <w:top w:val="nil"/>
              <w:left w:val="nil"/>
              <w:bottom w:val="nil"/>
              <w:right w:val="nil"/>
            </w:tcBorders>
            <w:vAlign w:val="bottom"/>
          </w:tcPr>
          <w:p w14:paraId="6F4D95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E5F15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0C64CA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027813F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3.93</w:t>
            </w:r>
          </w:p>
        </w:tc>
        <w:tc>
          <w:tcPr>
            <w:tcW w:w="950" w:type="dxa"/>
            <w:tcBorders>
              <w:top w:val="nil"/>
              <w:left w:val="nil"/>
              <w:bottom w:val="nil"/>
              <w:right w:val="nil"/>
            </w:tcBorders>
            <w:vAlign w:val="bottom"/>
          </w:tcPr>
          <w:p w14:paraId="53A1B3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5.23</w:t>
            </w:r>
          </w:p>
        </w:tc>
      </w:tr>
      <w:tr w:rsidR="00EA38DE" w:rsidRPr="00EA38DE" w14:paraId="7EC07412" w14:textId="77777777" w:rsidTr="009501B5">
        <w:trPr>
          <w:trHeight w:hRule="exact" w:val="88"/>
        </w:trPr>
        <w:tc>
          <w:tcPr>
            <w:tcW w:w="2120" w:type="dxa"/>
            <w:tcBorders>
              <w:top w:val="nil"/>
              <w:left w:val="nil"/>
              <w:bottom w:val="double" w:sz="6" w:space="0" w:color="auto"/>
              <w:right w:val="nil"/>
            </w:tcBorders>
            <w:vAlign w:val="bottom"/>
          </w:tcPr>
          <w:p w14:paraId="7C637A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0F6FF7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584DFC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6589D7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741257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7008DE2" w14:textId="77777777" w:rsidTr="009501B5">
        <w:trPr>
          <w:trHeight w:hRule="exact" w:val="132"/>
        </w:trPr>
        <w:tc>
          <w:tcPr>
            <w:tcW w:w="2120" w:type="dxa"/>
            <w:tcBorders>
              <w:top w:val="nil"/>
              <w:left w:val="nil"/>
              <w:bottom w:val="nil"/>
              <w:right w:val="nil"/>
            </w:tcBorders>
            <w:vAlign w:val="bottom"/>
          </w:tcPr>
          <w:p w14:paraId="3831D3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A950D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344C2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FDEBF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F55BB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1B50076C" w14:textId="77777777" w:rsidR="003C6B00" w:rsidRPr="00EA38DE" w:rsidRDefault="003C6B00" w:rsidP="003C6B00">
      <w:r w:rsidRPr="00EA38DE">
        <w:rPr>
          <w:rFonts w:ascii="Arial" w:hAnsi="Arial" w:cs="Arial"/>
          <w:sz w:val="18"/>
          <w:szCs w:val="18"/>
        </w:rPr>
        <w:br/>
      </w:r>
    </w:p>
    <w:p w14:paraId="6839786C" w14:textId="77777777" w:rsidR="003C6B00" w:rsidRPr="00EA38DE" w:rsidRDefault="003C6B00" w:rsidP="003C6B00">
      <w:r w:rsidRPr="00EA38DE">
        <w:br/>
      </w:r>
    </w:p>
    <w:p w14:paraId="7FCDBE4B" w14:textId="77777777" w:rsidR="003C6B00" w:rsidRPr="00EA38DE" w:rsidRDefault="003C6B00" w:rsidP="003C6B00"/>
    <w:p w14:paraId="737B7E5C" w14:textId="77777777" w:rsidR="00C26BF7" w:rsidRPr="00EA38DE" w:rsidRDefault="00C26BF7" w:rsidP="003C6B00"/>
    <w:p w14:paraId="130A3524"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27F3680D" w14:textId="77777777" w:rsidTr="009501B5">
        <w:trPr>
          <w:trHeight w:val="220"/>
        </w:trPr>
        <w:tc>
          <w:tcPr>
            <w:tcW w:w="6420" w:type="dxa"/>
            <w:gridSpan w:val="5"/>
            <w:tcBorders>
              <w:top w:val="nil"/>
              <w:left w:val="nil"/>
              <w:bottom w:val="nil"/>
              <w:right w:val="nil"/>
            </w:tcBorders>
            <w:vAlign w:val="bottom"/>
          </w:tcPr>
          <w:p w14:paraId="09A55D2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ARDL Long Run Form and Bounds Test</w:t>
            </w:r>
          </w:p>
        </w:tc>
      </w:tr>
      <w:tr w:rsidR="00EA38DE" w:rsidRPr="00EA38DE" w14:paraId="0E42EF58" w14:textId="77777777" w:rsidTr="009501B5">
        <w:trPr>
          <w:trHeight w:val="220"/>
        </w:trPr>
        <w:tc>
          <w:tcPr>
            <w:tcW w:w="5470" w:type="dxa"/>
            <w:gridSpan w:val="4"/>
            <w:tcBorders>
              <w:top w:val="nil"/>
              <w:left w:val="nil"/>
              <w:bottom w:val="nil"/>
              <w:right w:val="nil"/>
            </w:tcBorders>
            <w:vAlign w:val="bottom"/>
          </w:tcPr>
          <w:p w14:paraId="3FEB8E1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D(LSHPC)</w:t>
            </w:r>
          </w:p>
        </w:tc>
        <w:tc>
          <w:tcPr>
            <w:tcW w:w="950" w:type="dxa"/>
            <w:tcBorders>
              <w:top w:val="nil"/>
              <w:left w:val="nil"/>
              <w:bottom w:val="nil"/>
              <w:right w:val="nil"/>
            </w:tcBorders>
            <w:vAlign w:val="bottom"/>
          </w:tcPr>
          <w:p w14:paraId="4AB7F5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8662E87" w14:textId="77777777" w:rsidTr="009501B5">
        <w:trPr>
          <w:trHeight w:val="220"/>
        </w:trPr>
        <w:tc>
          <w:tcPr>
            <w:tcW w:w="6420" w:type="dxa"/>
            <w:gridSpan w:val="5"/>
            <w:tcBorders>
              <w:top w:val="nil"/>
              <w:left w:val="nil"/>
              <w:bottom w:val="nil"/>
              <w:right w:val="nil"/>
            </w:tcBorders>
            <w:vAlign w:val="bottom"/>
          </w:tcPr>
          <w:p w14:paraId="38E4B0F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3, 3, 3, 3, 0)</w:t>
            </w:r>
          </w:p>
        </w:tc>
      </w:tr>
      <w:tr w:rsidR="00EA38DE" w:rsidRPr="00EA38DE" w14:paraId="6860FD06" w14:textId="77777777" w:rsidTr="009501B5">
        <w:trPr>
          <w:trHeight w:val="220"/>
        </w:trPr>
        <w:tc>
          <w:tcPr>
            <w:tcW w:w="6420" w:type="dxa"/>
            <w:gridSpan w:val="5"/>
            <w:tcBorders>
              <w:top w:val="nil"/>
              <w:left w:val="nil"/>
              <w:bottom w:val="nil"/>
              <w:right w:val="nil"/>
            </w:tcBorders>
            <w:vAlign w:val="bottom"/>
          </w:tcPr>
          <w:p w14:paraId="4313C45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16B4AE2E" w14:textId="77777777" w:rsidTr="009501B5">
        <w:trPr>
          <w:trHeight w:val="220"/>
        </w:trPr>
        <w:tc>
          <w:tcPr>
            <w:tcW w:w="5470" w:type="dxa"/>
            <w:gridSpan w:val="4"/>
            <w:tcBorders>
              <w:top w:val="nil"/>
              <w:left w:val="nil"/>
              <w:bottom w:val="nil"/>
              <w:right w:val="nil"/>
            </w:tcBorders>
            <w:vAlign w:val="bottom"/>
          </w:tcPr>
          <w:p w14:paraId="6BD7B5D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09:55</w:t>
            </w:r>
          </w:p>
        </w:tc>
        <w:tc>
          <w:tcPr>
            <w:tcW w:w="950" w:type="dxa"/>
            <w:tcBorders>
              <w:top w:val="nil"/>
              <w:left w:val="nil"/>
              <w:bottom w:val="nil"/>
              <w:right w:val="nil"/>
            </w:tcBorders>
            <w:vAlign w:val="bottom"/>
          </w:tcPr>
          <w:p w14:paraId="4D6780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64CCB83" w14:textId="77777777" w:rsidTr="009501B5">
        <w:trPr>
          <w:trHeight w:val="220"/>
        </w:trPr>
        <w:tc>
          <w:tcPr>
            <w:tcW w:w="4320" w:type="dxa"/>
            <w:gridSpan w:val="3"/>
            <w:tcBorders>
              <w:top w:val="nil"/>
              <w:left w:val="nil"/>
              <w:bottom w:val="nil"/>
              <w:right w:val="nil"/>
            </w:tcBorders>
            <w:vAlign w:val="bottom"/>
          </w:tcPr>
          <w:p w14:paraId="2C8AE33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673C94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A241B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59F1669" w14:textId="77777777" w:rsidTr="009501B5">
        <w:trPr>
          <w:trHeight w:val="220"/>
        </w:trPr>
        <w:tc>
          <w:tcPr>
            <w:tcW w:w="5470" w:type="dxa"/>
            <w:gridSpan w:val="4"/>
            <w:tcBorders>
              <w:top w:val="nil"/>
              <w:left w:val="nil"/>
              <w:bottom w:val="nil"/>
              <w:right w:val="nil"/>
            </w:tcBorders>
            <w:vAlign w:val="bottom"/>
          </w:tcPr>
          <w:p w14:paraId="7B285A9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562788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3152777" w14:textId="77777777" w:rsidTr="009501B5">
        <w:trPr>
          <w:trHeight w:hRule="exact" w:val="88"/>
        </w:trPr>
        <w:tc>
          <w:tcPr>
            <w:tcW w:w="2120" w:type="dxa"/>
            <w:tcBorders>
              <w:top w:val="nil"/>
              <w:left w:val="nil"/>
              <w:bottom w:val="double" w:sz="6" w:space="2" w:color="auto"/>
              <w:right w:val="nil"/>
            </w:tcBorders>
            <w:vAlign w:val="bottom"/>
          </w:tcPr>
          <w:p w14:paraId="032B96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A3D97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7F143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DC70D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8626D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2F1CB10" w14:textId="77777777" w:rsidTr="009501B5">
        <w:trPr>
          <w:trHeight w:hRule="exact" w:val="132"/>
        </w:trPr>
        <w:tc>
          <w:tcPr>
            <w:tcW w:w="2120" w:type="dxa"/>
            <w:tcBorders>
              <w:top w:val="nil"/>
              <w:left w:val="nil"/>
              <w:bottom w:val="nil"/>
              <w:right w:val="nil"/>
            </w:tcBorders>
            <w:vAlign w:val="bottom"/>
          </w:tcPr>
          <w:p w14:paraId="5D97AF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F34FF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F4134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37913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6DDB8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68B2ED7" w14:textId="77777777" w:rsidTr="009501B5">
        <w:trPr>
          <w:trHeight w:val="220"/>
        </w:trPr>
        <w:tc>
          <w:tcPr>
            <w:tcW w:w="6420" w:type="dxa"/>
            <w:gridSpan w:val="5"/>
            <w:tcBorders>
              <w:top w:val="nil"/>
              <w:left w:val="nil"/>
              <w:bottom w:val="nil"/>
              <w:right w:val="nil"/>
            </w:tcBorders>
            <w:vAlign w:val="bottom"/>
          </w:tcPr>
          <w:p w14:paraId="3107E2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674CE5E7" w14:textId="77777777" w:rsidTr="009501B5">
        <w:trPr>
          <w:trHeight w:hRule="exact" w:val="88"/>
        </w:trPr>
        <w:tc>
          <w:tcPr>
            <w:tcW w:w="2120" w:type="dxa"/>
            <w:tcBorders>
              <w:top w:val="nil"/>
              <w:left w:val="nil"/>
              <w:bottom w:val="double" w:sz="6" w:space="2" w:color="auto"/>
              <w:right w:val="nil"/>
            </w:tcBorders>
            <w:vAlign w:val="bottom"/>
          </w:tcPr>
          <w:p w14:paraId="7490AB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D2330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A14EA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F7E37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82966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5774A30" w14:textId="77777777" w:rsidTr="009501B5">
        <w:trPr>
          <w:trHeight w:hRule="exact" w:val="132"/>
        </w:trPr>
        <w:tc>
          <w:tcPr>
            <w:tcW w:w="2120" w:type="dxa"/>
            <w:tcBorders>
              <w:top w:val="nil"/>
              <w:left w:val="nil"/>
              <w:bottom w:val="nil"/>
              <w:right w:val="nil"/>
            </w:tcBorders>
            <w:vAlign w:val="bottom"/>
          </w:tcPr>
          <w:p w14:paraId="0C1CC6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700B8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AFBB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B768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030A6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C92FBB7" w14:textId="77777777" w:rsidTr="009501B5">
        <w:trPr>
          <w:trHeight w:val="220"/>
        </w:trPr>
        <w:tc>
          <w:tcPr>
            <w:tcW w:w="2120" w:type="dxa"/>
            <w:tcBorders>
              <w:top w:val="nil"/>
              <w:left w:val="nil"/>
              <w:bottom w:val="nil"/>
              <w:right w:val="nil"/>
            </w:tcBorders>
            <w:vAlign w:val="bottom"/>
          </w:tcPr>
          <w:p w14:paraId="3C65D9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2A4D10F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6991D3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1A77AFD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7CA1F72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01D951F6" w14:textId="77777777" w:rsidTr="009501B5">
        <w:trPr>
          <w:trHeight w:hRule="exact" w:val="88"/>
        </w:trPr>
        <w:tc>
          <w:tcPr>
            <w:tcW w:w="2120" w:type="dxa"/>
            <w:tcBorders>
              <w:top w:val="nil"/>
              <w:left w:val="nil"/>
              <w:bottom w:val="double" w:sz="6" w:space="2" w:color="auto"/>
              <w:right w:val="nil"/>
            </w:tcBorders>
            <w:vAlign w:val="bottom"/>
          </w:tcPr>
          <w:p w14:paraId="5DCF7B0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BAF12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66D83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266CF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D3914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773E850" w14:textId="77777777" w:rsidTr="009501B5">
        <w:trPr>
          <w:trHeight w:hRule="exact" w:val="132"/>
        </w:trPr>
        <w:tc>
          <w:tcPr>
            <w:tcW w:w="2120" w:type="dxa"/>
            <w:tcBorders>
              <w:top w:val="nil"/>
              <w:left w:val="nil"/>
              <w:bottom w:val="nil"/>
              <w:right w:val="nil"/>
            </w:tcBorders>
            <w:vAlign w:val="bottom"/>
          </w:tcPr>
          <w:p w14:paraId="092A0C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D26E0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7733F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5284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7A95D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4FB9D4F" w14:textId="77777777" w:rsidTr="009501B5">
        <w:trPr>
          <w:trHeight w:val="220"/>
        </w:trPr>
        <w:tc>
          <w:tcPr>
            <w:tcW w:w="2120" w:type="dxa"/>
            <w:tcBorders>
              <w:top w:val="nil"/>
              <w:left w:val="nil"/>
              <w:bottom w:val="nil"/>
              <w:right w:val="nil"/>
            </w:tcBorders>
            <w:vAlign w:val="bottom"/>
          </w:tcPr>
          <w:p w14:paraId="14A41A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7698BD3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372.4412</w:t>
            </w:r>
          </w:p>
        </w:tc>
        <w:tc>
          <w:tcPr>
            <w:tcW w:w="1150" w:type="dxa"/>
            <w:tcBorders>
              <w:top w:val="nil"/>
              <w:left w:val="nil"/>
              <w:bottom w:val="nil"/>
              <w:right w:val="nil"/>
            </w:tcBorders>
            <w:vAlign w:val="bottom"/>
          </w:tcPr>
          <w:p w14:paraId="5C9FF3B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172.0393</w:t>
            </w:r>
          </w:p>
        </w:tc>
        <w:tc>
          <w:tcPr>
            <w:tcW w:w="1150" w:type="dxa"/>
            <w:tcBorders>
              <w:top w:val="nil"/>
              <w:left w:val="nil"/>
              <w:bottom w:val="nil"/>
              <w:right w:val="nil"/>
            </w:tcBorders>
            <w:vAlign w:val="bottom"/>
          </w:tcPr>
          <w:p w14:paraId="7F54D2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2.164861</w:t>
            </w:r>
          </w:p>
        </w:tc>
        <w:tc>
          <w:tcPr>
            <w:tcW w:w="950" w:type="dxa"/>
            <w:tcBorders>
              <w:top w:val="nil"/>
              <w:left w:val="nil"/>
              <w:bottom w:val="nil"/>
              <w:right w:val="nil"/>
            </w:tcBorders>
            <w:vAlign w:val="bottom"/>
          </w:tcPr>
          <w:p w14:paraId="7414974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0.0513</w:t>
            </w:r>
          </w:p>
        </w:tc>
      </w:tr>
      <w:tr w:rsidR="00EA38DE" w:rsidRPr="00EA38DE" w14:paraId="766727D4" w14:textId="77777777" w:rsidTr="009501B5">
        <w:trPr>
          <w:trHeight w:val="220"/>
        </w:trPr>
        <w:tc>
          <w:tcPr>
            <w:tcW w:w="2120" w:type="dxa"/>
            <w:tcBorders>
              <w:top w:val="nil"/>
              <w:left w:val="nil"/>
              <w:bottom w:val="nil"/>
              <w:right w:val="nil"/>
            </w:tcBorders>
            <w:vAlign w:val="bottom"/>
          </w:tcPr>
          <w:p w14:paraId="53CED3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@TREND</w:t>
            </w:r>
          </w:p>
        </w:tc>
        <w:tc>
          <w:tcPr>
            <w:tcW w:w="1050" w:type="dxa"/>
            <w:tcBorders>
              <w:top w:val="nil"/>
              <w:left w:val="nil"/>
              <w:bottom w:val="nil"/>
              <w:right w:val="nil"/>
            </w:tcBorders>
            <w:vAlign w:val="bottom"/>
          </w:tcPr>
          <w:p w14:paraId="40A4874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1.003712</w:t>
            </w:r>
          </w:p>
        </w:tc>
        <w:tc>
          <w:tcPr>
            <w:tcW w:w="1150" w:type="dxa"/>
            <w:tcBorders>
              <w:top w:val="nil"/>
              <w:left w:val="nil"/>
              <w:bottom w:val="nil"/>
              <w:right w:val="nil"/>
            </w:tcBorders>
            <w:vAlign w:val="bottom"/>
          </w:tcPr>
          <w:p w14:paraId="02E6B5B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0.449640</w:t>
            </w:r>
          </w:p>
        </w:tc>
        <w:tc>
          <w:tcPr>
            <w:tcW w:w="1150" w:type="dxa"/>
            <w:tcBorders>
              <w:top w:val="nil"/>
              <w:left w:val="nil"/>
              <w:bottom w:val="nil"/>
              <w:right w:val="nil"/>
            </w:tcBorders>
            <w:vAlign w:val="bottom"/>
          </w:tcPr>
          <w:p w14:paraId="67D6F2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2.232256</w:t>
            </w:r>
          </w:p>
        </w:tc>
        <w:tc>
          <w:tcPr>
            <w:tcW w:w="950" w:type="dxa"/>
            <w:tcBorders>
              <w:top w:val="nil"/>
              <w:left w:val="nil"/>
              <w:bottom w:val="nil"/>
              <w:right w:val="nil"/>
            </w:tcBorders>
            <w:vAlign w:val="bottom"/>
          </w:tcPr>
          <w:p w14:paraId="3C28704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0.0454</w:t>
            </w:r>
          </w:p>
        </w:tc>
      </w:tr>
      <w:tr w:rsidR="00EA38DE" w:rsidRPr="00EA38DE" w14:paraId="5452D1AB" w14:textId="77777777" w:rsidTr="009501B5">
        <w:trPr>
          <w:trHeight w:val="220"/>
        </w:trPr>
        <w:tc>
          <w:tcPr>
            <w:tcW w:w="2120" w:type="dxa"/>
            <w:tcBorders>
              <w:top w:val="nil"/>
              <w:left w:val="nil"/>
              <w:bottom w:val="nil"/>
              <w:right w:val="nil"/>
            </w:tcBorders>
            <w:vAlign w:val="bottom"/>
          </w:tcPr>
          <w:p w14:paraId="6E6FF5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LSHPC(-1)*</w:t>
            </w:r>
          </w:p>
        </w:tc>
        <w:tc>
          <w:tcPr>
            <w:tcW w:w="1050" w:type="dxa"/>
            <w:tcBorders>
              <w:top w:val="nil"/>
              <w:left w:val="nil"/>
              <w:bottom w:val="nil"/>
              <w:right w:val="nil"/>
            </w:tcBorders>
            <w:vAlign w:val="bottom"/>
          </w:tcPr>
          <w:p w14:paraId="5825BD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-0.498660</w:t>
            </w:r>
          </w:p>
        </w:tc>
        <w:tc>
          <w:tcPr>
            <w:tcW w:w="1150" w:type="dxa"/>
            <w:tcBorders>
              <w:top w:val="nil"/>
              <w:left w:val="nil"/>
              <w:bottom w:val="nil"/>
              <w:right w:val="nil"/>
            </w:tcBorders>
            <w:vAlign w:val="bottom"/>
          </w:tcPr>
          <w:p w14:paraId="3AD40B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0.158878</w:t>
            </w:r>
          </w:p>
        </w:tc>
        <w:tc>
          <w:tcPr>
            <w:tcW w:w="1150" w:type="dxa"/>
            <w:tcBorders>
              <w:top w:val="nil"/>
              <w:left w:val="nil"/>
              <w:bottom w:val="nil"/>
              <w:right w:val="nil"/>
            </w:tcBorders>
            <w:vAlign w:val="bottom"/>
          </w:tcPr>
          <w:p w14:paraId="73C52A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-3.138641</w:t>
            </w:r>
          </w:p>
        </w:tc>
        <w:tc>
          <w:tcPr>
            <w:tcW w:w="950" w:type="dxa"/>
            <w:tcBorders>
              <w:top w:val="nil"/>
              <w:left w:val="nil"/>
              <w:bottom w:val="nil"/>
              <w:right w:val="nil"/>
            </w:tcBorders>
            <w:vAlign w:val="bottom"/>
          </w:tcPr>
          <w:p w14:paraId="6DFE6AC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0.0086</w:t>
            </w:r>
          </w:p>
        </w:tc>
      </w:tr>
      <w:tr w:rsidR="00EA38DE" w:rsidRPr="00EA38DE" w14:paraId="79BE97C2" w14:textId="77777777" w:rsidTr="009501B5">
        <w:trPr>
          <w:trHeight w:val="220"/>
        </w:trPr>
        <w:tc>
          <w:tcPr>
            <w:tcW w:w="2120" w:type="dxa"/>
            <w:tcBorders>
              <w:top w:val="nil"/>
              <w:left w:val="nil"/>
              <w:bottom w:val="nil"/>
              <w:right w:val="nil"/>
            </w:tcBorders>
            <w:vAlign w:val="bottom"/>
          </w:tcPr>
          <w:p w14:paraId="08427F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LAQT(-1)</w:t>
            </w:r>
          </w:p>
        </w:tc>
        <w:tc>
          <w:tcPr>
            <w:tcW w:w="1050" w:type="dxa"/>
            <w:tcBorders>
              <w:top w:val="nil"/>
              <w:left w:val="nil"/>
              <w:bottom w:val="nil"/>
              <w:right w:val="nil"/>
            </w:tcBorders>
            <w:vAlign w:val="bottom"/>
          </w:tcPr>
          <w:p w14:paraId="7A29525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-0.810178</w:t>
            </w:r>
          </w:p>
        </w:tc>
        <w:tc>
          <w:tcPr>
            <w:tcW w:w="1150" w:type="dxa"/>
            <w:tcBorders>
              <w:top w:val="nil"/>
              <w:left w:val="nil"/>
              <w:bottom w:val="nil"/>
              <w:right w:val="nil"/>
            </w:tcBorders>
            <w:vAlign w:val="bottom"/>
          </w:tcPr>
          <w:p w14:paraId="1E4981F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0.346251</w:t>
            </w:r>
          </w:p>
        </w:tc>
        <w:tc>
          <w:tcPr>
            <w:tcW w:w="1150" w:type="dxa"/>
            <w:tcBorders>
              <w:top w:val="nil"/>
              <w:left w:val="nil"/>
              <w:bottom w:val="nil"/>
              <w:right w:val="nil"/>
            </w:tcBorders>
            <w:vAlign w:val="bottom"/>
          </w:tcPr>
          <w:p w14:paraId="050AD1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-2.339857</w:t>
            </w:r>
          </w:p>
        </w:tc>
        <w:tc>
          <w:tcPr>
            <w:tcW w:w="950" w:type="dxa"/>
            <w:tcBorders>
              <w:top w:val="nil"/>
              <w:left w:val="nil"/>
              <w:bottom w:val="nil"/>
              <w:right w:val="nil"/>
            </w:tcBorders>
            <w:vAlign w:val="bottom"/>
          </w:tcPr>
          <w:p w14:paraId="0B0FD72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0.0374</w:t>
            </w:r>
          </w:p>
        </w:tc>
      </w:tr>
      <w:tr w:rsidR="00EA38DE" w:rsidRPr="00EA38DE" w14:paraId="6151AF45" w14:textId="77777777" w:rsidTr="009501B5">
        <w:trPr>
          <w:trHeight w:val="220"/>
        </w:trPr>
        <w:tc>
          <w:tcPr>
            <w:tcW w:w="2120" w:type="dxa"/>
            <w:tcBorders>
              <w:top w:val="nil"/>
              <w:left w:val="nil"/>
              <w:bottom w:val="nil"/>
              <w:right w:val="nil"/>
            </w:tcBorders>
            <w:vAlign w:val="bottom"/>
          </w:tcPr>
          <w:p w14:paraId="1FD0F97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IFR(-1)</w:t>
            </w:r>
          </w:p>
        </w:tc>
        <w:tc>
          <w:tcPr>
            <w:tcW w:w="1050" w:type="dxa"/>
            <w:tcBorders>
              <w:top w:val="nil"/>
              <w:left w:val="nil"/>
              <w:bottom w:val="nil"/>
              <w:right w:val="nil"/>
            </w:tcBorders>
            <w:vAlign w:val="bottom"/>
          </w:tcPr>
          <w:p w14:paraId="2EFE49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0.003889</w:t>
            </w:r>
          </w:p>
        </w:tc>
        <w:tc>
          <w:tcPr>
            <w:tcW w:w="1150" w:type="dxa"/>
            <w:tcBorders>
              <w:top w:val="nil"/>
              <w:left w:val="nil"/>
              <w:bottom w:val="nil"/>
              <w:right w:val="nil"/>
            </w:tcBorders>
            <w:vAlign w:val="bottom"/>
          </w:tcPr>
          <w:p w14:paraId="6C5991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0.004362</w:t>
            </w:r>
          </w:p>
        </w:tc>
        <w:tc>
          <w:tcPr>
            <w:tcW w:w="1150" w:type="dxa"/>
            <w:tcBorders>
              <w:top w:val="nil"/>
              <w:left w:val="nil"/>
              <w:bottom w:val="nil"/>
              <w:right w:val="nil"/>
            </w:tcBorders>
            <w:vAlign w:val="bottom"/>
          </w:tcPr>
          <w:p w14:paraId="4328FF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0.891716</w:t>
            </w:r>
          </w:p>
        </w:tc>
        <w:tc>
          <w:tcPr>
            <w:tcW w:w="950" w:type="dxa"/>
            <w:tcBorders>
              <w:top w:val="nil"/>
              <w:left w:val="nil"/>
              <w:bottom w:val="nil"/>
              <w:right w:val="nil"/>
            </w:tcBorders>
            <w:vAlign w:val="bottom"/>
          </w:tcPr>
          <w:p w14:paraId="16EB70C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0.3901</w:t>
            </w:r>
          </w:p>
        </w:tc>
      </w:tr>
      <w:tr w:rsidR="00EA38DE" w:rsidRPr="00EA38DE" w14:paraId="6164033B" w14:textId="77777777" w:rsidTr="009501B5">
        <w:trPr>
          <w:trHeight w:val="220"/>
        </w:trPr>
        <w:tc>
          <w:tcPr>
            <w:tcW w:w="2120" w:type="dxa"/>
            <w:tcBorders>
              <w:top w:val="nil"/>
              <w:left w:val="nil"/>
              <w:bottom w:val="nil"/>
              <w:right w:val="nil"/>
            </w:tcBorders>
            <w:vAlign w:val="bottom"/>
          </w:tcPr>
          <w:p w14:paraId="15BDE0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LLAB(-1)</w:t>
            </w:r>
          </w:p>
        </w:tc>
        <w:tc>
          <w:tcPr>
            <w:tcW w:w="1050" w:type="dxa"/>
            <w:tcBorders>
              <w:top w:val="nil"/>
              <w:left w:val="nil"/>
              <w:bottom w:val="nil"/>
              <w:right w:val="nil"/>
            </w:tcBorders>
            <w:vAlign w:val="bottom"/>
          </w:tcPr>
          <w:p w14:paraId="3055BBC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-33.55715</w:t>
            </w:r>
          </w:p>
        </w:tc>
        <w:tc>
          <w:tcPr>
            <w:tcW w:w="1150" w:type="dxa"/>
            <w:tcBorders>
              <w:top w:val="nil"/>
              <w:left w:val="nil"/>
              <w:bottom w:val="nil"/>
              <w:right w:val="nil"/>
            </w:tcBorders>
            <w:vAlign w:val="bottom"/>
          </w:tcPr>
          <w:p w14:paraId="6412D47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15.86408</w:t>
            </w:r>
          </w:p>
        </w:tc>
        <w:tc>
          <w:tcPr>
            <w:tcW w:w="1150" w:type="dxa"/>
            <w:tcBorders>
              <w:top w:val="nil"/>
              <w:left w:val="nil"/>
              <w:bottom w:val="nil"/>
              <w:right w:val="nil"/>
            </w:tcBorders>
            <w:vAlign w:val="bottom"/>
          </w:tcPr>
          <w:p w14:paraId="416E5C2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-2.115292</w:t>
            </w:r>
          </w:p>
        </w:tc>
        <w:tc>
          <w:tcPr>
            <w:tcW w:w="950" w:type="dxa"/>
            <w:tcBorders>
              <w:top w:val="nil"/>
              <w:left w:val="nil"/>
              <w:bottom w:val="nil"/>
              <w:right w:val="nil"/>
            </w:tcBorders>
            <w:vAlign w:val="bottom"/>
          </w:tcPr>
          <w:p w14:paraId="41D347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0.0560</w:t>
            </w:r>
          </w:p>
        </w:tc>
      </w:tr>
      <w:tr w:rsidR="00EA38DE" w:rsidRPr="00EA38DE" w14:paraId="5D679071" w14:textId="77777777" w:rsidTr="009501B5">
        <w:trPr>
          <w:trHeight w:val="220"/>
        </w:trPr>
        <w:tc>
          <w:tcPr>
            <w:tcW w:w="2120" w:type="dxa"/>
            <w:tcBorders>
              <w:top w:val="nil"/>
              <w:left w:val="nil"/>
              <w:bottom w:val="nil"/>
              <w:right w:val="nil"/>
            </w:tcBorders>
            <w:vAlign w:val="bottom"/>
          </w:tcPr>
          <w:p w14:paraId="54DCE4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LGR(-1)</w:t>
            </w:r>
          </w:p>
        </w:tc>
        <w:tc>
          <w:tcPr>
            <w:tcW w:w="1050" w:type="dxa"/>
            <w:tcBorders>
              <w:top w:val="nil"/>
              <w:left w:val="nil"/>
              <w:bottom w:val="nil"/>
              <w:right w:val="nil"/>
            </w:tcBorders>
            <w:vAlign w:val="bottom"/>
          </w:tcPr>
          <w:p w14:paraId="393A863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-0.297435</w:t>
            </w:r>
          </w:p>
        </w:tc>
        <w:tc>
          <w:tcPr>
            <w:tcW w:w="1150" w:type="dxa"/>
            <w:tcBorders>
              <w:top w:val="nil"/>
              <w:left w:val="nil"/>
              <w:bottom w:val="nil"/>
              <w:right w:val="nil"/>
            </w:tcBorders>
            <w:vAlign w:val="bottom"/>
          </w:tcPr>
          <w:p w14:paraId="153BD4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0.261942</w:t>
            </w:r>
          </w:p>
        </w:tc>
        <w:tc>
          <w:tcPr>
            <w:tcW w:w="1150" w:type="dxa"/>
            <w:tcBorders>
              <w:top w:val="nil"/>
              <w:left w:val="nil"/>
              <w:bottom w:val="nil"/>
              <w:right w:val="nil"/>
            </w:tcBorders>
            <w:vAlign w:val="bottom"/>
          </w:tcPr>
          <w:p w14:paraId="3354419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-1.135501</w:t>
            </w:r>
          </w:p>
        </w:tc>
        <w:tc>
          <w:tcPr>
            <w:tcW w:w="950" w:type="dxa"/>
            <w:tcBorders>
              <w:top w:val="nil"/>
              <w:left w:val="nil"/>
              <w:bottom w:val="nil"/>
              <w:right w:val="nil"/>
            </w:tcBorders>
            <w:vAlign w:val="bottom"/>
          </w:tcPr>
          <w:p w14:paraId="4265FB5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0.2783</w:t>
            </w:r>
          </w:p>
        </w:tc>
      </w:tr>
      <w:tr w:rsidR="00EA38DE" w:rsidRPr="00EA38DE" w14:paraId="1D912966" w14:textId="77777777" w:rsidTr="009501B5">
        <w:trPr>
          <w:trHeight w:val="220"/>
        </w:trPr>
        <w:tc>
          <w:tcPr>
            <w:tcW w:w="2120" w:type="dxa"/>
            <w:tcBorders>
              <w:top w:val="nil"/>
              <w:left w:val="nil"/>
              <w:bottom w:val="nil"/>
              <w:right w:val="nil"/>
            </w:tcBorders>
            <w:vAlign w:val="bottom"/>
          </w:tcPr>
          <w:p w14:paraId="691D31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1FFF8A1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-0.004238</w:t>
            </w:r>
          </w:p>
        </w:tc>
        <w:tc>
          <w:tcPr>
            <w:tcW w:w="1150" w:type="dxa"/>
            <w:tcBorders>
              <w:top w:val="nil"/>
              <w:left w:val="nil"/>
              <w:bottom w:val="nil"/>
              <w:right w:val="nil"/>
            </w:tcBorders>
            <w:vAlign w:val="bottom"/>
          </w:tcPr>
          <w:p w14:paraId="2961180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0.055908</w:t>
            </w:r>
          </w:p>
        </w:tc>
        <w:tc>
          <w:tcPr>
            <w:tcW w:w="1150" w:type="dxa"/>
            <w:tcBorders>
              <w:top w:val="nil"/>
              <w:left w:val="nil"/>
              <w:bottom w:val="nil"/>
              <w:right w:val="nil"/>
            </w:tcBorders>
            <w:vAlign w:val="bottom"/>
          </w:tcPr>
          <w:p w14:paraId="0CE39A9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-0.075805</w:t>
            </w:r>
          </w:p>
        </w:tc>
        <w:tc>
          <w:tcPr>
            <w:tcW w:w="950" w:type="dxa"/>
            <w:tcBorders>
              <w:top w:val="nil"/>
              <w:left w:val="nil"/>
              <w:bottom w:val="nil"/>
              <w:right w:val="nil"/>
            </w:tcBorders>
            <w:vAlign w:val="bottom"/>
          </w:tcPr>
          <w:p w14:paraId="12AD4D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0.9408</w:t>
            </w:r>
          </w:p>
        </w:tc>
      </w:tr>
      <w:tr w:rsidR="00EA38DE" w:rsidRPr="00EA38DE" w14:paraId="2A64485F" w14:textId="77777777" w:rsidTr="009501B5">
        <w:trPr>
          <w:trHeight w:val="220"/>
        </w:trPr>
        <w:tc>
          <w:tcPr>
            <w:tcW w:w="2120" w:type="dxa"/>
            <w:tcBorders>
              <w:top w:val="nil"/>
              <w:left w:val="nil"/>
              <w:bottom w:val="nil"/>
              <w:right w:val="nil"/>
            </w:tcBorders>
            <w:vAlign w:val="bottom"/>
          </w:tcPr>
          <w:p w14:paraId="64EDE9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w:t>
            </w:r>
          </w:p>
        </w:tc>
        <w:tc>
          <w:tcPr>
            <w:tcW w:w="1050" w:type="dxa"/>
            <w:tcBorders>
              <w:top w:val="nil"/>
              <w:left w:val="nil"/>
              <w:bottom w:val="nil"/>
              <w:right w:val="nil"/>
            </w:tcBorders>
            <w:vAlign w:val="bottom"/>
          </w:tcPr>
          <w:p w14:paraId="161722E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-0.406603</w:t>
            </w:r>
          </w:p>
        </w:tc>
        <w:tc>
          <w:tcPr>
            <w:tcW w:w="1150" w:type="dxa"/>
            <w:tcBorders>
              <w:top w:val="nil"/>
              <w:left w:val="nil"/>
              <w:bottom w:val="nil"/>
              <w:right w:val="nil"/>
            </w:tcBorders>
            <w:vAlign w:val="bottom"/>
          </w:tcPr>
          <w:p w14:paraId="10A239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0.351366</w:t>
            </w:r>
          </w:p>
        </w:tc>
        <w:tc>
          <w:tcPr>
            <w:tcW w:w="1150" w:type="dxa"/>
            <w:tcBorders>
              <w:top w:val="nil"/>
              <w:left w:val="nil"/>
              <w:bottom w:val="nil"/>
              <w:right w:val="nil"/>
            </w:tcBorders>
            <w:vAlign w:val="bottom"/>
          </w:tcPr>
          <w:p w14:paraId="3A84D7F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-1.157208</w:t>
            </w:r>
          </w:p>
        </w:tc>
        <w:tc>
          <w:tcPr>
            <w:tcW w:w="950" w:type="dxa"/>
            <w:tcBorders>
              <w:top w:val="nil"/>
              <w:left w:val="nil"/>
              <w:bottom w:val="nil"/>
              <w:right w:val="nil"/>
            </w:tcBorders>
            <w:vAlign w:val="bottom"/>
          </w:tcPr>
          <w:p w14:paraId="155CF6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0.2697</w:t>
            </w:r>
          </w:p>
        </w:tc>
      </w:tr>
      <w:tr w:rsidR="00EA38DE" w:rsidRPr="00EA38DE" w14:paraId="4E9F5442" w14:textId="77777777" w:rsidTr="009501B5">
        <w:trPr>
          <w:trHeight w:val="220"/>
        </w:trPr>
        <w:tc>
          <w:tcPr>
            <w:tcW w:w="2120" w:type="dxa"/>
            <w:tcBorders>
              <w:top w:val="nil"/>
              <w:left w:val="nil"/>
              <w:bottom w:val="nil"/>
              <w:right w:val="nil"/>
            </w:tcBorders>
            <w:vAlign w:val="bottom"/>
          </w:tcPr>
          <w:p w14:paraId="64391E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D(LAQT(-1))</w:t>
            </w:r>
          </w:p>
        </w:tc>
        <w:tc>
          <w:tcPr>
            <w:tcW w:w="1050" w:type="dxa"/>
            <w:tcBorders>
              <w:top w:val="nil"/>
              <w:left w:val="nil"/>
              <w:bottom w:val="nil"/>
              <w:right w:val="nil"/>
            </w:tcBorders>
            <w:vAlign w:val="bottom"/>
          </w:tcPr>
          <w:p w14:paraId="7E4B8B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0.705401</w:t>
            </w:r>
          </w:p>
        </w:tc>
        <w:tc>
          <w:tcPr>
            <w:tcW w:w="1150" w:type="dxa"/>
            <w:tcBorders>
              <w:top w:val="nil"/>
              <w:left w:val="nil"/>
              <w:bottom w:val="nil"/>
              <w:right w:val="nil"/>
            </w:tcBorders>
            <w:vAlign w:val="bottom"/>
          </w:tcPr>
          <w:p w14:paraId="333BEA5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0.243148</w:t>
            </w:r>
          </w:p>
        </w:tc>
        <w:tc>
          <w:tcPr>
            <w:tcW w:w="1150" w:type="dxa"/>
            <w:tcBorders>
              <w:top w:val="nil"/>
              <w:left w:val="nil"/>
              <w:bottom w:val="nil"/>
              <w:right w:val="nil"/>
            </w:tcBorders>
            <w:vAlign w:val="bottom"/>
          </w:tcPr>
          <w:p w14:paraId="1C99ACA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2.901122</w:t>
            </w:r>
          </w:p>
        </w:tc>
        <w:tc>
          <w:tcPr>
            <w:tcW w:w="950" w:type="dxa"/>
            <w:tcBorders>
              <w:top w:val="nil"/>
              <w:left w:val="nil"/>
              <w:bottom w:val="nil"/>
              <w:right w:val="nil"/>
            </w:tcBorders>
            <w:vAlign w:val="bottom"/>
          </w:tcPr>
          <w:p w14:paraId="4E813A1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0.0133</w:t>
            </w:r>
          </w:p>
        </w:tc>
      </w:tr>
      <w:tr w:rsidR="00EA38DE" w:rsidRPr="00EA38DE" w14:paraId="33FDD65E" w14:textId="77777777" w:rsidTr="009501B5">
        <w:trPr>
          <w:trHeight w:val="220"/>
        </w:trPr>
        <w:tc>
          <w:tcPr>
            <w:tcW w:w="2120" w:type="dxa"/>
            <w:tcBorders>
              <w:top w:val="nil"/>
              <w:left w:val="nil"/>
              <w:bottom w:val="nil"/>
              <w:right w:val="nil"/>
            </w:tcBorders>
            <w:vAlign w:val="bottom"/>
          </w:tcPr>
          <w:p w14:paraId="51704D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D(LAQT(-2))</w:t>
            </w:r>
          </w:p>
        </w:tc>
        <w:tc>
          <w:tcPr>
            <w:tcW w:w="1050" w:type="dxa"/>
            <w:tcBorders>
              <w:top w:val="nil"/>
              <w:left w:val="nil"/>
              <w:bottom w:val="nil"/>
              <w:right w:val="nil"/>
            </w:tcBorders>
            <w:vAlign w:val="bottom"/>
          </w:tcPr>
          <w:p w14:paraId="5C4BCD1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0.343347</w:t>
            </w:r>
          </w:p>
        </w:tc>
        <w:tc>
          <w:tcPr>
            <w:tcW w:w="1150" w:type="dxa"/>
            <w:tcBorders>
              <w:top w:val="nil"/>
              <w:left w:val="nil"/>
              <w:bottom w:val="nil"/>
              <w:right w:val="nil"/>
            </w:tcBorders>
            <w:vAlign w:val="bottom"/>
          </w:tcPr>
          <w:p w14:paraId="6306FC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0.127233</w:t>
            </w:r>
          </w:p>
        </w:tc>
        <w:tc>
          <w:tcPr>
            <w:tcW w:w="1150" w:type="dxa"/>
            <w:tcBorders>
              <w:top w:val="nil"/>
              <w:left w:val="nil"/>
              <w:bottom w:val="nil"/>
              <w:right w:val="nil"/>
            </w:tcBorders>
            <w:vAlign w:val="bottom"/>
          </w:tcPr>
          <w:p w14:paraId="1E101B4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2.698581</w:t>
            </w:r>
          </w:p>
        </w:tc>
        <w:tc>
          <w:tcPr>
            <w:tcW w:w="950" w:type="dxa"/>
            <w:tcBorders>
              <w:top w:val="nil"/>
              <w:left w:val="nil"/>
              <w:bottom w:val="nil"/>
              <w:right w:val="nil"/>
            </w:tcBorders>
            <w:vAlign w:val="bottom"/>
          </w:tcPr>
          <w:p w14:paraId="6AF42A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0.0194</w:t>
            </w:r>
          </w:p>
        </w:tc>
      </w:tr>
      <w:tr w:rsidR="00EA38DE" w:rsidRPr="00EA38DE" w14:paraId="2DE2C373" w14:textId="77777777" w:rsidTr="009501B5">
        <w:trPr>
          <w:trHeight w:val="220"/>
        </w:trPr>
        <w:tc>
          <w:tcPr>
            <w:tcW w:w="2120" w:type="dxa"/>
            <w:tcBorders>
              <w:top w:val="nil"/>
              <w:left w:val="nil"/>
              <w:bottom w:val="nil"/>
              <w:right w:val="nil"/>
            </w:tcBorders>
            <w:vAlign w:val="bottom"/>
          </w:tcPr>
          <w:p w14:paraId="2C159D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5436F1C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0.000734</w:t>
            </w:r>
          </w:p>
        </w:tc>
        <w:tc>
          <w:tcPr>
            <w:tcW w:w="1150" w:type="dxa"/>
            <w:tcBorders>
              <w:top w:val="nil"/>
              <w:left w:val="nil"/>
              <w:bottom w:val="nil"/>
              <w:right w:val="nil"/>
            </w:tcBorders>
            <w:vAlign w:val="bottom"/>
          </w:tcPr>
          <w:p w14:paraId="5AE7763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0.003028</w:t>
            </w:r>
          </w:p>
        </w:tc>
        <w:tc>
          <w:tcPr>
            <w:tcW w:w="1150" w:type="dxa"/>
            <w:tcBorders>
              <w:top w:val="nil"/>
              <w:left w:val="nil"/>
              <w:bottom w:val="nil"/>
              <w:right w:val="nil"/>
            </w:tcBorders>
            <w:vAlign w:val="bottom"/>
          </w:tcPr>
          <w:p w14:paraId="7CAF7B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0.242377</w:t>
            </w:r>
          </w:p>
        </w:tc>
        <w:tc>
          <w:tcPr>
            <w:tcW w:w="950" w:type="dxa"/>
            <w:tcBorders>
              <w:top w:val="nil"/>
              <w:left w:val="nil"/>
              <w:bottom w:val="nil"/>
              <w:right w:val="nil"/>
            </w:tcBorders>
            <w:vAlign w:val="bottom"/>
          </w:tcPr>
          <w:p w14:paraId="732A03D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0.8126</w:t>
            </w:r>
          </w:p>
        </w:tc>
      </w:tr>
      <w:tr w:rsidR="00EA38DE" w:rsidRPr="00EA38DE" w14:paraId="2F71C048" w14:textId="77777777" w:rsidTr="009501B5">
        <w:trPr>
          <w:trHeight w:val="220"/>
        </w:trPr>
        <w:tc>
          <w:tcPr>
            <w:tcW w:w="2120" w:type="dxa"/>
            <w:tcBorders>
              <w:top w:val="nil"/>
              <w:left w:val="nil"/>
              <w:bottom w:val="nil"/>
              <w:right w:val="nil"/>
            </w:tcBorders>
            <w:vAlign w:val="bottom"/>
          </w:tcPr>
          <w:p w14:paraId="6F70D2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565B27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-0.004316</w:t>
            </w:r>
          </w:p>
        </w:tc>
        <w:tc>
          <w:tcPr>
            <w:tcW w:w="1150" w:type="dxa"/>
            <w:tcBorders>
              <w:top w:val="nil"/>
              <w:left w:val="nil"/>
              <w:bottom w:val="nil"/>
              <w:right w:val="nil"/>
            </w:tcBorders>
            <w:vAlign w:val="bottom"/>
          </w:tcPr>
          <w:p w14:paraId="01FF84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0.002307</w:t>
            </w:r>
          </w:p>
        </w:tc>
        <w:tc>
          <w:tcPr>
            <w:tcW w:w="1150" w:type="dxa"/>
            <w:tcBorders>
              <w:top w:val="nil"/>
              <w:left w:val="nil"/>
              <w:bottom w:val="nil"/>
              <w:right w:val="nil"/>
            </w:tcBorders>
            <w:vAlign w:val="bottom"/>
          </w:tcPr>
          <w:p w14:paraId="428425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-1.870753</w:t>
            </w:r>
          </w:p>
        </w:tc>
        <w:tc>
          <w:tcPr>
            <w:tcW w:w="950" w:type="dxa"/>
            <w:tcBorders>
              <w:top w:val="nil"/>
              <w:left w:val="nil"/>
              <w:bottom w:val="nil"/>
              <w:right w:val="nil"/>
            </w:tcBorders>
            <w:vAlign w:val="bottom"/>
          </w:tcPr>
          <w:p w14:paraId="6299557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0.0860</w:t>
            </w:r>
          </w:p>
        </w:tc>
      </w:tr>
      <w:tr w:rsidR="00EA38DE" w:rsidRPr="00EA38DE" w14:paraId="71512D3F" w14:textId="77777777" w:rsidTr="009501B5">
        <w:trPr>
          <w:trHeight w:val="220"/>
        </w:trPr>
        <w:tc>
          <w:tcPr>
            <w:tcW w:w="2120" w:type="dxa"/>
            <w:tcBorders>
              <w:top w:val="nil"/>
              <w:left w:val="nil"/>
              <w:bottom w:val="nil"/>
              <w:right w:val="nil"/>
            </w:tcBorders>
            <w:vAlign w:val="bottom"/>
          </w:tcPr>
          <w:p w14:paraId="39EA47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D(IFR(-2))</w:t>
            </w:r>
          </w:p>
        </w:tc>
        <w:tc>
          <w:tcPr>
            <w:tcW w:w="1050" w:type="dxa"/>
            <w:tcBorders>
              <w:top w:val="nil"/>
              <w:left w:val="nil"/>
              <w:bottom w:val="nil"/>
              <w:right w:val="nil"/>
            </w:tcBorders>
            <w:vAlign w:val="bottom"/>
          </w:tcPr>
          <w:p w14:paraId="6BB8511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-0.005579</w:t>
            </w:r>
          </w:p>
        </w:tc>
        <w:tc>
          <w:tcPr>
            <w:tcW w:w="1150" w:type="dxa"/>
            <w:tcBorders>
              <w:top w:val="nil"/>
              <w:left w:val="nil"/>
              <w:bottom w:val="nil"/>
              <w:right w:val="nil"/>
            </w:tcBorders>
            <w:vAlign w:val="bottom"/>
          </w:tcPr>
          <w:p w14:paraId="190C133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0.002451</w:t>
            </w:r>
          </w:p>
        </w:tc>
        <w:tc>
          <w:tcPr>
            <w:tcW w:w="1150" w:type="dxa"/>
            <w:tcBorders>
              <w:top w:val="nil"/>
              <w:left w:val="nil"/>
              <w:bottom w:val="nil"/>
              <w:right w:val="nil"/>
            </w:tcBorders>
            <w:vAlign w:val="bottom"/>
          </w:tcPr>
          <w:p w14:paraId="7F48C98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-2.276212</w:t>
            </w:r>
          </w:p>
        </w:tc>
        <w:tc>
          <w:tcPr>
            <w:tcW w:w="950" w:type="dxa"/>
            <w:tcBorders>
              <w:top w:val="nil"/>
              <w:left w:val="nil"/>
              <w:bottom w:val="nil"/>
              <w:right w:val="nil"/>
            </w:tcBorders>
            <w:vAlign w:val="bottom"/>
          </w:tcPr>
          <w:p w14:paraId="2667A5D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0.0420</w:t>
            </w:r>
          </w:p>
        </w:tc>
      </w:tr>
      <w:tr w:rsidR="00EA38DE" w:rsidRPr="00EA38DE" w14:paraId="1908E81C" w14:textId="77777777" w:rsidTr="009501B5">
        <w:trPr>
          <w:trHeight w:val="220"/>
        </w:trPr>
        <w:tc>
          <w:tcPr>
            <w:tcW w:w="2120" w:type="dxa"/>
            <w:tcBorders>
              <w:top w:val="nil"/>
              <w:left w:val="nil"/>
              <w:bottom w:val="nil"/>
              <w:right w:val="nil"/>
            </w:tcBorders>
            <w:vAlign w:val="bottom"/>
          </w:tcPr>
          <w:p w14:paraId="5241C0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3F7FD6D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8.057764</w:t>
            </w:r>
          </w:p>
        </w:tc>
        <w:tc>
          <w:tcPr>
            <w:tcW w:w="1150" w:type="dxa"/>
            <w:tcBorders>
              <w:top w:val="nil"/>
              <w:left w:val="nil"/>
              <w:bottom w:val="nil"/>
              <w:right w:val="nil"/>
            </w:tcBorders>
            <w:vAlign w:val="bottom"/>
          </w:tcPr>
          <w:p w14:paraId="266297C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3.774293</w:t>
            </w:r>
          </w:p>
        </w:tc>
        <w:tc>
          <w:tcPr>
            <w:tcW w:w="1150" w:type="dxa"/>
            <w:tcBorders>
              <w:top w:val="nil"/>
              <w:left w:val="nil"/>
              <w:bottom w:val="nil"/>
              <w:right w:val="nil"/>
            </w:tcBorders>
            <w:vAlign w:val="bottom"/>
          </w:tcPr>
          <w:p w14:paraId="2F658F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2.134907</w:t>
            </w:r>
          </w:p>
        </w:tc>
        <w:tc>
          <w:tcPr>
            <w:tcW w:w="950" w:type="dxa"/>
            <w:tcBorders>
              <w:top w:val="nil"/>
              <w:left w:val="nil"/>
              <w:bottom w:val="nil"/>
              <w:right w:val="nil"/>
            </w:tcBorders>
            <w:vAlign w:val="bottom"/>
          </w:tcPr>
          <w:p w14:paraId="6645A64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0.0541</w:t>
            </w:r>
          </w:p>
        </w:tc>
      </w:tr>
      <w:tr w:rsidR="00EA38DE" w:rsidRPr="00EA38DE" w14:paraId="5919C5C2" w14:textId="77777777" w:rsidTr="009501B5">
        <w:trPr>
          <w:trHeight w:val="220"/>
        </w:trPr>
        <w:tc>
          <w:tcPr>
            <w:tcW w:w="2120" w:type="dxa"/>
            <w:tcBorders>
              <w:top w:val="nil"/>
              <w:left w:val="nil"/>
              <w:bottom w:val="nil"/>
              <w:right w:val="nil"/>
            </w:tcBorders>
            <w:vAlign w:val="bottom"/>
          </w:tcPr>
          <w:p w14:paraId="05BD26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4476378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-19.48242</w:t>
            </w:r>
          </w:p>
        </w:tc>
        <w:tc>
          <w:tcPr>
            <w:tcW w:w="1150" w:type="dxa"/>
            <w:tcBorders>
              <w:top w:val="nil"/>
              <w:left w:val="nil"/>
              <w:bottom w:val="nil"/>
              <w:right w:val="nil"/>
            </w:tcBorders>
            <w:vAlign w:val="bottom"/>
          </w:tcPr>
          <w:p w14:paraId="063CD2D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18.89632</w:t>
            </w:r>
          </w:p>
        </w:tc>
        <w:tc>
          <w:tcPr>
            <w:tcW w:w="1150" w:type="dxa"/>
            <w:tcBorders>
              <w:top w:val="nil"/>
              <w:left w:val="nil"/>
              <w:bottom w:val="nil"/>
              <w:right w:val="nil"/>
            </w:tcBorders>
            <w:vAlign w:val="bottom"/>
          </w:tcPr>
          <w:p w14:paraId="66706C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-1.031017</w:t>
            </w:r>
          </w:p>
        </w:tc>
        <w:tc>
          <w:tcPr>
            <w:tcW w:w="950" w:type="dxa"/>
            <w:tcBorders>
              <w:top w:val="nil"/>
              <w:left w:val="nil"/>
              <w:bottom w:val="nil"/>
              <w:right w:val="nil"/>
            </w:tcBorders>
            <w:vAlign w:val="bottom"/>
          </w:tcPr>
          <w:p w14:paraId="01F2C26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0.3229</w:t>
            </w:r>
          </w:p>
        </w:tc>
      </w:tr>
      <w:tr w:rsidR="00EA38DE" w:rsidRPr="00EA38DE" w14:paraId="2FB594DA" w14:textId="77777777" w:rsidTr="009501B5">
        <w:trPr>
          <w:trHeight w:val="220"/>
        </w:trPr>
        <w:tc>
          <w:tcPr>
            <w:tcW w:w="2120" w:type="dxa"/>
            <w:tcBorders>
              <w:top w:val="nil"/>
              <w:left w:val="nil"/>
              <w:bottom w:val="nil"/>
              <w:right w:val="nil"/>
            </w:tcBorders>
            <w:vAlign w:val="bottom"/>
          </w:tcPr>
          <w:p w14:paraId="4CC48E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D(LLAB(-2))</w:t>
            </w:r>
          </w:p>
        </w:tc>
        <w:tc>
          <w:tcPr>
            <w:tcW w:w="1050" w:type="dxa"/>
            <w:tcBorders>
              <w:top w:val="nil"/>
              <w:left w:val="nil"/>
              <w:bottom w:val="nil"/>
              <w:right w:val="nil"/>
            </w:tcBorders>
            <w:vAlign w:val="bottom"/>
          </w:tcPr>
          <w:p w14:paraId="2B9AB77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76.20461</w:t>
            </w:r>
          </w:p>
        </w:tc>
        <w:tc>
          <w:tcPr>
            <w:tcW w:w="1150" w:type="dxa"/>
            <w:tcBorders>
              <w:top w:val="nil"/>
              <w:left w:val="nil"/>
              <w:bottom w:val="nil"/>
              <w:right w:val="nil"/>
            </w:tcBorders>
            <w:vAlign w:val="bottom"/>
          </w:tcPr>
          <w:p w14:paraId="697DEFB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22.14414</w:t>
            </w:r>
          </w:p>
        </w:tc>
        <w:tc>
          <w:tcPr>
            <w:tcW w:w="1150" w:type="dxa"/>
            <w:tcBorders>
              <w:top w:val="nil"/>
              <w:left w:val="nil"/>
              <w:bottom w:val="nil"/>
              <w:right w:val="nil"/>
            </w:tcBorders>
            <w:vAlign w:val="bottom"/>
          </w:tcPr>
          <w:p w14:paraId="1F62B1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3.441300</w:t>
            </w:r>
          </w:p>
        </w:tc>
        <w:tc>
          <w:tcPr>
            <w:tcW w:w="950" w:type="dxa"/>
            <w:tcBorders>
              <w:top w:val="nil"/>
              <w:left w:val="nil"/>
              <w:bottom w:val="nil"/>
              <w:right w:val="nil"/>
            </w:tcBorders>
            <w:vAlign w:val="bottom"/>
          </w:tcPr>
          <w:p w14:paraId="282F0A9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0.0049</w:t>
            </w:r>
          </w:p>
        </w:tc>
      </w:tr>
      <w:tr w:rsidR="00EA38DE" w:rsidRPr="00EA38DE" w14:paraId="62719D99" w14:textId="77777777" w:rsidTr="009501B5">
        <w:trPr>
          <w:trHeight w:val="220"/>
        </w:trPr>
        <w:tc>
          <w:tcPr>
            <w:tcW w:w="2120" w:type="dxa"/>
            <w:tcBorders>
              <w:top w:val="nil"/>
              <w:left w:val="nil"/>
              <w:bottom w:val="nil"/>
              <w:right w:val="nil"/>
            </w:tcBorders>
            <w:vAlign w:val="bottom"/>
          </w:tcPr>
          <w:p w14:paraId="641C34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D(LGR)</w:t>
            </w:r>
          </w:p>
        </w:tc>
        <w:tc>
          <w:tcPr>
            <w:tcW w:w="1050" w:type="dxa"/>
            <w:tcBorders>
              <w:top w:val="nil"/>
              <w:left w:val="nil"/>
              <w:bottom w:val="nil"/>
              <w:right w:val="nil"/>
            </w:tcBorders>
            <w:vAlign w:val="bottom"/>
          </w:tcPr>
          <w:p w14:paraId="292292D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-0.376452</w:t>
            </w:r>
          </w:p>
        </w:tc>
        <w:tc>
          <w:tcPr>
            <w:tcW w:w="1150" w:type="dxa"/>
            <w:tcBorders>
              <w:top w:val="nil"/>
              <w:left w:val="nil"/>
              <w:bottom w:val="nil"/>
              <w:right w:val="nil"/>
            </w:tcBorders>
            <w:vAlign w:val="bottom"/>
          </w:tcPr>
          <w:p w14:paraId="2E68DB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0.179047</w:t>
            </w:r>
          </w:p>
        </w:tc>
        <w:tc>
          <w:tcPr>
            <w:tcW w:w="1150" w:type="dxa"/>
            <w:tcBorders>
              <w:top w:val="nil"/>
              <w:left w:val="nil"/>
              <w:bottom w:val="nil"/>
              <w:right w:val="nil"/>
            </w:tcBorders>
            <w:vAlign w:val="bottom"/>
          </w:tcPr>
          <w:p w14:paraId="07B81A0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-2.102533</w:t>
            </w:r>
          </w:p>
        </w:tc>
        <w:tc>
          <w:tcPr>
            <w:tcW w:w="950" w:type="dxa"/>
            <w:tcBorders>
              <w:top w:val="nil"/>
              <w:left w:val="nil"/>
              <w:bottom w:val="nil"/>
              <w:right w:val="nil"/>
            </w:tcBorders>
            <w:vAlign w:val="bottom"/>
          </w:tcPr>
          <w:p w14:paraId="3CCB68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0.0573</w:t>
            </w:r>
          </w:p>
        </w:tc>
      </w:tr>
      <w:tr w:rsidR="00EA38DE" w:rsidRPr="00EA38DE" w14:paraId="38FF3911" w14:textId="77777777" w:rsidTr="009501B5">
        <w:trPr>
          <w:trHeight w:hRule="exact" w:val="88"/>
        </w:trPr>
        <w:tc>
          <w:tcPr>
            <w:tcW w:w="2120" w:type="dxa"/>
            <w:tcBorders>
              <w:top w:val="nil"/>
              <w:left w:val="nil"/>
              <w:bottom w:val="double" w:sz="6" w:space="2" w:color="auto"/>
              <w:right w:val="nil"/>
            </w:tcBorders>
            <w:vAlign w:val="bottom"/>
          </w:tcPr>
          <w:p w14:paraId="3BB7D0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5C390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A9AED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49CAD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9C0EA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6A9F71E" w14:textId="77777777" w:rsidTr="009501B5">
        <w:trPr>
          <w:trHeight w:hRule="exact" w:val="132"/>
        </w:trPr>
        <w:tc>
          <w:tcPr>
            <w:tcW w:w="2120" w:type="dxa"/>
            <w:tcBorders>
              <w:top w:val="nil"/>
              <w:left w:val="nil"/>
              <w:bottom w:val="nil"/>
              <w:right w:val="nil"/>
            </w:tcBorders>
            <w:vAlign w:val="bottom"/>
          </w:tcPr>
          <w:p w14:paraId="323D02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99C04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5848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2E410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2648E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F6318BA" w14:textId="77777777" w:rsidTr="009501B5">
        <w:trPr>
          <w:trHeight w:val="220"/>
        </w:trPr>
        <w:tc>
          <w:tcPr>
            <w:tcW w:w="6420" w:type="dxa"/>
            <w:gridSpan w:val="5"/>
            <w:tcBorders>
              <w:top w:val="nil"/>
              <w:left w:val="nil"/>
              <w:bottom w:val="nil"/>
              <w:right w:val="nil"/>
            </w:tcBorders>
            <w:vAlign w:val="bottom"/>
          </w:tcPr>
          <w:p w14:paraId="3179F97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48204F1F" w14:textId="77777777" w:rsidTr="009501B5">
        <w:trPr>
          <w:trHeight w:val="220"/>
        </w:trPr>
        <w:tc>
          <w:tcPr>
            <w:tcW w:w="6420" w:type="dxa"/>
            <w:gridSpan w:val="5"/>
            <w:tcBorders>
              <w:top w:val="nil"/>
              <w:left w:val="nil"/>
              <w:bottom w:val="nil"/>
              <w:right w:val="nil"/>
            </w:tcBorders>
            <w:vAlign w:val="bottom"/>
          </w:tcPr>
          <w:p w14:paraId="07B865A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Variable interpreted as Z = Z(-1) + D(Z).</w:t>
            </w:r>
          </w:p>
        </w:tc>
      </w:tr>
      <w:tr w:rsidR="00EA38DE" w:rsidRPr="00EA38DE" w14:paraId="4080A8E0" w14:textId="77777777" w:rsidTr="009501B5">
        <w:trPr>
          <w:trHeight w:val="220"/>
        </w:trPr>
        <w:tc>
          <w:tcPr>
            <w:tcW w:w="2120" w:type="dxa"/>
            <w:tcBorders>
              <w:top w:val="nil"/>
              <w:left w:val="nil"/>
              <w:bottom w:val="nil"/>
              <w:right w:val="nil"/>
            </w:tcBorders>
            <w:vAlign w:val="bottom"/>
          </w:tcPr>
          <w:p w14:paraId="1A882C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51F4A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C860F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E0D07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4D452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BA497E9" w14:textId="77777777" w:rsidTr="009501B5">
        <w:trPr>
          <w:trHeight w:hRule="exact" w:val="88"/>
        </w:trPr>
        <w:tc>
          <w:tcPr>
            <w:tcW w:w="2120" w:type="dxa"/>
            <w:tcBorders>
              <w:top w:val="nil"/>
              <w:left w:val="nil"/>
              <w:bottom w:val="double" w:sz="6" w:space="2" w:color="auto"/>
              <w:right w:val="nil"/>
            </w:tcBorders>
            <w:vAlign w:val="bottom"/>
          </w:tcPr>
          <w:p w14:paraId="22DB61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53C55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69769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9C0D40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592CB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912668B" w14:textId="77777777" w:rsidTr="009501B5">
        <w:trPr>
          <w:trHeight w:hRule="exact" w:val="132"/>
        </w:trPr>
        <w:tc>
          <w:tcPr>
            <w:tcW w:w="2120" w:type="dxa"/>
            <w:tcBorders>
              <w:top w:val="nil"/>
              <w:left w:val="nil"/>
              <w:bottom w:val="nil"/>
              <w:right w:val="nil"/>
            </w:tcBorders>
            <w:vAlign w:val="bottom"/>
          </w:tcPr>
          <w:p w14:paraId="146494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19DBC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B63196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3D2DB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B2BC4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EF96554" w14:textId="77777777" w:rsidTr="009501B5">
        <w:trPr>
          <w:trHeight w:val="220"/>
        </w:trPr>
        <w:tc>
          <w:tcPr>
            <w:tcW w:w="6420" w:type="dxa"/>
            <w:gridSpan w:val="5"/>
            <w:tcBorders>
              <w:top w:val="nil"/>
              <w:left w:val="nil"/>
              <w:bottom w:val="nil"/>
              <w:right w:val="nil"/>
            </w:tcBorders>
            <w:vAlign w:val="bottom"/>
          </w:tcPr>
          <w:p w14:paraId="71F494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354B3DE3" w14:textId="77777777" w:rsidTr="009501B5">
        <w:trPr>
          <w:trHeight w:val="220"/>
        </w:trPr>
        <w:tc>
          <w:tcPr>
            <w:tcW w:w="6420" w:type="dxa"/>
            <w:gridSpan w:val="5"/>
            <w:tcBorders>
              <w:top w:val="nil"/>
              <w:left w:val="nil"/>
              <w:bottom w:val="nil"/>
              <w:right w:val="nil"/>
            </w:tcBorders>
            <w:vAlign w:val="bottom"/>
          </w:tcPr>
          <w:p w14:paraId="50B11A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52818019" w14:textId="77777777" w:rsidTr="009501B5">
        <w:trPr>
          <w:trHeight w:hRule="exact" w:val="88"/>
        </w:trPr>
        <w:tc>
          <w:tcPr>
            <w:tcW w:w="2120" w:type="dxa"/>
            <w:tcBorders>
              <w:top w:val="nil"/>
              <w:left w:val="nil"/>
              <w:bottom w:val="double" w:sz="6" w:space="2" w:color="auto"/>
              <w:right w:val="nil"/>
            </w:tcBorders>
            <w:vAlign w:val="bottom"/>
          </w:tcPr>
          <w:p w14:paraId="22920A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7AD87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72D12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72419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EE1AB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2FCC595" w14:textId="77777777" w:rsidTr="009501B5">
        <w:trPr>
          <w:trHeight w:hRule="exact" w:val="132"/>
        </w:trPr>
        <w:tc>
          <w:tcPr>
            <w:tcW w:w="2120" w:type="dxa"/>
            <w:tcBorders>
              <w:top w:val="nil"/>
              <w:left w:val="nil"/>
              <w:bottom w:val="nil"/>
              <w:right w:val="nil"/>
            </w:tcBorders>
            <w:vAlign w:val="bottom"/>
          </w:tcPr>
          <w:p w14:paraId="4D1C25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BDD91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E20AB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6635A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C9AA0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E561B49" w14:textId="77777777" w:rsidTr="009501B5">
        <w:trPr>
          <w:trHeight w:val="220"/>
        </w:trPr>
        <w:tc>
          <w:tcPr>
            <w:tcW w:w="2120" w:type="dxa"/>
            <w:tcBorders>
              <w:top w:val="nil"/>
              <w:left w:val="nil"/>
              <w:bottom w:val="nil"/>
              <w:right w:val="nil"/>
            </w:tcBorders>
            <w:vAlign w:val="bottom"/>
          </w:tcPr>
          <w:p w14:paraId="4634D1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357E1B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0D7A2A7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22BC68C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310D82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7B57009D" w14:textId="77777777" w:rsidTr="009501B5">
        <w:trPr>
          <w:trHeight w:hRule="exact" w:val="88"/>
        </w:trPr>
        <w:tc>
          <w:tcPr>
            <w:tcW w:w="2120" w:type="dxa"/>
            <w:tcBorders>
              <w:top w:val="nil"/>
              <w:left w:val="nil"/>
              <w:bottom w:val="double" w:sz="6" w:space="2" w:color="auto"/>
              <w:right w:val="nil"/>
            </w:tcBorders>
            <w:vAlign w:val="bottom"/>
          </w:tcPr>
          <w:p w14:paraId="7861A4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502BC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4FABE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27D5D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E77F74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D34621A" w14:textId="77777777" w:rsidTr="009501B5">
        <w:trPr>
          <w:trHeight w:hRule="exact" w:val="132"/>
        </w:trPr>
        <w:tc>
          <w:tcPr>
            <w:tcW w:w="2120" w:type="dxa"/>
            <w:tcBorders>
              <w:top w:val="nil"/>
              <w:left w:val="nil"/>
              <w:bottom w:val="nil"/>
              <w:right w:val="nil"/>
            </w:tcBorders>
            <w:vAlign w:val="bottom"/>
          </w:tcPr>
          <w:p w14:paraId="53BF8E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6C514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B7D0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3B81E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9898E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3DBFF39" w14:textId="77777777" w:rsidTr="009501B5">
        <w:trPr>
          <w:trHeight w:val="220"/>
        </w:trPr>
        <w:tc>
          <w:tcPr>
            <w:tcW w:w="2120" w:type="dxa"/>
            <w:tcBorders>
              <w:top w:val="nil"/>
              <w:left w:val="nil"/>
              <w:bottom w:val="nil"/>
              <w:right w:val="nil"/>
            </w:tcBorders>
            <w:vAlign w:val="bottom"/>
          </w:tcPr>
          <w:p w14:paraId="1DA45E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LAQT</w:t>
            </w:r>
          </w:p>
        </w:tc>
        <w:tc>
          <w:tcPr>
            <w:tcW w:w="1050" w:type="dxa"/>
            <w:tcBorders>
              <w:top w:val="nil"/>
              <w:left w:val="nil"/>
              <w:bottom w:val="nil"/>
              <w:right w:val="nil"/>
            </w:tcBorders>
            <w:vAlign w:val="bottom"/>
          </w:tcPr>
          <w:p w14:paraId="45C58E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-1.624709</w:t>
            </w:r>
          </w:p>
        </w:tc>
        <w:tc>
          <w:tcPr>
            <w:tcW w:w="1150" w:type="dxa"/>
            <w:tcBorders>
              <w:top w:val="nil"/>
              <w:left w:val="nil"/>
              <w:bottom w:val="nil"/>
              <w:right w:val="nil"/>
            </w:tcBorders>
            <w:vAlign w:val="bottom"/>
          </w:tcPr>
          <w:p w14:paraId="46F4ACC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0.875214</w:t>
            </w:r>
          </w:p>
        </w:tc>
        <w:tc>
          <w:tcPr>
            <w:tcW w:w="1150" w:type="dxa"/>
            <w:tcBorders>
              <w:top w:val="nil"/>
              <w:left w:val="nil"/>
              <w:bottom w:val="nil"/>
              <w:right w:val="nil"/>
            </w:tcBorders>
            <w:vAlign w:val="bottom"/>
          </w:tcPr>
          <w:p w14:paraId="33944FD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-1.856355</w:t>
            </w:r>
          </w:p>
        </w:tc>
        <w:tc>
          <w:tcPr>
            <w:tcW w:w="950" w:type="dxa"/>
            <w:tcBorders>
              <w:top w:val="nil"/>
              <w:left w:val="nil"/>
              <w:bottom w:val="nil"/>
              <w:right w:val="nil"/>
            </w:tcBorders>
            <w:vAlign w:val="bottom"/>
          </w:tcPr>
          <w:p w14:paraId="5BC6C7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0.0881</w:t>
            </w:r>
          </w:p>
        </w:tc>
      </w:tr>
      <w:tr w:rsidR="00EA38DE" w:rsidRPr="00EA38DE" w14:paraId="118506D9" w14:textId="77777777" w:rsidTr="009501B5">
        <w:trPr>
          <w:trHeight w:val="220"/>
        </w:trPr>
        <w:tc>
          <w:tcPr>
            <w:tcW w:w="2120" w:type="dxa"/>
            <w:tcBorders>
              <w:top w:val="nil"/>
              <w:left w:val="nil"/>
              <w:bottom w:val="nil"/>
              <w:right w:val="nil"/>
            </w:tcBorders>
            <w:vAlign w:val="bottom"/>
          </w:tcPr>
          <w:p w14:paraId="59DB1AE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45A2F63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0.007800</w:t>
            </w:r>
          </w:p>
        </w:tc>
        <w:tc>
          <w:tcPr>
            <w:tcW w:w="1150" w:type="dxa"/>
            <w:tcBorders>
              <w:top w:val="nil"/>
              <w:left w:val="nil"/>
              <w:bottom w:val="nil"/>
              <w:right w:val="nil"/>
            </w:tcBorders>
            <w:vAlign w:val="bottom"/>
          </w:tcPr>
          <w:p w14:paraId="17CD6D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0.009099</w:t>
            </w:r>
          </w:p>
        </w:tc>
        <w:tc>
          <w:tcPr>
            <w:tcW w:w="1150" w:type="dxa"/>
            <w:tcBorders>
              <w:top w:val="nil"/>
              <w:left w:val="nil"/>
              <w:bottom w:val="nil"/>
              <w:right w:val="nil"/>
            </w:tcBorders>
            <w:vAlign w:val="bottom"/>
          </w:tcPr>
          <w:p w14:paraId="3EECFF8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0.857250</w:t>
            </w:r>
          </w:p>
        </w:tc>
        <w:tc>
          <w:tcPr>
            <w:tcW w:w="950" w:type="dxa"/>
            <w:tcBorders>
              <w:top w:val="nil"/>
              <w:left w:val="nil"/>
              <w:bottom w:val="nil"/>
              <w:right w:val="nil"/>
            </w:tcBorders>
            <w:vAlign w:val="bottom"/>
          </w:tcPr>
          <w:p w14:paraId="251429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0.4081</w:t>
            </w:r>
          </w:p>
        </w:tc>
      </w:tr>
      <w:tr w:rsidR="00EA38DE" w:rsidRPr="00EA38DE" w14:paraId="53115B72" w14:textId="77777777" w:rsidTr="009501B5">
        <w:trPr>
          <w:trHeight w:val="220"/>
        </w:trPr>
        <w:tc>
          <w:tcPr>
            <w:tcW w:w="2120" w:type="dxa"/>
            <w:tcBorders>
              <w:top w:val="nil"/>
              <w:left w:val="nil"/>
              <w:bottom w:val="nil"/>
              <w:right w:val="nil"/>
            </w:tcBorders>
            <w:vAlign w:val="bottom"/>
          </w:tcPr>
          <w:p w14:paraId="37646F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231D06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-67.29464</w:t>
            </w:r>
          </w:p>
        </w:tc>
        <w:tc>
          <w:tcPr>
            <w:tcW w:w="1150" w:type="dxa"/>
            <w:tcBorders>
              <w:top w:val="nil"/>
              <w:left w:val="nil"/>
              <w:bottom w:val="nil"/>
              <w:right w:val="nil"/>
            </w:tcBorders>
            <w:vAlign w:val="bottom"/>
          </w:tcPr>
          <w:p w14:paraId="2B83E83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39.55236</w:t>
            </w:r>
          </w:p>
        </w:tc>
        <w:tc>
          <w:tcPr>
            <w:tcW w:w="1150" w:type="dxa"/>
            <w:tcBorders>
              <w:top w:val="nil"/>
              <w:left w:val="nil"/>
              <w:bottom w:val="nil"/>
              <w:right w:val="nil"/>
            </w:tcBorders>
            <w:vAlign w:val="bottom"/>
          </w:tcPr>
          <w:p w14:paraId="7E711C7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-1.701407</w:t>
            </w:r>
          </w:p>
        </w:tc>
        <w:tc>
          <w:tcPr>
            <w:tcW w:w="950" w:type="dxa"/>
            <w:tcBorders>
              <w:top w:val="nil"/>
              <w:left w:val="nil"/>
              <w:bottom w:val="nil"/>
              <w:right w:val="nil"/>
            </w:tcBorders>
            <w:vAlign w:val="bottom"/>
          </w:tcPr>
          <w:p w14:paraId="545EC75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0.1146</w:t>
            </w:r>
          </w:p>
        </w:tc>
      </w:tr>
      <w:tr w:rsidR="00EA38DE" w:rsidRPr="00EA38DE" w14:paraId="234E956F" w14:textId="77777777" w:rsidTr="009501B5">
        <w:trPr>
          <w:trHeight w:val="220"/>
        </w:trPr>
        <w:tc>
          <w:tcPr>
            <w:tcW w:w="2120" w:type="dxa"/>
            <w:tcBorders>
              <w:top w:val="nil"/>
              <w:left w:val="nil"/>
              <w:bottom w:val="nil"/>
              <w:right w:val="nil"/>
            </w:tcBorders>
            <w:vAlign w:val="bottom"/>
          </w:tcPr>
          <w:p w14:paraId="5BEE094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55E6624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-0.008499</w:t>
            </w:r>
          </w:p>
        </w:tc>
        <w:tc>
          <w:tcPr>
            <w:tcW w:w="1150" w:type="dxa"/>
            <w:tcBorders>
              <w:top w:val="nil"/>
              <w:left w:val="nil"/>
              <w:bottom w:val="nil"/>
              <w:right w:val="nil"/>
            </w:tcBorders>
            <w:vAlign w:val="bottom"/>
          </w:tcPr>
          <w:p w14:paraId="0254F8D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0.110343</w:t>
            </w:r>
          </w:p>
        </w:tc>
        <w:tc>
          <w:tcPr>
            <w:tcW w:w="1150" w:type="dxa"/>
            <w:tcBorders>
              <w:top w:val="nil"/>
              <w:left w:val="nil"/>
              <w:bottom w:val="nil"/>
              <w:right w:val="nil"/>
            </w:tcBorders>
            <w:vAlign w:val="bottom"/>
          </w:tcPr>
          <w:p w14:paraId="10DB08A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-0.077023</w:t>
            </w:r>
          </w:p>
        </w:tc>
        <w:tc>
          <w:tcPr>
            <w:tcW w:w="950" w:type="dxa"/>
            <w:tcBorders>
              <w:top w:val="nil"/>
              <w:left w:val="nil"/>
              <w:bottom w:val="nil"/>
              <w:right w:val="nil"/>
            </w:tcBorders>
            <w:vAlign w:val="bottom"/>
          </w:tcPr>
          <w:p w14:paraId="3DE8B40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0.9399</w:t>
            </w:r>
          </w:p>
        </w:tc>
      </w:tr>
      <w:tr w:rsidR="00EA38DE" w:rsidRPr="00EA38DE" w14:paraId="2F2A36CE" w14:textId="77777777" w:rsidTr="009501B5">
        <w:trPr>
          <w:trHeight w:hRule="exact" w:val="88"/>
        </w:trPr>
        <w:tc>
          <w:tcPr>
            <w:tcW w:w="2120" w:type="dxa"/>
            <w:tcBorders>
              <w:top w:val="nil"/>
              <w:left w:val="nil"/>
              <w:bottom w:val="double" w:sz="6" w:space="2" w:color="auto"/>
              <w:right w:val="nil"/>
            </w:tcBorders>
            <w:vAlign w:val="bottom"/>
          </w:tcPr>
          <w:p w14:paraId="18C77B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7DD5F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2B3A5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EDC2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C4E9E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61E4A15" w14:textId="77777777" w:rsidTr="009501B5">
        <w:trPr>
          <w:trHeight w:hRule="exact" w:val="132"/>
        </w:trPr>
        <w:tc>
          <w:tcPr>
            <w:tcW w:w="2120" w:type="dxa"/>
            <w:tcBorders>
              <w:top w:val="nil"/>
              <w:left w:val="nil"/>
              <w:bottom w:val="nil"/>
              <w:right w:val="nil"/>
            </w:tcBorders>
            <w:vAlign w:val="bottom"/>
          </w:tcPr>
          <w:p w14:paraId="018547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11936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F4D2F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F2B27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5A13F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A252FF9" w14:textId="77777777" w:rsidTr="009501B5">
        <w:trPr>
          <w:trHeight w:val="220"/>
        </w:trPr>
        <w:tc>
          <w:tcPr>
            <w:tcW w:w="6420" w:type="dxa"/>
            <w:gridSpan w:val="5"/>
            <w:tcBorders>
              <w:top w:val="nil"/>
              <w:left w:val="nil"/>
              <w:bottom w:val="nil"/>
              <w:right w:val="nil"/>
            </w:tcBorders>
            <w:vAlign w:val="bottom"/>
          </w:tcPr>
          <w:p w14:paraId="530CB91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LSHPC - (-1.6247*LAQT + 0.0078*IFR  -67.2946*LLAB  -0.5965*LGR </w:t>
            </w:r>
          </w:p>
        </w:tc>
      </w:tr>
      <w:tr w:rsidR="00EA38DE" w:rsidRPr="00EA38DE" w14:paraId="52EA35DA" w14:textId="77777777" w:rsidTr="009501B5">
        <w:trPr>
          <w:trHeight w:val="220"/>
        </w:trPr>
        <w:tc>
          <w:tcPr>
            <w:tcW w:w="5470" w:type="dxa"/>
            <w:gridSpan w:val="4"/>
            <w:tcBorders>
              <w:top w:val="nil"/>
              <w:left w:val="nil"/>
              <w:bottom w:val="nil"/>
              <w:right w:val="nil"/>
            </w:tcBorders>
            <w:vAlign w:val="bottom"/>
          </w:tcPr>
          <w:p w14:paraId="6FAE390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-0.0085*TRF )</w:t>
            </w:r>
          </w:p>
        </w:tc>
        <w:tc>
          <w:tcPr>
            <w:tcW w:w="950" w:type="dxa"/>
            <w:tcBorders>
              <w:top w:val="nil"/>
              <w:left w:val="nil"/>
              <w:bottom w:val="nil"/>
              <w:right w:val="nil"/>
            </w:tcBorders>
            <w:vAlign w:val="bottom"/>
          </w:tcPr>
          <w:p w14:paraId="09CE85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375571A" w14:textId="77777777" w:rsidTr="009501B5">
        <w:trPr>
          <w:trHeight w:hRule="exact" w:val="88"/>
        </w:trPr>
        <w:tc>
          <w:tcPr>
            <w:tcW w:w="2120" w:type="dxa"/>
            <w:tcBorders>
              <w:top w:val="nil"/>
              <w:left w:val="nil"/>
              <w:bottom w:val="double" w:sz="6" w:space="0" w:color="auto"/>
              <w:right w:val="nil"/>
            </w:tcBorders>
            <w:vAlign w:val="bottom"/>
          </w:tcPr>
          <w:p w14:paraId="7E20D2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4C3463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0DDEE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D25B3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1A54D4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1BC6D5E" w14:textId="77777777" w:rsidTr="009501B5">
        <w:trPr>
          <w:trHeight w:hRule="exact" w:val="132"/>
        </w:trPr>
        <w:tc>
          <w:tcPr>
            <w:tcW w:w="2120" w:type="dxa"/>
            <w:tcBorders>
              <w:top w:val="nil"/>
              <w:left w:val="nil"/>
              <w:bottom w:val="nil"/>
              <w:right w:val="nil"/>
            </w:tcBorders>
            <w:vAlign w:val="bottom"/>
          </w:tcPr>
          <w:p w14:paraId="079B5F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EBDEA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6D4C4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91D6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4DF33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44BC8551" w14:textId="77777777" w:rsidR="003C6B00" w:rsidRPr="00EA38DE" w:rsidRDefault="003C6B00" w:rsidP="003C6B00">
      <w:r w:rsidRPr="00EA38DE">
        <w:rPr>
          <w:rFonts w:ascii="Arial" w:hAnsi="Arial" w:cs="Arial"/>
          <w:sz w:val="18"/>
          <w:szCs w:val="18"/>
        </w:rPr>
        <w:br/>
      </w:r>
    </w:p>
    <w:p w14:paraId="0F5349EC" w14:textId="77777777" w:rsidR="003C6B00" w:rsidRPr="00EA38DE" w:rsidRDefault="003C6B00" w:rsidP="003C6B00"/>
    <w:p w14:paraId="09479FE1" w14:textId="77777777" w:rsidR="003C6B00" w:rsidRPr="00EA38DE" w:rsidRDefault="003C6B00" w:rsidP="003C6B00"/>
    <w:p w14:paraId="1BCD369C" w14:textId="77777777" w:rsidR="003C6B00" w:rsidRPr="00EA38DE" w:rsidRDefault="003C6B00" w:rsidP="003C6B00"/>
    <w:p w14:paraId="2AB4B72B"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4A023162" w14:textId="77777777" w:rsidTr="009501B5">
        <w:trPr>
          <w:trHeight w:val="220"/>
        </w:trPr>
        <w:tc>
          <w:tcPr>
            <w:tcW w:w="6420" w:type="dxa"/>
            <w:gridSpan w:val="5"/>
            <w:tcBorders>
              <w:top w:val="nil"/>
              <w:left w:val="nil"/>
              <w:bottom w:val="nil"/>
              <w:right w:val="nil"/>
            </w:tcBorders>
            <w:vAlign w:val="bottom"/>
          </w:tcPr>
          <w:p w14:paraId="71E3C4C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ARDL Error Correction Regression</w:t>
            </w:r>
          </w:p>
        </w:tc>
      </w:tr>
      <w:tr w:rsidR="00EA38DE" w:rsidRPr="00EA38DE" w14:paraId="48104CEA" w14:textId="77777777" w:rsidTr="009501B5">
        <w:trPr>
          <w:trHeight w:val="220"/>
        </w:trPr>
        <w:tc>
          <w:tcPr>
            <w:tcW w:w="5470" w:type="dxa"/>
            <w:gridSpan w:val="4"/>
            <w:tcBorders>
              <w:top w:val="nil"/>
              <w:left w:val="nil"/>
              <w:bottom w:val="nil"/>
              <w:right w:val="nil"/>
            </w:tcBorders>
            <w:vAlign w:val="bottom"/>
          </w:tcPr>
          <w:p w14:paraId="512D63E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D(LPOR)</w:t>
            </w:r>
          </w:p>
        </w:tc>
        <w:tc>
          <w:tcPr>
            <w:tcW w:w="950" w:type="dxa"/>
            <w:tcBorders>
              <w:top w:val="nil"/>
              <w:left w:val="nil"/>
              <w:bottom w:val="nil"/>
              <w:right w:val="nil"/>
            </w:tcBorders>
            <w:vAlign w:val="bottom"/>
          </w:tcPr>
          <w:p w14:paraId="555F67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BD6C65E" w14:textId="77777777" w:rsidTr="009501B5">
        <w:trPr>
          <w:trHeight w:val="220"/>
        </w:trPr>
        <w:tc>
          <w:tcPr>
            <w:tcW w:w="6420" w:type="dxa"/>
            <w:gridSpan w:val="5"/>
            <w:tcBorders>
              <w:top w:val="nil"/>
              <w:left w:val="nil"/>
              <w:bottom w:val="nil"/>
              <w:right w:val="nil"/>
            </w:tcBorders>
            <w:vAlign w:val="bottom"/>
          </w:tcPr>
          <w:p w14:paraId="3463984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3, 2, 3, 3, 3)</w:t>
            </w:r>
          </w:p>
        </w:tc>
      </w:tr>
      <w:tr w:rsidR="00EA38DE" w:rsidRPr="00EA38DE" w14:paraId="6EC8653B" w14:textId="77777777" w:rsidTr="009501B5">
        <w:trPr>
          <w:trHeight w:val="220"/>
        </w:trPr>
        <w:tc>
          <w:tcPr>
            <w:tcW w:w="6420" w:type="dxa"/>
            <w:gridSpan w:val="5"/>
            <w:tcBorders>
              <w:top w:val="nil"/>
              <w:left w:val="nil"/>
              <w:bottom w:val="nil"/>
              <w:right w:val="nil"/>
            </w:tcBorders>
            <w:vAlign w:val="bottom"/>
          </w:tcPr>
          <w:p w14:paraId="298502C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2E59C793" w14:textId="77777777" w:rsidTr="009501B5">
        <w:trPr>
          <w:trHeight w:val="220"/>
        </w:trPr>
        <w:tc>
          <w:tcPr>
            <w:tcW w:w="5470" w:type="dxa"/>
            <w:gridSpan w:val="4"/>
            <w:tcBorders>
              <w:top w:val="nil"/>
              <w:left w:val="nil"/>
              <w:bottom w:val="nil"/>
              <w:right w:val="nil"/>
            </w:tcBorders>
            <w:vAlign w:val="bottom"/>
          </w:tcPr>
          <w:p w14:paraId="18E0799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10:25</w:t>
            </w:r>
          </w:p>
        </w:tc>
        <w:tc>
          <w:tcPr>
            <w:tcW w:w="950" w:type="dxa"/>
            <w:tcBorders>
              <w:top w:val="nil"/>
              <w:left w:val="nil"/>
              <w:bottom w:val="nil"/>
              <w:right w:val="nil"/>
            </w:tcBorders>
            <w:vAlign w:val="bottom"/>
          </w:tcPr>
          <w:p w14:paraId="76A4E1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D8E1756" w14:textId="77777777" w:rsidTr="009501B5">
        <w:trPr>
          <w:trHeight w:val="220"/>
        </w:trPr>
        <w:tc>
          <w:tcPr>
            <w:tcW w:w="4320" w:type="dxa"/>
            <w:gridSpan w:val="3"/>
            <w:tcBorders>
              <w:top w:val="nil"/>
              <w:left w:val="nil"/>
              <w:bottom w:val="nil"/>
              <w:right w:val="nil"/>
            </w:tcBorders>
            <w:vAlign w:val="bottom"/>
          </w:tcPr>
          <w:p w14:paraId="454A19F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46D2B7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CE022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872949D" w14:textId="77777777" w:rsidTr="009501B5">
        <w:trPr>
          <w:trHeight w:val="220"/>
        </w:trPr>
        <w:tc>
          <w:tcPr>
            <w:tcW w:w="5470" w:type="dxa"/>
            <w:gridSpan w:val="4"/>
            <w:tcBorders>
              <w:top w:val="nil"/>
              <w:left w:val="nil"/>
              <w:bottom w:val="nil"/>
              <w:right w:val="nil"/>
            </w:tcBorders>
            <w:vAlign w:val="bottom"/>
          </w:tcPr>
          <w:p w14:paraId="2F22194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4A30AD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A354E99" w14:textId="77777777" w:rsidTr="009501B5">
        <w:trPr>
          <w:trHeight w:hRule="exact" w:val="88"/>
        </w:trPr>
        <w:tc>
          <w:tcPr>
            <w:tcW w:w="2120" w:type="dxa"/>
            <w:tcBorders>
              <w:top w:val="nil"/>
              <w:left w:val="nil"/>
              <w:bottom w:val="double" w:sz="6" w:space="2" w:color="auto"/>
              <w:right w:val="nil"/>
            </w:tcBorders>
            <w:vAlign w:val="bottom"/>
          </w:tcPr>
          <w:p w14:paraId="6EBC1F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207E0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345DB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9F054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3EBDA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E65A1D1" w14:textId="77777777" w:rsidTr="009501B5">
        <w:trPr>
          <w:trHeight w:hRule="exact" w:val="132"/>
        </w:trPr>
        <w:tc>
          <w:tcPr>
            <w:tcW w:w="2120" w:type="dxa"/>
            <w:tcBorders>
              <w:top w:val="nil"/>
              <w:left w:val="nil"/>
              <w:bottom w:val="nil"/>
              <w:right w:val="nil"/>
            </w:tcBorders>
            <w:vAlign w:val="bottom"/>
          </w:tcPr>
          <w:p w14:paraId="7A152D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98EED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B3862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D31DB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CADB0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6050C28" w14:textId="77777777" w:rsidTr="009501B5">
        <w:trPr>
          <w:trHeight w:val="220"/>
        </w:trPr>
        <w:tc>
          <w:tcPr>
            <w:tcW w:w="6420" w:type="dxa"/>
            <w:gridSpan w:val="5"/>
            <w:tcBorders>
              <w:top w:val="nil"/>
              <w:left w:val="nil"/>
              <w:bottom w:val="nil"/>
              <w:right w:val="nil"/>
            </w:tcBorders>
            <w:vAlign w:val="bottom"/>
          </w:tcPr>
          <w:p w14:paraId="6BFD78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1B92A4AA" w14:textId="77777777" w:rsidTr="009501B5">
        <w:trPr>
          <w:trHeight w:val="220"/>
        </w:trPr>
        <w:tc>
          <w:tcPr>
            <w:tcW w:w="6420" w:type="dxa"/>
            <w:gridSpan w:val="5"/>
            <w:tcBorders>
              <w:top w:val="nil"/>
              <w:left w:val="nil"/>
              <w:bottom w:val="nil"/>
              <w:right w:val="nil"/>
            </w:tcBorders>
            <w:vAlign w:val="bottom"/>
          </w:tcPr>
          <w:p w14:paraId="3AB061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58DFD437" w14:textId="77777777" w:rsidTr="009501B5">
        <w:trPr>
          <w:trHeight w:hRule="exact" w:val="88"/>
        </w:trPr>
        <w:tc>
          <w:tcPr>
            <w:tcW w:w="2120" w:type="dxa"/>
            <w:tcBorders>
              <w:top w:val="nil"/>
              <w:left w:val="nil"/>
              <w:bottom w:val="double" w:sz="6" w:space="2" w:color="auto"/>
              <w:right w:val="nil"/>
            </w:tcBorders>
            <w:vAlign w:val="bottom"/>
          </w:tcPr>
          <w:p w14:paraId="63C3DC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BF7DD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EE65ED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6D1DC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BF8F5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B64C876" w14:textId="77777777" w:rsidTr="009501B5">
        <w:trPr>
          <w:trHeight w:hRule="exact" w:val="132"/>
        </w:trPr>
        <w:tc>
          <w:tcPr>
            <w:tcW w:w="2120" w:type="dxa"/>
            <w:tcBorders>
              <w:top w:val="nil"/>
              <w:left w:val="nil"/>
              <w:bottom w:val="nil"/>
              <w:right w:val="nil"/>
            </w:tcBorders>
            <w:vAlign w:val="bottom"/>
          </w:tcPr>
          <w:p w14:paraId="1DDD1F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71972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63B5A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E1D71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A9619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5A94464" w14:textId="77777777" w:rsidTr="009501B5">
        <w:trPr>
          <w:trHeight w:val="220"/>
        </w:trPr>
        <w:tc>
          <w:tcPr>
            <w:tcW w:w="2120" w:type="dxa"/>
            <w:tcBorders>
              <w:top w:val="nil"/>
              <w:left w:val="nil"/>
              <w:bottom w:val="nil"/>
              <w:right w:val="nil"/>
            </w:tcBorders>
            <w:vAlign w:val="bottom"/>
          </w:tcPr>
          <w:p w14:paraId="046B27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1DE8108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6AD006C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49A0EF6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3E0D77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3A313F50" w14:textId="77777777" w:rsidTr="009501B5">
        <w:trPr>
          <w:trHeight w:hRule="exact" w:val="88"/>
        </w:trPr>
        <w:tc>
          <w:tcPr>
            <w:tcW w:w="2120" w:type="dxa"/>
            <w:tcBorders>
              <w:top w:val="nil"/>
              <w:left w:val="nil"/>
              <w:bottom w:val="double" w:sz="6" w:space="2" w:color="auto"/>
              <w:right w:val="nil"/>
            </w:tcBorders>
            <w:vAlign w:val="bottom"/>
          </w:tcPr>
          <w:p w14:paraId="69B171B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7654F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4A5EF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CD964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AEB26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C813F23" w14:textId="77777777" w:rsidTr="009501B5">
        <w:trPr>
          <w:trHeight w:hRule="exact" w:val="132"/>
        </w:trPr>
        <w:tc>
          <w:tcPr>
            <w:tcW w:w="2120" w:type="dxa"/>
            <w:tcBorders>
              <w:top w:val="nil"/>
              <w:left w:val="nil"/>
              <w:bottom w:val="nil"/>
              <w:right w:val="nil"/>
            </w:tcBorders>
            <w:vAlign w:val="bottom"/>
          </w:tcPr>
          <w:p w14:paraId="0E56C4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1AD93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AED4F5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D0AF0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7C06F7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88499E3" w14:textId="77777777" w:rsidTr="009501B5">
        <w:trPr>
          <w:trHeight w:val="220"/>
        </w:trPr>
        <w:tc>
          <w:tcPr>
            <w:tcW w:w="2120" w:type="dxa"/>
            <w:tcBorders>
              <w:top w:val="nil"/>
              <w:left w:val="nil"/>
              <w:bottom w:val="nil"/>
              <w:right w:val="nil"/>
            </w:tcBorders>
            <w:vAlign w:val="bottom"/>
          </w:tcPr>
          <w:p w14:paraId="155FF4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1D3F93E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-1321.466</w:t>
            </w:r>
          </w:p>
        </w:tc>
        <w:tc>
          <w:tcPr>
            <w:tcW w:w="1150" w:type="dxa"/>
            <w:tcBorders>
              <w:top w:val="nil"/>
              <w:left w:val="nil"/>
              <w:bottom w:val="nil"/>
              <w:right w:val="nil"/>
            </w:tcBorders>
            <w:vAlign w:val="bottom"/>
          </w:tcPr>
          <w:p w14:paraId="2B19AB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116.8593</w:t>
            </w:r>
          </w:p>
        </w:tc>
        <w:tc>
          <w:tcPr>
            <w:tcW w:w="1150" w:type="dxa"/>
            <w:tcBorders>
              <w:top w:val="nil"/>
              <w:left w:val="nil"/>
              <w:bottom w:val="nil"/>
              <w:right w:val="nil"/>
            </w:tcBorders>
            <w:vAlign w:val="bottom"/>
          </w:tcPr>
          <w:p w14:paraId="12C9E32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-11.30818</w:t>
            </w:r>
          </w:p>
        </w:tc>
        <w:tc>
          <w:tcPr>
            <w:tcW w:w="950" w:type="dxa"/>
            <w:tcBorders>
              <w:top w:val="nil"/>
              <w:left w:val="nil"/>
              <w:bottom w:val="nil"/>
              <w:right w:val="nil"/>
            </w:tcBorders>
            <w:vAlign w:val="bottom"/>
          </w:tcPr>
          <w:p w14:paraId="661B186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0D23C253" w14:textId="77777777" w:rsidTr="009501B5">
        <w:trPr>
          <w:trHeight w:val="220"/>
        </w:trPr>
        <w:tc>
          <w:tcPr>
            <w:tcW w:w="2120" w:type="dxa"/>
            <w:tcBorders>
              <w:top w:val="nil"/>
              <w:left w:val="nil"/>
              <w:bottom w:val="nil"/>
              <w:right w:val="nil"/>
            </w:tcBorders>
            <w:vAlign w:val="bottom"/>
          </w:tcPr>
          <w:p w14:paraId="52106B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@TREND</w:t>
            </w:r>
          </w:p>
        </w:tc>
        <w:tc>
          <w:tcPr>
            <w:tcW w:w="1050" w:type="dxa"/>
            <w:tcBorders>
              <w:top w:val="nil"/>
              <w:left w:val="nil"/>
              <w:bottom w:val="nil"/>
              <w:right w:val="nil"/>
            </w:tcBorders>
            <w:vAlign w:val="bottom"/>
          </w:tcPr>
          <w:p w14:paraId="5AEDD6F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-3.378472</w:t>
            </w:r>
          </w:p>
        </w:tc>
        <w:tc>
          <w:tcPr>
            <w:tcW w:w="1150" w:type="dxa"/>
            <w:tcBorders>
              <w:top w:val="nil"/>
              <w:left w:val="nil"/>
              <w:bottom w:val="nil"/>
              <w:right w:val="nil"/>
            </w:tcBorders>
            <w:vAlign w:val="bottom"/>
          </w:tcPr>
          <w:p w14:paraId="715CFE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0.298801</w:t>
            </w:r>
          </w:p>
        </w:tc>
        <w:tc>
          <w:tcPr>
            <w:tcW w:w="1150" w:type="dxa"/>
            <w:tcBorders>
              <w:top w:val="nil"/>
              <w:left w:val="nil"/>
              <w:bottom w:val="nil"/>
              <w:right w:val="nil"/>
            </w:tcBorders>
            <w:vAlign w:val="bottom"/>
          </w:tcPr>
          <w:p w14:paraId="17AC963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-11.30678</w:t>
            </w:r>
          </w:p>
        </w:tc>
        <w:tc>
          <w:tcPr>
            <w:tcW w:w="950" w:type="dxa"/>
            <w:tcBorders>
              <w:top w:val="nil"/>
              <w:left w:val="nil"/>
              <w:bottom w:val="nil"/>
              <w:right w:val="nil"/>
            </w:tcBorders>
            <w:vAlign w:val="bottom"/>
          </w:tcPr>
          <w:p w14:paraId="530BF7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1FF8195D" w14:textId="77777777" w:rsidTr="009501B5">
        <w:trPr>
          <w:trHeight w:val="220"/>
        </w:trPr>
        <w:tc>
          <w:tcPr>
            <w:tcW w:w="2120" w:type="dxa"/>
            <w:tcBorders>
              <w:top w:val="nil"/>
              <w:left w:val="nil"/>
              <w:bottom w:val="nil"/>
              <w:right w:val="nil"/>
            </w:tcBorders>
            <w:vAlign w:val="bottom"/>
          </w:tcPr>
          <w:p w14:paraId="2FE29A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w:t>
            </w:r>
          </w:p>
        </w:tc>
        <w:tc>
          <w:tcPr>
            <w:tcW w:w="1050" w:type="dxa"/>
            <w:tcBorders>
              <w:top w:val="nil"/>
              <w:left w:val="nil"/>
              <w:bottom w:val="nil"/>
              <w:right w:val="nil"/>
            </w:tcBorders>
            <w:vAlign w:val="bottom"/>
          </w:tcPr>
          <w:p w14:paraId="2341C11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-0.319403</w:t>
            </w:r>
          </w:p>
        </w:tc>
        <w:tc>
          <w:tcPr>
            <w:tcW w:w="1150" w:type="dxa"/>
            <w:tcBorders>
              <w:top w:val="nil"/>
              <w:left w:val="nil"/>
              <w:bottom w:val="nil"/>
              <w:right w:val="nil"/>
            </w:tcBorders>
            <w:vAlign w:val="bottom"/>
          </w:tcPr>
          <w:p w14:paraId="2C9A265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0.241215</w:t>
            </w:r>
          </w:p>
        </w:tc>
        <w:tc>
          <w:tcPr>
            <w:tcW w:w="1150" w:type="dxa"/>
            <w:tcBorders>
              <w:top w:val="nil"/>
              <w:left w:val="nil"/>
              <w:bottom w:val="nil"/>
              <w:right w:val="nil"/>
            </w:tcBorders>
            <w:vAlign w:val="bottom"/>
          </w:tcPr>
          <w:p w14:paraId="30BCAE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-1.324142</w:t>
            </w:r>
          </w:p>
        </w:tc>
        <w:tc>
          <w:tcPr>
            <w:tcW w:w="950" w:type="dxa"/>
            <w:tcBorders>
              <w:top w:val="nil"/>
              <w:left w:val="nil"/>
              <w:bottom w:val="nil"/>
              <w:right w:val="nil"/>
            </w:tcBorders>
            <w:vAlign w:val="bottom"/>
          </w:tcPr>
          <w:p w14:paraId="517C132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0.2149</w:t>
            </w:r>
          </w:p>
        </w:tc>
      </w:tr>
      <w:tr w:rsidR="00EA38DE" w:rsidRPr="00EA38DE" w14:paraId="23366207" w14:textId="77777777" w:rsidTr="009501B5">
        <w:trPr>
          <w:trHeight w:val="220"/>
        </w:trPr>
        <w:tc>
          <w:tcPr>
            <w:tcW w:w="2120" w:type="dxa"/>
            <w:tcBorders>
              <w:top w:val="nil"/>
              <w:left w:val="nil"/>
              <w:bottom w:val="nil"/>
              <w:right w:val="nil"/>
            </w:tcBorders>
            <w:vAlign w:val="bottom"/>
          </w:tcPr>
          <w:p w14:paraId="0BF1B5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D(LAQT(-1))</w:t>
            </w:r>
          </w:p>
        </w:tc>
        <w:tc>
          <w:tcPr>
            <w:tcW w:w="1050" w:type="dxa"/>
            <w:tcBorders>
              <w:top w:val="nil"/>
              <w:left w:val="nil"/>
              <w:bottom w:val="nil"/>
              <w:right w:val="nil"/>
            </w:tcBorders>
            <w:vAlign w:val="bottom"/>
          </w:tcPr>
          <w:p w14:paraId="52DAB82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-1.468863</w:t>
            </w:r>
          </w:p>
        </w:tc>
        <w:tc>
          <w:tcPr>
            <w:tcW w:w="1150" w:type="dxa"/>
            <w:tcBorders>
              <w:top w:val="nil"/>
              <w:left w:val="nil"/>
              <w:bottom w:val="nil"/>
              <w:right w:val="nil"/>
            </w:tcBorders>
            <w:vAlign w:val="bottom"/>
          </w:tcPr>
          <w:p w14:paraId="2BD773F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0.358420</w:t>
            </w:r>
          </w:p>
        </w:tc>
        <w:tc>
          <w:tcPr>
            <w:tcW w:w="1150" w:type="dxa"/>
            <w:tcBorders>
              <w:top w:val="nil"/>
              <w:left w:val="nil"/>
              <w:bottom w:val="nil"/>
              <w:right w:val="nil"/>
            </w:tcBorders>
            <w:vAlign w:val="bottom"/>
          </w:tcPr>
          <w:p w14:paraId="0389266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-4.098159</w:t>
            </w:r>
          </w:p>
        </w:tc>
        <w:tc>
          <w:tcPr>
            <w:tcW w:w="950" w:type="dxa"/>
            <w:tcBorders>
              <w:top w:val="nil"/>
              <w:left w:val="nil"/>
              <w:bottom w:val="nil"/>
              <w:right w:val="nil"/>
            </w:tcBorders>
            <w:vAlign w:val="bottom"/>
          </w:tcPr>
          <w:p w14:paraId="3F93C69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0.0022</w:t>
            </w:r>
          </w:p>
        </w:tc>
      </w:tr>
      <w:tr w:rsidR="00EA38DE" w:rsidRPr="00EA38DE" w14:paraId="437713E2" w14:textId="77777777" w:rsidTr="009501B5">
        <w:trPr>
          <w:trHeight w:val="220"/>
        </w:trPr>
        <w:tc>
          <w:tcPr>
            <w:tcW w:w="2120" w:type="dxa"/>
            <w:tcBorders>
              <w:top w:val="nil"/>
              <w:left w:val="nil"/>
              <w:bottom w:val="nil"/>
              <w:right w:val="nil"/>
            </w:tcBorders>
            <w:vAlign w:val="bottom"/>
          </w:tcPr>
          <w:p w14:paraId="785B71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D(LAQT(-2))</w:t>
            </w:r>
          </w:p>
        </w:tc>
        <w:tc>
          <w:tcPr>
            <w:tcW w:w="1050" w:type="dxa"/>
            <w:tcBorders>
              <w:top w:val="nil"/>
              <w:left w:val="nil"/>
              <w:bottom w:val="nil"/>
              <w:right w:val="nil"/>
            </w:tcBorders>
            <w:vAlign w:val="bottom"/>
          </w:tcPr>
          <w:p w14:paraId="672B5A5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-0.353348</w:t>
            </w:r>
          </w:p>
        </w:tc>
        <w:tc>
          <w:tcPr>
            <w:tcW w:w="1150" w:type="dxa"/>
            <w:tcBorders>
              <w:top w:val="nil"/>
              <w:left w:val="nil"/>
              <w:bottom w:val="nil"/>
              <w:right w:val="nil"/>
            </w:tcBorders>
            <w:vAlign w:val="bottom"/>
          </w:tcPr>
          <w:p w14:paraId="0536750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0.150932</w:t>
            </w:r>
          </w:p>
        </w:tc>
        <w:tc>
          <w:tcPr>
            <w:tcW w:w="1150" w:type="dxa"/>
            <w:tcBorders>
              <w:top w:val="nil"/>
              <w:left w:val="nil"/>
              <w:bottom w:val="nil"/>
              <w:right w:val="nil"/>
            </w:tcBorders>
            <w:vAlign w:val="bottom"/>
          </w:tcPr>
          <w:p w14:paraId="1534862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-2.341106</w:t>
            </w:r>
          </w:p>
        </w:tc>
        <w:tc>
          <w:tcPr>
            <w:tcW w:w="950" w:type="dxa"/>
            <w:tcBorders>
              <w:top w:val="nil"/>
              <w:left w:val="nil"/>
              <w:bottom w:val="nil"/>
              <w:right w:val="nil"/>
            </w:tcBorders>
            <w:vAlign w:val="bottom"/>
          </w:tcPr>
          <w:p w14:paraId="1B0C572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0.0413</w:t>
            </w:r>
          </w:p>
        </w:tc>
      </w:tr>
      <w:tr w:rsidR="00EA38DE" w:rsidRPr="00EA38DE" w14:paraId="55B7D1DB" w14:textId="77777777" w:rsidTr="009501B5">
        <w:trPr>
          <w:trHeight w:val="220"/>
        </w:trPr>
        <w:tc>
          <w:tcPr>
            <w:tcW w:w="2120" w:type="dxa"/>
            <w:tcBorders>
              <w:top w:val="nil"/>
              <w:left w:val="nil"/>
              <w:bottom w:val="nil"/>
              <w:right w:val="nil"/>
            </w:tcBorders>
            <w:vAlign w:val="bottom"/>
          </w:tcPr>
          <w:p w14:paraId="4A4293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772EE85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0.003039</w:t>
            </w:r>
          </w:p>
        </w:tc>
        <w:tc>
          <w:tcPr>
            <w:tcW w:w="1150" w:type="dxa"/>
            <w:tcBorders>
              <w:top w:val="nil"/>
              <w:left w:val="nil"/>
              <w:bottom w:val="nil"/>
              <w:right w:val="nil"/>
            </w:tcBorders>
            <w:vAlign w:val="bottom"/>
          </w:tcPr>
          <w:p w14:paraId="5D950D4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0.003233</w:t>
            </w:r>
          </w:p>
        </w:tc>
        <w:tc>
          <w:tcPr>
            <w:tcW w:w="1150" w:type="dxa"/>
            <w:tcBorders>
              <w:top w:val="nil"/>
              <w:left w:val="nil"/>
              <w:bottom w:val="nil"/>
              <w:right w:val="nil"/>
            </w:tcBorders>
            <w:vAlign w:val="bottom"/>
          </w:tcPr>
          <w:p w14:paraId="3A2B40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0.939781</w:t>
            </w:r>
          </w:p>
        </w:tc>
        <w:tc>
          <w:tcPr>
            <w:tcW w:w="950" w:type="dxa"/>
            <w:tcBorders>
              <w:top w:val="nil"/>
              <w:left w:val="nil"/>
              <w:bottom w:val="nil"/>
              <w:right w:val="nil"/>
            </w:tcBorders>
            <w:vAlign w:val="bottom"/>
          </w:tcPr>
          <w:p w14:paraId="285165B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0.3695</w:t>
            </w:r>
          </w:p>
        </w:tc>
      </w:tr>
      <w:tr w:rsidR="00EA38DE" w:rsidRPr="00EA38DE" w14:paraId="74D261F8" w14:textId="77777777" w:rsidTr="009501B5">
        <w:trPr>
          <w:trHeight w:val="220"/>
        </w:trPr>
        <w:tc>
          <w:tcPr>
            <w:tcW w:w="2120" w:type="dxa"/>
            <w:tcBorders>
              <w:top w:val="nil"/>
              <w:left w:val="nil"/>
              <w:bottom w:val="nil"/>
              <w:right w:val="nil"/>
            </w:tcBorders>
            <w:vAlign w:val="bottom"/>
          </w:tcPr>
          <w:p w14:paraId="07FA97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338474E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-0.012391</w:t>
            </w:r>
          </w:p>
        </w:tc>
        <w:tc>
          <w:tcPr>
            <w:tcW w:w="1150" w:type="dxa"/>
            <w:tcBorders>
              <w:top w:val="nil"/>
              <w:left w:val="nil"/>
              <w:bottom w:val="nil"/>
              <w:right w:val="nil"/>
            </w:tcBorders>
            <w:vAlign w:val="bottom"/>
          </w:tcPr>
          <w:p w14:paraId="7B867AD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0.003114</w:t>
            </w:r>
          </w:p>
        </w:tc>
        <w:tc>
          <w:tcPr>
            <w:tcW w:w="1150" w:type="dxa"/>
            <w:tcBorders>
              <w:top w:val="nil"/>
              <w:left w:val="nil"/>
              <w:bottom w:val="nil"/>
              <w:right w:val="nil"/>
            </w:tcBorders>
            <w:vAlign w:val="bottom"/>
          </w:tcPr>
          <w:p w14:paraId="7122922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-3.979715</w:t>
            </w:r>
          </w:p>
        </w:tc>
        <w:tc>
          <w:tcPr>
            <w:tcW w:w="950" w:type="dxa"/>
            <w:tcBorders>
              <w:top w:val="nil"/>
              <w:left w:val="nil"/>
              <w:bottom w:val="nil"/>
              <w:right w:val="nil"/>
            </w:tcBorders>
            <w:vAlign w:val="bottom"/>
          </w:tcPr>
          <w:p w14:paraId="564D76C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0.0026</w:t>
            </w:r>
          </w:p>
        </w:tc>
      </w:tr>
      <w:tr w:rsidR="00EA38DE" w:rsidRPr="00EA38DE" w14:paraId="5A178183" w14:textId="77777777" w:rsidTr="009501B5">
        <w:trPr>
          <w:trHeight w:val="220"/>
        </w:trPr>
        <w:tc>
          <w:tcPr>
            <w:tcW w:w="2120" w:type="dxa"/>
            <w:tcBorders>
              <w:top w:val="nil"/>
              <w:left w:val="nil"/>
              <w:bottom w:val="nil"/>
              <w:right w:val="nil"/>
            </w:tcBorders>
            <w:vAlign w:val="bottom"/>
          </w:tcPr>
          <w:p w14:paraId="460551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550E66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3.873333</w:t>
            </w:r>
          </w:p>
        </w:tc>
        <w:tc>
          <w:tcPr>
            <w:tcW w:w="1150" w:type="dxa"/>
            <w:tcBorders>
              <w:top w:val="nil"/>
              <w:left w:val="nil"/>
              <w:bottom w:val="nil"/>
              <w:right w:val="nil"/>
            </w:tcBorders>
            <w:vAlign w:val="bottom"/>
          </w:tcPr>
          <w:p w14:paraId="247851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3.428651</w:t>
            </w:r>
          </w:p>
        </w:tc>
        <w:tc>
          <w:tcPr>
            <w:tcW w:w="1150" w:type="dxa"/>
            <w:tcBorders>
              <w:top w:val="nil"/>
              <w:left w:val="nil"/>
              <w:bottom w:val="nil"/>
              <w:right w:val="nil"/>
            </w:tcBorders>
            <w:vAlign w:val="bottom"/>
          </w:tcPr>
          <w:p w14:paraId="36D4A87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1.129696</w:t>
            </w:r>
          </w:p>
        </w:tc>
        <w:tc>
          <w:tcPr>
            <w:tcW w:w="950" w:type="dxa"/>
            <w:tcBorders>
              <w:top w:val="nil"/>
              <w:left w:val="nil"/>
              <w:bottom w:val="nil"/>
              <w:right w:val="nil"/>
            </w:tcBorders>
            <w:vAlign w:val="bottom"/>
          </w:tcPr>
          <w:p w14:paraId="174F59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0.2850</w:t>
            </w:r>
          </w:p>
        </w:tc>
      </w:tr>
      <w:tr w:rsidR="00EA38DE" w:rsidRPr="00EA38DE" w14:paraId="4E200563" w14:textId="77777777" w:rsidTr="009501B5">
        <w:trPr>
          <w:trHeight w:val="220"/>
        </w:trPr>
        <w:tc>
          <w:tcPr>
            <w:tcW w:w="2120" w:type="dxa"/>
            <w:tcBorders>
              <w:top w:val="nil"/>
              <w:left w:val="nil"/>
              <w:bottom w:val="nil"/>
              <w:right w:val="nil"/>
            </w:tcBorders>
            <w:vAlign w:val="bottom"/>
          </w:tcPr>
          <w:p w14:paraId="52D077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227AB07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-113.2760</w:t>
            </w:r>
          </w:p>
        </w:tc>
        <w:tc>
          <w:tcPr>
            <w:tcW w:w="1150" w:type="dxa"/>
            <w:tcBorders>
              <w:top w:val="nil"/>
              <w:left w:val="nil"/>
              <w:bottom w:val="nil"/>
              <w:right w:val="nil"/>
            </w:tcBorders>
            <w:vAlign w:val="bottom"/>
          </w:tcPr>
          <w:p w14:paraId="57D1324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24.20994</w:t>
            </w:r>
          </w:p>
        </w:tc>
        <w:tc>
          <w:tcPr>
            <w:tcW w:w="1150" w:type="dxa"/>
            <w:tcBorders>
              <w:top w:val="nil"/>
              <w:left w:val="nil"/>
              <w:bottom w:val="nil"/>
              <w:right w:val="nil"/>
            </w:tcBorders>
            <w:vAlign w:val="bottom"/>
          </w:tcPr>
          <w:p w14:paraId="0F83A9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-4.678906</w:t>
            </w:r>
          </w:p>
        </w:tc>
        <w:tc>
          <w:tcPr>
            <w:tcW w:w="950" w:type="dxa"/>
            <w:tcBorders>
              <w:top w:val="nil"/>
              <w:left w:val="nil"/>
              <w:bottom w:val="nil"/>
              <w:right w:val="nil"/>
            </w:tcBorders>
            <w:vAlign w:val="bottom"/>
          </w:tcPr>
          <w:p w14:paraId="48FA872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0.0009</w:t>
            </w:r>
          </w:p>
        </w:tc>
      </w:tr>
      <w:tr w:rsidR="00EA38DE" w:rsidRPr="00EA38DE" w14:paraId="50D81284" w14:textId="77777777" w:rsidTr="009501B5">
        <w:trPr>
          <w:trHeight w:val="220"/>
        </w:trPr>
        <w:tc>
          <w:tcPr>
            <w:tcW w:w="2120" w:type="dxa"/>
            <w:tcBorders>
              <w:top w:val="nil"/>
              <w:left w:val="nil"/>
              <w:bottom w:val="nil"/>
              <w:right w:val="nil"/>
            </w:tcBorders>
            <w:vAlign w:val="bottom"/>
          </w:tcPr>
          <w:p w14:paraId="3D7B8A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D(LLAB(-2))</w:t>
            </w:r>
          </w:p>
        </w:tc>
        <w:tc>
          <w:tcPr>
            <w:tcW w:w="1050" w:type="dxa"/>
            <w:tcBorders>
              <w:top w:val="nil"/>
              <w:left w:val="nil"/>
              <w:bottom w:val="nil"/>
              <w:right w:val="nil"/>
            </w:tcBorders>
            <w:vAlign w:val="bottom"/>
          </w:tcPr>
          <w:p w14:paraId="477BFFD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-116.8959</w:t>
            </w:r>
          </w:p>
        </w:tc>
        <w:tc>
          <w:tcPr>
            <w:tcW w:w="1150" w:type="dxa"/>
            <w:tcBorders>
              <w:top w:val="nil"/>
              <w:left w:val="nil"/>
              <w:bottom w:val="nil"/>
              <w:right w:val="nil"/>
            </w:tcBorders>
            <w:vAlign w:val="bottom"/>
          </w:tcPr>
          <w:p w14:paraId="7B1220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26.53649</w:t>
            </w:r>
          </w:p>
        </w:tc>
        <w:tc>
          <w:tcPr>
            <w:tcW w:w="1150" w:type="dxa"/>
            <w:tcBorders>
              <w:top w:val="nil"/>
              <w:left w:val="nil"/>
              <w:bottom w:val="nil"/>
              <w:right w:val="nil"/>
            </w:tcBorders>
            <w:vAlign w:val="bottom"/>
          </w:tcPr>
          <w:p w14:paraId="017619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-4.405099</w:t>
            </w:r>
          </w:p>
        </w:tc>
        <w:tc>
          <w:tcPr>
            <w:tcW w:w="950" w:type="dxa"/>
            <w:tcBorders>
              <w:top w:val="nil"/>
              <w:left w:val="nil"/>
              <w:bottom w:val="nil"/>
              <w:right w:val="nil"/>
            </w:tcBorders>
            <w:vAlign w:val="bottom"/>
          </w:tcPr>
          <w:p w14:paraId="2AC7DF8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0.0013</w:t>
            </w:r>
          </w:p>
        </w:tc>
      </w:tr>
      <w:tr w:rsidR="00EA38DE" w:rsidRPr="00EA38DE" w14:paraId="7B6A4BCB" w14:textId="77777777" w:rsidTr="009501B5">
        <w:trPr>
          <w:trHeight w:val="220"/>
        </w:trPr>
        <w:tc>
          <w:tcPr>
            <w:tcW w:w="2120" w:type="dxa"/>
            <w:tcBorders>
              <w:top w:val="nil"/>
              <w:left w:val="nil"/>
              <w:bottom w:val="nil"/>
              <w:right w:val="nil"/>
            </w:tcBorders>
            <w:vAlign w:val="bottom"/>
          </w:tcPr>
          <w:p w14:paraId="0C4B45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3EBCFFC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-0.049920</w:t>
            </w:r>
          </w:p>
        </w:tc>
        <w:tc>
          <w:tcPr>
            <w:tcW w:w="1150" w:type="dxa"/>
            <w:tcBorders>
              <w:top w:val="nil"/>
              <w:left w:val="nil"/>
              <w:bottom w:val="nil"/>
              <w:right w:val="nil"/>
            </w:tcBorders>
            <w:vAlign w:val="bottom"/>
          </w:tcPr>
          <w:p w14:paraId="73AD27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0.058604</w:t>
            </w:r>
          </w:p>
        </w:tc>
        <w:tc>
          <w:tcPr>
            <w:tcW w:w="1150" w:type="dxa"/>
            <w:tcBorders>
              <w:top w:val="nil"/>
              <w:left w:val="nil"/>
              <w:bottom w:val="nil"/>
              <w:right w:val="nil"/>
            </w:tcBorders>
            <w:vAlign w:val="bottom"/>
          </w:tcPr>
          <w:p w14:paraId="54CE21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-0.851808</w:t>
            </w:r>
          </w:p>
        </w:tc>
        <w:tc>
          <w:tcPr>
            <w:tcW w:w="950" w:type="dxa"/>
            <w:tcBorders>
              <w:top w:val="nil"/>
              <w:left w:val="nil"/>
              <w:bottom w:val="nil"/>
              <w:right w:val="nil"/>
            </w:tcBorders>
            <w:vAlign w:val="bottom"/>
          </w:tcPr>
          <w:p w14:paraId="02EA8E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0.4143</w:t>
            </w:r>
          </w:p>
        </w:tc>
      </w:tr>
      <w:tr w:rsidR="00EA38DE" w:rsidRPr="00EA38DE" w14:paraId="18851A98" w14:textId="77777777" w:rsidTr="009501B5">
        <w:trPr>
          <w:trHeight w:val="220"/>
        </w:trPr>
        <w:tc>
          <w:tcPr>
            <w:tcW w:w="2120" w:type="dxa"/>
            <w:tcBorders>
              <w:top w:val="nil"/>
              <w:left w:val="nil"/>
              <w:bottom w:val="nil"/>
              <w:right w:val="nil"/>
            </w:tcBorders>
            <w:vAlign w:val="bottom"/>
          </w:tcPr>
          <w:p w14:paraId="37EAB5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D(TRF(-1))</w:t>
            </w:r>
          </w:p>
        </w:tc>
        <w:tc>
          <w:tcPr>
            <w:tcW w:w="1050" w:type="dxa"/>
            <w:tcBorders>
              <w:top w:val="nil"/>
              <w:left w:val="nil"/>
              <w:bottom w:val="nil"/>
              <w:right w:val="nil"/>
            </w:tcBorders>
            <w:vAlign w:val="bottom"/>
          </w:tcPr>
          <w:p w14:paraId="4250C21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0.260873</w:t>
            </w:r>
          </w:p>
        </w:tc>
        <w:tc>
          <w:tcPr>
            <w:tcW w:w="1150" w:type="dxa"/>
            <w:tcBorders>
              <w:top w:val="nil"/>
              <w:left w:val="nil"/>
              <w:bottom w:val="nil"/>
              <w:right w:val="nil"/>
            </w:tcBorders>
            <w:vAlign w:val="bottom"/>
          </w:tcPr>
          <w:p w14:paraId="2F3209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0.059359</w:t>
            </w:r>
          </w:p>
        </w:tc>
        <w:tc>
          <w:tcPr>
            <w:tcW w:w="1150" w:type="dxa"/>
            <w:tcBorders>
              <w:top w:val="nil"/>
              <w:left w:val="nil"/>
              <w:bottom w:val="nil"/>
              <w:right w:val="nil"/>
            </w:tcBorders>
            <w:vAlign w:val="bottom"/>
          </w:tcPr>
          <w:p w14:paraId="2D9024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4.394815</w:t>
            </w:r>
          </w:p>
        </w:tc>
        <w:tc>
          <w:tcPr>
            <w:tcW w:w="950" w:type="dxa"/>
            <w:tcBorders>
              <w:top w:val="nil"/>
              <w:left w:val="nil"/>
              <w:bottom w:val="nil"/>
              <w:right w:val="nil"/>
            </w:tcBorders>
            <w:vAlign w:val="bottom"/>
          </w:tcPr>
          <w:p w14:paraId="0DD0A63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0.0013</w:t>
            </w:r>
          </w:p>
        </w:tc>
      </w:tr>
      <w:tr w:rsidR="00EA38DE" w:rsidRPr="00EA38DE" w14:paraId="7C4CFEAD" w14:textId="77777777" w:rsidTr="009501B5">
        <w:trPr>
          <w:trHeight w:val="220"/>
        </w:trPr>
        <w:tc>
          <w:tcPr>
            <w:tcW w:w="2120" w:type="dxa"/>
            <w:tcBorders>
              <w:top w:val="nil"/>
              <w:left w:val="nil"/>
              <w:bottom w:val="nil"/>
              <w:right w:val="nil"/>
            </w:tcBorders>
            <w:vAlign w:val="bottom"/>
          </w:tcPr>
          <w:p w14:paraId="4559FC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D(TRF(-2))</w:t>
            </w:r>
          </w:p>
        </w:tc>
        <w:tc>
          <w:tcPr>
            <w:tcW w:w="1050" w:type="dxa"/>
            <w:tcBorders>
              <w:top w:val="nil"/>
              <w:left w:val="nil"/>
              <w:bottom w:val="nil"/>
              <w:right w:val="nil"/>
            </w:tcBorders>
            <w:vAlign w:val="bottom"/>
          </w:tcPr>
          <w:p w14:paraId="28443E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0.247559</w:t>
            </w:r>
          </w:p>
        </w:tc>
        <w:tc>
          <w:tcPr>
            <w:tcW w:w="1150" w:type="dxa"/>
            <w:tcBorders>
              <w:top w:val="nil"/>
              <w:left w:val="nil"/>
              <w:bottom w:val="nil"/>
              <w:right w:val="nil"/>
            </w:tcBorders>
            <w:vAlign w:val="bottom"/>
          </w:tcPr>
          <w:p w14:paraId="5D1FBD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0.074720</w:t>
            </w:r>
          </w:p>
        </w:tc>
        <w:tc>
          <w:tcPr>
            <w:tcW w:w="1150" w:type="dxa"/>
            <w:tcBorders>
              <w:top w:val="nil"/>
              <w:left w:val="nil"/>
              <w:bottom w:val="nil"/>
              <w:right w:val="nil"/>
            </w:tcBorders>
            <w:vAlign w:val="bottom"/>
          </w:tcPr>
          <w:p w14:paraId="25A746A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3.313150</w:t>
            </w:r>
          </w:p>
        </w:tc>
        <w:tc>
          <w:tcPr>
            <w:tcW w:w="950" w:type="dxa"/>
            <w:tcBorders>
              <w:top w:val="nil"/>
              <w:left w:val="nil"/>
              <w:bottom w:val="nil"/>
              <w:right w:val="nil"/>
            </w:tcBorders>
            <w:vAlign w:val="bottom"/>
          </w:tcPr>
          <w:p w14:paraId="1D4F0A5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0.0078</w:t>
            </w:r>
          </w:p>
        </w:tc>
      </w:tr>
      <w:tr w:rsidR="00EA38DE" w:rsidRPr="00EA38DE" w14:paraId="11192A4B" w14:textId="77777777" w:rsidTr="009501B5">
        <w:trPr>
          <w:trHeight w:val="220"/>
        </w:trPr>
        <w:tc>
          <w:tcPr>
            <w:tcW w:w="2120" w:type="dxa"/>
            <w:tcBorders>
              <w:top w:val="nil"/>
              <w:left w:val="nil"/>
              <w:bottom w:val="nil"/>
              <w:right w:val="nil"/>
            </w:tcBorders>
            <w:vAlign w:val="bottom"/>
          </w:tcPr>
          <w:p w14:paraId="30D326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2F85C07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-1.416620</w:t>
            </w:r>
          </w:p>
        </w:tc>
        <w:tc>
          <w:tcPr>
            <w:tcW w:w="1150" w:type="dxa"/>
            <w:tcBorders>
              <w:top w:val="nil"/>
              <w:left w:val="nil"/>
              <w:bottom w:val="nil"/>
              <w:right w:val="nil"/>
            </w:tcBorders>
            <w:vAlign w:val="bottom"/>
          </w:tcPr>
          <w:p w14:paraId="3935CEE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0.125441</w:t>
            </w:r>
          </w:p>
        </w:tc>
        <w:tc>
          <w:tcPr>
            <w:tcW w:w="1150" w:type="dxa"/>
            <w:tcBorders>
              <w:top w:val="nil"/>
              <w:left w:val="nil"/>
              <w:bottom w:val="nil"/>
              <w:right w:val="nil"/>
            </w:tcBorders>
            <w:vAlign w:val="bottom"/>
          </w:tcPr>
          <w:p w14:paraId="604F51C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-11.29311</w:t>
            </w:r>
          </w:p>
        </w:tc>
        <w:tc>
          <w:tcPr>
            <w:tcW w:w="950" w:type="dxa"/>
            <w:tcBorders>
              <w:top w:val="nil"/>
              <w:left w:val="nil"/>
              <w:bottom w:val="nil"/>
              <w:right w:val="nil"/>
            </w:tcBorders>
            <w:vAlign w:val="bottom"/>
          </w:tcPr>
          <w:p w14:paraId="5E02162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1390D4AB" w14:textId="77777777" w:rsidTr="009501B5">
        <w:trPr>
          <w:trHeight w:hRule="exact" w:val="88"/>
        </w:trPr>
        <w:tc>
          <w:tcPr>
            <w:tcW w:w="2120" w:type="dxa"/>
            <w:tcBorders>
              <w:top w:val="nil"/>
              <w:left w:val="nil"/>
              <w:bottom w:val="double" w:sz="6" w:space="2" w:color="auto"/>
              <w:right w:val="nil"/>
            </w:tcBorders>
            <w:vAlign w:val="bottom"/>
          </w:tcPr>
          <w:p w14:paraId="0D783B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88946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54F86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6E9C8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1BEE6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5A8613D" w14:textId="77777777" w:rsidTr="009501B5">
        <w:trPr>
          <w:trHeight w:hRule="exact" w:val="132"/>
        </w:trPr>
        <w:tc>
          <w:tcPr>
            <w:tcW w:w="2120" w:type="dxa"/>
            <w:tcBorders>
              <w:top w:val="nil"/>
              <w:left w:val="nil"/>
              <w:bottom w:val="nil"/>
              <w:right w:val="nil"/>
            </w:tcBorders>
            <w:vAlign w:val="bottom"/>
          </w:tcPr>
          <w:p w14:paraId="363B5D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E8B06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686163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10F76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94F63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987EF9A" w14:textId="77777777" w:rsidTr="009501B5">
        <w:trPr>
          <w:trHeight w:val="220"/>
        </w:trPr>
        <w:tc>
          <w:tcPr>
            <w:tcW w:w="2120" w:type="dxa"/>
            <w:tcBorders>
              <w:top w:val="nil"/>
              <w:left w:val="nil"/>
              <w:bottom w:val="nil"/>
              <w:right w:val="nil"/>
            </w:tcBorders>
            <w:vAlign w:val="bottom"/>
          </w:tcPr>
          <w:p w14:paraId="57A74F3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48975D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0.948297</w:t>
            </w:r>
          </w:p>
        </w:tc>
        <w:tc>
          <w:tcPr>
            <w:tcW w:w="2300" w:type="dxa"/>
            <w:gridSpan w:val="2"/>
            <w:tcBorders>
              <w:top w:val="nil"/>
              <w:left w:val="nil"/>
              <w:bottom w:val="nil"/>
              <w:right w:val="nil"/>
            </w:tcBorders>
            <w:vAlign w:val="bottom"/>
          </w:tcPr>
          <w:p w14:paraId="71F76E39"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3C4C633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0.214193</w:t>
            </w:r>
          </w:p>
        </w:tc>
      </w:tr>
      <w:tr w:rsidR="00EA38DE" w:rsidRPr="00EA38DE" w14:paraId="4162F4BE" w14:textId="77777777" w:rsidTr="009501B5">
        <w:trPr>
          <w:trHeight w:val="220"/>
        </w:trPr>
        <w:tc>
          <w:tcPr>
            <w:tcW w:w="2120" w:type="dxa"/>
            <w:tcBorders>
              <w:top w:val="nil"/>
              <w:left w:val="nil"/>
              <w:bottom w:val="nil"/>
              <w:right w:val="nil"/>
            </w:tcBorders>
            <w:vAlign w:val="bottom"/>
          </w:tcPr>
          <w:p w14:paraId="4EFFDBF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48A721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0.893147</w:t>
            </w:r>
          </w:p>
        </w:tc>
        <w:tc>
          <w:tcPr>
            <w:tcW w:w="2300" w:type="dxa"/>
            <w:gridSpan w:val="2"/>
            <w:tcBorders>
              <w:top w:val="nil"/>
              <w:left w:val="nil"/>
              <w:bottom w:val="nil"/>
              <w:right w:val="nil"/>
            </w:tcBorders>
            <w:vAlign w:val="bottom"/>
          </w:tcPr>
          <w:p w14:paraId="4EC67600"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2EA9C12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0.435627</w:t>
            </w:r>
          </w:p>
        </w:tc>
      </w:tr>
      <w:tr w:rsidR="00EA38DE" w:rsidRPr="00EA38DE" w14:paraId="1484BF66" w14:textId="77777777" w:rsidTr="009501B5">
        <w:trPr>
          <w:trHeight w:val="220"/>
        </w:trPr>
        <w:tc>
          <w:tcPr>
            <w:tcW w:w="2120" w:type="dxa"/>
            <w:tcBorders>
              <w:top w:val="nil"/>
              <w:left w:val="nil"/>
              <w:bottom w:val="nil"/>
              <w:right w:val="nil"/>
            </w:tcBorders>
            <w:vAlign w:val="bottom"/>
          </w:tcPr>
          <w:p w14:paraId="0C53EA2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0A49A3F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0.142399</w:t>
            </w:r>
          </w:p>
        </w:tc>
        <w:tc>
          <w:tcPr>
            <w:tcW w:w="2300" w:type="dxa"/>
            <w:gridSpan w:val="2"/>
            <w:tcBorders>
              <w:top w:val="nil"/>
              <w:left w:val="nil"/>
              <w:bottom w:val="nil"/>
              <w:right w:val="nil"/>
            </w:tcBorders>
            <w:vAlign w:val="bottom"/>
          </w:tcPr>
          <w:p w14:paraId="462337F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5027737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-0.755548</w:t>
            </w:r>
          </w:p>
        </w:tc>
      </w:tr>
      <w:tr w:rsidR="00EA38DE" w:rsidRPr="00EA38DE" w14:paraId="33FA4DC4" w14:textId="77777777" w:rsidTr="009501B5">
        <w:trPr>
          <w:trHeight w:val="220"/>
        </w:trPr>
        <w:tc>
          <w:tcPr>
            <w:tcW w:w="2120" w:type="dxa"/>
            <w:tcBorders>
              <w:top w:val="nil"/>
              <w:left w:val="nil"/>
              <w:bottom w:val="nil"/>
              <w:right w:val="nil"/>
            </w:tcBorders>
            <w:vAlign w:val="bottom"/>
          </w:tcPr>
          <w:p w14:paraId="43AF5D8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39A3199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0.304164</w:t>
            </w:r>
          </w:p>
        </w:tc>
        <w:tc>
          <w:tcPr>
            <w:tcW w:w="2300" w:type="dxa"/>
            <w:gridSpan w:val="2"/>
            <w:tcBorders>
              <w:top w:val="nil"/>
              <w:left w:val="nil"/>
              <w:bottom w:val="nil"/>
              <w:right w:val="nil"/>
            </w:tcBorders>
            <w:vAlign w:val="bottom"/>
          </w:tcPr>
          <w:p w14:paraId="4118CB9C"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6F47E3C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0.023124</w:t>
            </w:r>
          </w:p>
        </w:tc>
      </w:tr>
      <w:tr w:rsidR="00EA38DE" w:rsidRPr="00EA38DE" w14:paraId="1C222940" w14:textId="77777777" w:rsidTr="009501B5">
        <w:trPr>
          <w:trHeight w:val="220"/>
        </w:trPr>
        <w:tc>
          <w:tcPr>
            <w:tcW w:w="2120" w:type="dxa"/>
            <w:tcBorders>
              <w:top w:val="nil"/>
              <w:left w:val="nil"/>
              <w:bottom w:val="nil"/>
              <w:right w:val="nil"/>
            </w:tcBorders>
            <w:vAlign w:val="bottom"/>
          </w:tcPr>
          <w:p w14:paraId="2486377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4C09985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29.08877</w:t>
            </w:r>
          </w:p>
        </w:tc>
        <w:tc>
          <w:tcPr>
            <w:tcW w:w="2300" w:type="dxa"/>
            <w:gridSpan w:val="2"/>
            <w:tcBorders>
              <w:top w:val="nil"/>
              <w:left w:val="nil"/>
              <w:bottom w:val="nil"/>
              <w:right w:val="nil"/>
            </w:tcBorders>
            <w:vAlign w:val="bottom"/>
          </w:tcPr>
          <w:p w14:paraId="2726BEA4"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146C5C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-0.497441</w:t>
            </w:r>
          </w:p>
        </w:tc>
      </w:tr>
      <w:tr w:rsidR="00EA38DE" w:rsidRPr="00EA38DE" w14:paraId="68E5CE46" w14:textId="77777777" w:rsidTr="009501B5">
        <w:trPr>
          <w:trHeight w:val="220"/>
        </w:trPr>
        <w:tc>
          <w:tcPr>
            <w:tcW w:w="2120" w:type="dxa"/>
            <w:tcBorders>
              <w:top w:val="nil"/>
              <w:left w:val="nil"/>
              <w:bottom w:val="nil"/>
              <w:right w:val="nil"/>
            </w:tcBorders>
            <w:vAlign w:val="bottom"/>
          </w:tcPr>
          <w:p w14:paraId="65952E7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2723E6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17.19490</w:t>
            </w:r>
          </w:p>
        </w:tc>
        <w:tc>
          <w:tcPr>
            <w:tcW w:w="2300" w:type="dxa"/>
            <w:gridSpan w:val="2"/>
            <w:tcBorders>
              <w:top w:val="nil"/>
              <w:left w:val="nil"/>
              <w:bottom w:val="nil"/>
              <w:right w:val="nil"/>
            </w:tcBorders>
            <w:vAlign w:val="bottom"/>
          </w:tcPr>
          <w:p w14:paraId="274C4FC6"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Durbin-Watson stat</w:t>
            </w:r>
          </w:p>
        </w:tc>
        <w:tc>
          <w:tcPr>
            <w:tcW w:w="950" w:type="dxa"/>
            <w:tcBorders>
              <w:top w:val="nil"/>
              <w:left w:val="nil"/>
              <w:bottom w:val="nil"/>
              <w:right w:val="nil"/>
            </w:tcBorders>
            <w:vAlign w:val="bottom"/>
          </w:tcPr>
          <w:p w14:paraId="359D26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2.487565</w:t>
            </w:r>
          </w:p>
        </w:tc>
      </w:tr>
      <w:tr w:rsidR="00EA38DE" w:rsidRPr="00EA38DE" w14:paraId="55288305" w14:textId="77777777" w:rsidTr="009501B5">
        <w:trPr>
          <w:trHeight w:val="220"/>
        </w:trPr>
        <w:tc>
          <w:tcPr>
            <w:tcW w:w="2120" w:type="dxa"/>
            <w:tcBorders>
              <w:top w:val="nil"/>
              <w:left w:val="nil"/>
              <w:bottom w:val="nil"/>
              <w:right w:val="nil"/>
            </w:tcBorders>
            <w:vAlign w:val="bottom"/>
          </w:tcPr>
          <w:p w14:paraId="53274AC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Prob(F-statistic)</w:t>
            </w:r>
          </w:p>
        </w:tc>
        <w:tc>
          <w:tcPr>
            <w:tcW w:w="1050" w:type="dxa"/>
            <w:tcBorders>
              <w:top w:val="nil"/>
              <w:left w:val="nil"/>
              <w:bottom w:val="nil"/>
              <w:right w:val="nil"/>
            </w:tcBorders>
            <w:vAlign w:val="bottom"/>
          </w:tcPr>
          <w:p w14:paraId="256D0E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0.000001</w:t>
            </w:r>
          </w:p>
        </w:tc>
        <w:tc>
          <w:tcPr>
            <w:tcW w:w="1150" w:type="dxa"/>
            <w:tcBorders>
              <w:top w:val="nil"/>
              <w:left w:val="nil"/>
              <w:bottom w:val="nil"/>
              <w:right w:val="nil"/>
            </w:tcBorders>
            <w:vAlign w:val="bottom"/>
          </w:tcPr>
          <w:p w14:paraId="63DD01F8"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30A175D7"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3D327E6A"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4CEE3E38" w14:textId="77777777" w:rsidTr="009501B5">
        <w:trPr>
          <w:trHeight w:hRule="exact" w:val="88"/>
        </w:trPr>
        <w:tc>
          <w:tcPr>
            <w:tcW w:w="2120" w:type="dxa"/>
            <w:tcBorders>
              <w:top w:val="nil"/>
              <w:left w:val="nil"/>
              <w:bottom w:val="double" w:sz="6" w:space="0" w:color="auto"/>
              <w:right w:val="nil"/>
            </w:tcBorders>
            <w:vAlign w:val="bottom"/>
          </w:tcPr>
          <w:p w14:paraId="0E3740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78BF52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ED721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E201A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30AF37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E72A629" w14:textId="77777777" w:rsidTr="009501B5">
        <w:trPr>
          <w:trHeight w:hRule="exact" w:val="132"/>
        </w:trPr>
        <w:tc>
          <w:tcPr>
            <w:tcW w:w="2120" w:type="dxa"/>
            <w:tcBorders>
              <w:top w:val="nil"/>
              <w:left w:val="nil"/>
              <w:bottom w:val="nil"/>
              <w:right w:val="nil"/>
            </w:tcBorders>
            <w:vAlign w:val="bottom"/>
          </w:tcPr>
          <w:p w14:paraId="6AD5BA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455C1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8FE45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DB8FD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CDEE7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CC53277" w14:textId="77777777" w:rsidTr="009501B5">
        <w:trPr>
          <w:trHeight w:val="220"/>
        </w:trPr>
        <w:tc>
          <w:tcPr>
            <w:tcW w:w="6420" w:type="dxa"/>
            <w:gridSpan w:val="5"/>
            <w:tcBorders>
              <w:top w:val="nil"/>
              <w:left w:val="nil"/>
              <w:bottom w:val="nil"/>
              <w:right w:val="nil"/>
            </w:tcBorders>
            <w:vAlign w:val="bottom"/>
          </w:tcPr>
          <w:p w14:paraId="3F5D63A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bl>
    <w:p w14:paraId="342E0AE6" w14:textId="77777777" w:rsidR="003C6B00" w:rsidRPr="00EA38DE" w:rsidRDefault="003C6B00" w:rsidP="003C6B00">
      <w:r w:rsidRPr="00EA38DE">
        <w:rPr>
          <w:rFonts w:ascii="Arial" w:hAnsi="Arial" w:cs="Arial"/>
          <w:sz w:val="18"/>
          <w:szCs w:val="18"/>
        </w:rPr>
        <w:br/>
      </w:r>
    </w:p>
    <w:p w14:paraId="6564E335" w14:textId="77777777" w:rsidR="003C6B00" w:rsidRPr="00EA38DE" w:rsidRDefault="003C6B00" w:rsidP="003C6B00"/>
    <w:p w14:paraId="6A6D574C" w14:textId="77777777" w:rsidR="003C6B00" w:rsidRPr="00EA38DE" w:rsidRDefault="003C6B00" w:rsidP="003C6B00"/>
    <w:p w14:paraId="7FBADFCA" w14:textId="77777777" w:rsidR="003C6B00" w:rsidRPr="00EA38DE" w:rsidRDefault="003C6B00" w:rsidP="003C6B00"/>
    <w:p w14:paraId="3F2838C7" w14:textId="77777777" w:rsidR="003C6B00" w:rsidRPr="00EA38DE" w:rsidRDefault="003C6B00" w:rsidP="003C6B00"/>
    <w:p w14:paraId="0516EF75" w14:textId="77777777" w:rsidR="003C6B00" w:rsidRPr="00EA38DE" w:rsidRDefault="003C6B00" w:rsidP="003C6B00"/>
    <w:p w14:paraId="5BED01B7" w14:textId="77777777" w:rsidR="003C6B00" w:rsidRPr="00EA38DE" w:rsidRDefault="003C6B00" w:rsidP="003C6B00"/>
    <w:p w14:paraId="2E67BBBF" w14:textId="77777777" w:rsidR="003C6B00" w:rsidRPr="00EA38DE" w:rsidRDefault="003C6B00" w:rsidP="003C6B00"/>
    <w:p w14:paraId="469AEB7E" w14:textId="77777777" w:rsidR="00C26BF7" w:rsidRPr="00EA38DE" w:rsidRDefault="00C26BF7" w:rsidP="003C6B00"/>
    <w:p w14:paraId="4E3E79D6" w14:textId="77777777" w:rsidR="00C26BF7" w:rsidRPr="00EA38DE" w:rsidRDefault="00C26BF7" w:rsidP="003C6B00"/>
    <w:p w14:paraId="5C9A684D"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5D8F9E4D" w14:textId="77777777" w:rsidTr="009501B5">
        <w:trPr>
          <w:trHeight w:val="220"/>
        </w:trPr>
        <w:tc>
          <w:tcPr>
            <w:tcW w:w="6420" w:type="dxa"/>
            <w:gridSpan w:val="5"/>
            <w:tcBorders>
              <w:top w:val="nil"/>
              <w:left w:val="nil"/>
              <w:bottom w:val="nil"/>
              <w:right w:val="nil"/>
            </w:tcBorders>
            <w:vAlign w:val="bottom"/>
          </w:tcPr>
          <w:p w14:paraId="2AA02A9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Long Run Form and Bounds Test</w:t>
            </w:r>
          </w:p>
        </w:tc>
      </w:tr>
      <w:tr w:rsidR="00EA38DE" w:rsidRPr="00EA38DE" w14:paraId="56AB4D9B" w14:textId="77777777" w:rsidTr="009501B5">
        <w:trPr>
          <w:trHeight w:val="220"/>
        </w:trPr>
        <w:tc>
          <w:tcPr>
            <w:tcW w:w="5470" w:type="dxa"/>
            <w:gridSpan w:val="4"/>
            <w:tcBorders>
              <w:top w:val="nil"/>
              <w:left w:val="nil"/>
              <w:bottom w:val="nil"/>
              <w:right w:val="nil"/>
            </w:tcBorders>
            <w:vAlign w:val="bottom"/>
          </w:tcPr>
          <w:p w14:paraId="69B8E4E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D(LCTP)</w:t>
            </w:r>
          </w:p>
        </w:tc>
        <w:tc>
          <w:tcPr>
            <w:tcW w:w="950" w:type="dxa"/>
            <w:tcBorders>
              <w:top w:val="nil"/>
              <w:left w:val="nil"/>
              <w:bottom w:val="nil"/>
              <w:right w:val="nil"/>
            </w:tcBorders>
            <w:vAlign w:val="bottom"/>
          </w:tcPr>
          <w:p w14:paraId="7533936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AD72CF5" w14:textId="77777777" w:rsidTr="009501B5">
        <w:trPr>
          <w:trHeight w:val="220"/>
        </w:trPr>
        <w:tc>
          <w:tcPr>
            <w:tcW w:w="6420" w:type="dxa"/>
            <w:gridSpan w:val="5"/>
            <w:tcBorders>
              <w:top w:val="nil"/>
              <w:left w:val="nil"/>
              <w:bottom w:val="nil"/>
              <w:right w:val="nil"/>
            </w:tcBorders>
            <w:vAlign w:val="bottom"/>
          </w:tcPr>
          <w:p w14:paraId="04CD162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3, 3, 3, 3, 1)</w:t>
            </w:r>
          </w:p>
        </w:tc>
      </w:tr>
      <w:tr w:rsidR="00EA38DE" w:rsidRPr="00EA38DE" w14:paraId="4A8BC5AD" w14:textId="77777777" w:rsidTr="009501B5">
        <w:trPr>
          <w:trHeight w:val="220"/>
        </w:trPr>
        <w:tc>
          <w:tcPr>
            <w:tcW w:w="6420" w:type="dxa"/>
            <w:gridSpan w:val="5"/>
            <w:tcBorders>
              <w:top w:val="nil"/>
              <w:left w:val="nil"/>
              <w:bottom w:val="nil"/>
              <w:right w:val="nil"/>
            </w:tcBorders>
            <w:vAlign w:val="bottom"/>
          </w:tcPr>
          <w:p w14:paraId="3BE4909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0D0043A5" w14:textId="77777777" w:rsidTr="009501B5">
        <w:trPr>
          <w:trHeight w:val="220"/>
        </w:trPr>
        <w:tc>
          <w:tcPr>
            <w:tcW w:w="5470" w:type="dxa"/>
            <w:gridSpan w:val="4"/>
            <w:tcBorders>
              <w:top w:val="nil"/>
              <w:left w:val="nil"/>
              <w:bottom w:val="nil"/>
              <w:right w:val="nil"/>
            </w:tcBorders>
            <w:vAlign w:val="bottom"/>
          </w:tcPr>
          <w:p w14:paraId="6F2B490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10:27</w:t>
            </w:r>
          </w:p>
        </w:tc>
        <w:tc>
          <w:tcPr>
            <w:tcW w:w="950" w:type="dxa"/>
            <w:tcBorders>
              <w:top w:val="nil"/>
              <w:left w:val="nil"/>
              <w:bottom w:val="nil"/>
              <w:right w:val="nil"/>
            </w:tcBorders>
            <w:vAlign w:val="bottom"/>
          </w:tcPr>
          <w:p w14:paraId="6A9C65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E1C28E5" w14:textId="77777777" w:rsidTr="009501B5">
        <w:trPr>
          <w:trHeight w:val="220"/>
        </w:trPr>
        <w:tc>
          <w:tcPr>
            <w:tcW w:w="4320" w:type="dxa"/>
            <w:gridSpan w:val="3"/>
            <w:tcBorders>
              <w:top w:val="nil"/>
              <w:left w:val="nil"/>
              <w:bottom w:val="nil"/>
              <w:right w:val="nil"/>
            </w:tcBorders>
            <w:vAlign w:val="bottom"/>
          </w:tcPr>
          <w:p w14:paraId="5E2FCA0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6A66A4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ECEC9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B05DC51" w14:textId="77777777" w:rsidTr="009501B5">
        <w:trPr>
          <w:trHeight w:val="220"/>
        </w:trPr>
        <w:tc>
          <w:tcPr>
            <w:tcW w:w="5470" w:type="dxa"/>
            <w:gridSpan w:val="4"/>
            <w:tcBorders>
              <w:top w:val="nil"/>
              <w:left w:val="nil"/>
              <w:bottom w:val="nil"/>
              <w:right w:val="nil"/>
            </w:tcBorders>
            <w:vAlign w:val="bottom"/>
          </w:tcPr>
          <w:p w14:paraId="7959CFC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0585D9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311DDBE" w14:textId="77777777" w:rsidTr="009501B5">
        <w:trPr>
          <w:trHeight w:hRule="exact" w:val="88"/>
        </w:trPr>
        <w:tc>
          <w:tcPr>
            <w:tcW w:w="2120" w:type="dxa"/>
            <w:tcBorders>
              <w:top w:val="nil"/>
              <w:left w:val="nil"/>
              <w:bottom w:val="double" w:sz="6" w:space="2" w:color="auto"/>
              <w:right w:val="nil"/>
            </w:tcBorders>
            <w:vAlign w:val="bottom"/>
          </w:tcPr>
          <w:p w14:paraId="2AE208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C6791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C534FA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322C1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773DD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5CA47DB" w14:textId="77777777" w:rsidTr="009501B5">
        <w:trPr>
          <w:trHeight w:hRule="exact" w:val="132"/>
        </w:trPr>
        <w:tc>
          <w:tcPr>
            <w:tcW w:w="2120" w:type="dxa"/>
            <w:tcBorders>
              <w:top w:val="nil"/>
              <w:left w:val="nil"/>
              <w:bottom w:val="nil"/>
              <w:right w:val="nil"/>
            </w:tcBorders>
            <w:vAlign w:val="bottom"/>
          </w:tcPr>
          <w:p w14:paraId="4F747F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3536F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2EC8F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84A22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F21266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D5A9856" w14:textId="77777777" w:rsidTr="009501B5">
        <w:trPr>
          <w:trHeight w:val="220"/>
        </w:trPr>
        <w:tc>
          <w:tcPr>
            <w:tcW w:w="6420" w:type="dxa"/>
            <w:gridSpan w:val="5"/>
            <w:tcBorders>
              <w:top w:val="nil"/>
              <w:left w:val="nil"/>
              <w:bottom w:val="nil"/>
              <w:right w:val="nil"/>
            </w:tcBorders>
            <w:vAlign w:val="bottom"/>
          </w:tcPr>
          <w:p w14:paraId="7C3376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1E47A773" w14:textId="77777777" w:rsidTr="009501B5">
        <w:trPr>
          <w:trHeight w:hRule="exact" w:val="88"/>
        </w:trPr>
        <w:tc>
          <w:tcPr>
            <w:tcW w:w="2120" w:type="dxa"/>
            <w:tcBorders>
              <w:top w:val="nil"/>
              <w:left w:val="nil"/>
              <w:bottom w:val="double" w:sz="6" w:space="2" w:color="auto"/>
              <w:right w:val="nil"/>
            </w:tcBorders>
            <w:vAlign w:val="bottom"/>
          </w:tcPr>
          <w:p w14:paraId="77930E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FA80C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CE3F1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FC692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FE990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731A0E4" w14:textId="77777777" w:rsidTr="009501B5">
        <w:trPr>
          <w:trHeight w:hRule="exact" w:val="132"/>
        </w:trPr>
        <w:tc>
          <w:tcPr>
            <w:tcW w:w="2120" w:type="dxa"/>
            <w:tcBorders>
              <w:top w:val="nil"/>
              <w:left w:val="nil"/>
              <w:bottom w:val="nil"/>
              <w:right w:val="nil"/>
            </w:tcBorders>
            <w:vAlign w:val="bottom"/>
          </w:tcPr>
          <w:p w14:paraId="3DEFBC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110C6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BA89D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EAEA2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C9DA7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E97DF0A" w14:textId="77777777" w:rsidTr="009501B5">
        <w:trPr>
          <w:trHeight w:val="220"/>
        </w:trPr>
        <w:tc>
          <w:tcPr>
            <w:tcW w:w="2120" w:type="dxa"/>
            <w:tcBorders>
              <w:top w:val="nil"/>
              <w:left w:val="nil"/>
              <w:bottom w:val="nil"/>
              <w:right w:val="nil"/>
            </w:tcBorders>
            <w:vAlign w:val="bottom"/>
          </w:tcPr>
          <w:p w14:paraId="25F62E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05F34F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0F805BE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4A5345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7799492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08A91505" w14:textId="77777777" w:rsidTr="009501B5">
        <w:trPr>
          <w:trHeight w:hRule="exact" w:val="88"/>
        </w:trPr>
        <w:tc>
          <w:tcPr>
            <w:tcW w:w="2120" w:type="dxa"/>
            <w:tcBorders>
              <w:top w:val="nil"/>
              <w:left w:val="nil"/>
              <w:bottom w:val="double" w:sz="6" w:space="2" w:color="auto"/>
              <w:right w:val="nil"/>
            </w:tcBorders>
            <w:vAlign w:val="bottom"/>
          </w:tcPr>
          <w:p w14:paraId="335471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98B7B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7147A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7ABAA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FB25D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27F6A0A" w14:textId="77777777" w:rsidTr="009501B5">
        <w:trPr>
          <w:trHeight w:hRule="exact" w:val="132"/>
        </w:trPr>
        <w:tc>
          <w:tcPr>
            <w:tcW w:w="2120" w:type="dxa"/>
            <w:tcBorders>
              <w:top w:val="nil"/>
              <w:left w:val="nil"/>
              <w:bottom w:val="nil"/>
              <w:right w:val="nil"/>
            </w:tcBorders>
            <w:vAlign w:val="bottom"/>
          </w:tcPr>
          <w:p w14:paraId="59980B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8EAE2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61190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ADA5F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69EBB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C992F8E" w14:textId="77777777" w:rsidTr="009501B5">
        <w:trPr>
          <w:trHeight w:val="220"/>
        </w:trPr>
        <w:tc>
          <w:tcPr>
            <w:tcW w:w="2120" w:type="dxa"/>
            <w:tcBorders>
              <w:top w:val="nil"/>
              <w:left w:val="nil"/>
              <w:bottom w:val="nil"/>
              <w:right w:val="nil"/>
            </w:tcBorders>
            <w:vAlign w:val="bottom"/>
          </w:tcPr>
          <w:p w14:paraId="2D13E0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6E9AF9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26.73497</w:t>
            </w:r>
          </w:p>
        </w:tc>
        <w:tc>
          <w:tcPr>
            <w:tcW w:w="1150" w:type="dxa"/>
            <w:tcBorders>
              <w:top w:val="nil"/>
              <w:left w:val="nil"/>
              <w:bottom w:val="nil"/>
              <w:right w:val="nil"/>
            </w:tcBorders>
            <w:vAlign w:val="bottom"/>
          </w:tcPr>
          <w:p w14:paraId="4A6F54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30.15666</w:t>
            </w:r>
          </w:p>
        </w:tc>
        <w:tc>
          <w:tcPr>
            <w:tcW w:w="1150" w:type="dxa"/>
            <w:tcBorders>
              <w:top w:val="nil"/>
              <w:left w:val="nil"/>
              <w:bottom w:val="nil"/>
              <w:right w:val="nil"/>
            </w:tcBorders>
            <w:vAlign w:val="bottom"/>
          </w:tcPr>
          <w:p w14:paraId="2C075A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0.886536</w:t>
            </w:r>
          </w:p>
        </w:tc>
        <w:tc>
          <w:tcPr>
            <w:tcW w:w="950" w:type="dxa"/>
            <w:tcBorders>
              <w:top w:val="nil"/>
              <w:left w:val="nil"/>
              <w:bottom w:val="nil"/>
              <w:right w:val="nil"/>
            </w:tcBorders>
            <w:vAlign w:val="bottom"/>
          </w:tcPr>
          <w:p w14:paraId="3134407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0.3943</w:t>
            </w:r>
          </w:p>
        </w:tc>
      </w:tr>
      <w:tr w:rsidR="00EA38DE" w:rsidRPr="00EA38DE" w14:paraId="5245765C" w14:textId="77777777" w:rsidTr="009501B5">
        <w:trPr>
          <w:trHeight w:val="220"/>
        </w:trPr>
        <w:tc>
          <w:tcPr>
            <w:tcW w:w="2120" w:type="dxa"/>
            <w:tcBorders>
              <w:top w:val="nil"/>
              <w:left w:val="nil"/>
              <w:bottom w:val="nil"/>
              <w:right w:val="nil"/>
            </w:tcBorders>
            <w:vAlign w:val="bottom"/>
          </w:tcPr>
          <w:p w14:paraId="5BC221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@TREND</w:t>
            </w:r>
          </w:p>
        </w:tc>
        <w:tc>
          <w:tcPr>
            <w:tcW w:w="1050" w:type="dxa"/>
            <w:tcBorders>
              <w:top w:val="nil"/>
              <w:left w:val="nil"/>
              <w:bottom w:val="nil"/>
              <w:right w:val="nil"/>
            </w:tcBorders>
            <w:vAlign w:val="bottom"/>
          </w:tcPr>
          <w:p w14:paraId="41964B7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0.085206</w:t>
            </w:r>
          </w:p>
        </w:tc>
        <w:tc>
          <w:tcPr>
            <w:tcW w:w="1150" w:type="dxa"/>
            <w:tcBorders>
              <w:top w:val="nil"/>
              <w:left w:val="nil"/>
              <w:bottom w:val="nil"/>
              <w:right w:val="nil"/>
            </w:tcBorders>
            <w:vAlign w:val="bottom"/>
          </w:tcPr>
          <w:p w14:paraId="3DDA30A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0.076888</w:t>
            </w:r>
          </w:p>
        </w:tc>
        <w:tc>
          <w:tcPr>
            <w:tcW w:w="1150" w:type="dxa"/>
            <w:tcBorders>
              <w:top w:val="nil"/>
              <w:left w:val="nil"/>
              <w:bottom w:val="nil"/>
              <w:right w:val="nil"/>
            </w:tcBorders>
            <w:vAlign w:val="bottom"/>
          </w:tcPr>
          <w:p w14:paraId="768A673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1.108186</w:t>
            </w:r>
          </w:p>
        </w:tc>
        <w:tc>
          <w:tcPr>
            <w:tcW w:w="950" w:type="dxa"/>
            <w:tcBorders>
              <w:top w:val="nil"/>
              <w:left w:val="nil"/>
              <w:bottom w:val="nil"/>
              <w:right w:val="nil"/>
            </w:tcBorders>
            <w:vAlign w:val="bottom"/>
          </w:tcPr>
          <w:p w14:paraId="36A77BC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0.2914</w:t>
            </w:r>
          </w:p>
        </w:tc>
      </w:tr>
      <w:tr w:rsidR="00EA38DE" w:rsidRPr="00EA38DE" w14:paraId="0D9AD66B" w14:textId="77777777" w:rsidTr="009501B5">
        <w:trPr>
          <w:trHeight w:val="220"/>
        </w:trPr>
        <w:tc>
          <w:tcPr>
            <w:tcW w:w="2120" w:type="dxa"/>
            <w:tcBorders>
              <w:top w:val="nil"/>
              <w:left w:val="nil"/>
              <w:bottom w:val="nil"/>
              <w:right w:val="nil"/>
            </w:tcBorders>
            <w:vAlign w:val="bottom"/>
          </w:tcPr>
          <w:p w14:paraId="4DDA90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LCTP(-1)*</w:t>
            </w:r>
          </w:p>
        </w:tc>
        <w:tc>
          <w:tcPr>
            <w:tcW w:w="1050" w:type="dxa"/>
            <w:tcBorders>
              <w:top w:val="nil"/>
              <w:left w:val="nil"/>
              <w:bottom w:val="nil"/>
              <w:right w:val="nil"/>
            </w:tcBorders>
            <w:vAlign w:val="bottom"/>
          </w:tcPr>
          <w:p w14:paraId="54D9BF4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-0.485544</w:t>
            </w:r>
          </w:p>
        </w:tc>
        <w:tc>
          <w:tcPr>
            <w:tcW w:w="1150" w:type="dxa"/>
            <w:tcBorders>
              <w:top w:val="nil"/>
              <w:left w:val="nil"/>
              <w:bottom w:val="nil"/>
              <w:right w:val="nil"/>
            </w:tcBorders>
            <w:vAlign w:val="bottom"/>
          </w:tcPr>
          <w:p w14:paraId="408BD1B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0.163536</w:t>
            </w:r>
          </w:p>
        </w:tc>
        <w:tc>
          <w:tcPr>
            <w:tcW w:w="1150" w:type="dxa"/>
            <w:tcBorders>
              <w:top w:val="nil"/>
              <w:left w:val="nil"/>
              <w:bottom w:val="nil"/>
              <w:right w:val="nil"/>
            </w:tcBorders>
            <w:vAlign w:val="bottom"/>
          </w:tcPr>
          <w:p w14:paraId="4EF9724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-2.969032</w:t>
            </w:r>
          </w:p>
        </w:tc>
        <w:tc>
          <w:tcPr>
            <w:tcW w:w="950" w:type="dxa"/>
            <w:tcBorders>
              <w:top w:val="nil"/>
              <w:left w:val="nil"/>
              <w:bottom w:val="nil"/>
              <w:right w:val="nil"/>
            </w:tcBorders>
            <w:vAlign w:val="bottom"/>
          </w:tcPr>
          <w:p w14:paraId="52A135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0.0128</w:t>
            </w:r>
          </w:p>
        </w:tc>
      </w:tr>
      <w:tr w:rsidR="00EA38DE" w:rsidRPr="00EA38DE" w14:paraId="1265412C" w14:textId="77777777" w:rsidTr="009501B5">
        <w:trPr>
          <w:trHeight w:val="220"/>
        </w:trPr>
        <w:tc>
          <w:tcPr>
            <w:tcW w:w="2120" w:type="dxa"/>
            <w:tcBorders>
              <w:top w:val="nil"/>
              <w:left w:val="nil"/>
              <w:bottom w:val="nil"/>
              <w:right w:val="nil"/>
            </w:tcBorders>
            <w:vAlign w:val="bottom"/>
          </w:tcPr>
          <w:p w14:paraId="082076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LDLNT(-1)</w:t>
            </w:r>
          </w:p>
        </w:tc>
        <w:tc>
          <w:tcPr>
            <w:tcW w:w="1050" w:type="dxa"/>
            <w:tcBorders>
              <w:top w:val="nil"/>
              <w:left w:val="nil"/>
              <w:bottom w:val="nil"/>
              <w:right w:val="nil"/>
            </w:tcBorders>
            <w:vAlign w:val="bottom"/>
          </w:tcPr>
          <w:p w14:paraId="606FE0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-3.213320</w:t>
            </w:r>
          </w:p>
        </w:tc>
        <w:tc>
          <w:tcPr>
            <w:tcW w:w="1150" w:type="dxa"/>
            <w:tcBorders>
              <w:top w:val="nil"/>
              <w:left w:val="nil"/>
              <w:bottom w:val="nil"/>
              <w:right w:val="nil"/>
            </w:tcBorders>
            <w:vAlign w:val="bottom"/>
          </w:tcPr>
          <w:p w14:paraId="3F08395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0.839274</w:t>
            </w:r>
          </w:p>
        </w:tc>
        <w:tc>
          <w:tcPr>
            <w:tcW w:w="1150" w:type="dxa"/>
            <w:tcBorders>
              <w:top w:val="nil"/>
              <w:left w:val="nil"/>
              <w:bottom w:val="nil"/>
              <w:right w:val="nil"/>
            </w:tcBorders>
            <w:vAlign w:val="bottom"/>
          </w:tcPr>
          <w:p w14:paraId="398C2D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-3.828688</w:t>
            </w:r>
          </w:p>
        </w:tc>
        <w:tc>
          <w:tcPr>
            <w:tcW w:w="950" w:type="dxa"/>
            <w:tcBorders>
              <w:top w:val="nil"/>
              <w:left w:val="nil"/>
              <w:bottom w:val="nil"/>
              <w:right w:val="nil"/>
            </w:tcBorders>
            <w:vAlign w:val="bottom"/>
          </w:tcPr>
          <w:p w14:paraId="51A7188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0.0028</w:t>
            </w:r>
          </w:p>
        </w:tc>
      </w:tr>
      <w:tr w:rsidR="00EA38DE" w:rsidRPr="00EA38DE" w14:paraId="15599A09" w14:textId="77777777" w:rsidTr="009501B5">
        <w:trPr>
          <w:trHeight w:val="220"/>
        </w:trPr>
        <w:tc>
          <w:tcPr>
            <w:tcW w:w="2120" w:type="dxa"/>
            <w:tcBorders>
              <w:top w:val="nil"/>
              <w:left w:val="nil"/>
              <w:bottom w:val="nil"/>
              <w:right w:val="nil"/>
            </w:tcBorders>
            <w:vAlign w:val="bottom"/>
          </w:tcPr>
          <w:p w14:paraId="518203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IFR(-1)</w:t>
            </w:r>
          </w:p>
        </w:tc>
        <w:tc>
          <w:tcPr>
            <w:tcW w:w="1050" w:type="dxa"/>
            <w:tcBorders>
              <w:top w:val="nil"/>
              <w:left w:val="nil"/>
              <w:bottom w:val="nil"/>
              <w:right w:val="nil"/>
            </w:tcBorders>
            <w:vAlign w:val="bottom"/>
          </w:tcPr>
          <w:p w14:paraId="03BC3AA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-0.015697</w:t>
            </w:r>
          </w:p>
        </w:tc>
        <w:tc>
          <w:tcPr>
            <w:tcW w:w="1150" w:type="dxa"/>
            <w:tcBorders>
              <w:top w:val="nil"/>
              <w:left w:val="nil"/>
              <w:bottom w:val="nil"/>
              <w:right w:val="nil"/>
            </w:tcBorders>
            <w:vAlign w:val="bottom"/>
          </w:tcPr>
          <w:p w14:paraId="672206B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0.004784</w:t>
            </w:r>
          </w:p>
        </w:tc>
        <w:tc>
          <w:tcPr>
            <w:tcW w:w="1150" w:type="dxa"/>
            <w:tcBorders>
              <w:top w:val="nil"/>
              <w:left w:val="nil"/>
              <w:bottom w:val="nil"/>
              <w:right w:val="nil"/>
            </w:tcBorders>
            <w:vAlign w:val="bottom"/>
          </w:tcPr>
          <w:p w14:paraId="1F682DE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-3.281412</w:t>
            </w:r>
          </w:p>
        </w:tc>
        <w:tc>
          <w:tcPr>
            <w:tcW w:w="950" w:type="dxa"/>
            <w:tcBorders>
              <w:top w:val="nil"/>
              <w:left w:val="nil"/>
              <w:bottom w:val="nil"/>
              <w:right w:val="nil"/>
            </w:tcBorders>
            <w:vAlign w:val="bottom"/>
          </w:tcPr>
          <w:p w14:paraId="7AB5390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0.0073</w:t>
            </w:r>
          </w:p>
        </w:tc>
      </w:tr>
      <w:tr w:rsidR="00EA38DE" w:rsidRPr="00EA38DE" w14:paraId="02AD9505" w14:textId="77777777" w:rsidTr="009501B5">
        <w:trPr>
          <w:trHeight w:val="220"/>
        </w:trPr>
        <w:tc>
          <w:tcPr>
            <w:tcW w:w="2120" w:type="dxa"/>
            <w:tcBorders>
              <w:top w:val="nil"/>
              <w:left w:val="nil"/>
              <w:bottom w:val="nil"/>
              <w:right w:val="nil"/>
            </w:tcBorders>
            <w:vAlign w:val="bottom"/>
          </w:tcPr>
          <w:p w14:paraId="297712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LLAB(-1)</w:t>
            </w:r>
          </w:p>
        </w:tc>
        <w:tc>
          <w:tcPr>
            <w:tcW w:w="1050" w:type="dxa"/>
            <w:tcBorders>
              <w:top w:val="nil"/>
              <w:left w:val="nil"/>
              <w:bottom w:val="nil"/>
              <w:right w:val="nil"/>
            </w:tcBorders>
            <w:vAlign w:val="bottom"/>
          </w:tcPr>
          <w:p w14:paraId="581454A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1.843785</w:t>
            </w:r>
          </w:p>
        </w:tc>
        <w:tc>
          <w:tcPr>
            <w:tcW w:w="1150" w:type="dxa"/>
            <w:tcBorders>
              <w:top w:val="nil"/>
              <w:left w:val="nil"/>
              <w:bottom w:val="nil"/>
              <w:right w:val="nil"/>
            </w:tcBorders>
            <w:vAlign w:val="bottom"/>
          </w:tcPr>
          <w:p w14:paraId="1F009AC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2.606906</w:t>
            </w:r>
          </w:p>
        </w:tc>
        <w:tc>
          <w:tcPr>
            <w:tcW w:w="1150" w:type="dxa"/>
            <w:tcBorders>
              <w:top w:val="nil"/>
              <w:left w:val="nil"/>
              <w:bottom w:val="nil"/>
              <w:right w:val="nil"/>
            </w:tcBorders>
            <w:vAlign w:val="bottom"/>
          </w:tcPr>
          <w:p w14:paraId="753DC34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0.707269</w:t>
            </w:r>
          </w:p>
        </w:tc>
        <w:tc>
          <w:tcPr>
            <w:tcW w:w="950" w:type="dxa"/>
            <w:tcBorders>
              <w:top w:val="nil"/>
              <w:left w:val="nil"/>
              <w:bottom w:val="nil"/>
              <w:right w:val="nil"/>
            </w:tcBorders>
            <w:vAlign w:val="bottom"/>
          </w:tcPr>
          <w:p w14:paraId="5D78E9C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0.4941</w:t>
            </w:r>
          </w:p>
        </w:tc>
      </w:tr>
      <w:tr w:rsidR="00EA38DE" w:rsidRPr="00EA38DE" w14:paraId="0B49CEC2" w14:textId="77777777" w:rsidTr="009501B5">
        <w:trPr>
          <w:trHeight w:val="220"/>
        </w:trPr>
        <w:tc>
          <w:tcPr>
            <w:tcW w:w="2120" w:type="dxa"/>
            <w:tcBorders>
              <w:top w:val="nil"/>
              <w:left w:val="nil"/>
              <w:bottom w:val="nil"/>
              <w:right w:val="nil"/>
            </w:tcBorders>
            <w:vAlign w:val="bottom"/>
          </w:tcPr>
          <w:p w14:paraId="583AA1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TRF(-1)</w:t>
            </w:r>
          </w:p>
        </w:tc>
        <w:tc>
          <w:tcPr>
            <w:tcW w:w="1050" w:type="dxa"/>
            <w:tcBorders>
              <w:top w:val="nil"/>
              <w:left w:val="nil"/>
              <w:bottom w:val="nil"/>
              <w:right w:val="nil"/>
            </w:tcBorders>
            <w:vAlign w:val="bottom"/>
          </w:tcPr>
          <w:p w14:paraId="5C601B8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0.193615</w:t>
            </w:r>
          </w:p>
        </w:tc>
        <w:tc>
          <w:tcPr>
            <w:tcW w:w="1150" w:type="dxa"/>
            <w:tcBorders>
              <w:top w:val="nil"/>
              <w:left w:val="nil"/>
              <w:bottom w:val="nil"/>
              <w:right w:val="nil"/>
            </w:tcBorders>
            <w:vAlign w:val="bottom"/>
          </w:tcPr>
          <w:p w14:paraId="6E0C4FF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0.049550</w:t>
            </w:r>
          </w:p>
        </w:tc>
        <w:tc>
          <w:tcPr>
            <w:tcW w:w="1150" w:type="dxa"/>
            <w:tcBorders>
              <w:top w:val="nil"/>
              <w:left w:val="nil"/>
              <w:bottom w:val="nil"/>
              <w:right w:val="nil"/>
            </w:tcBorders>
            <w:vAlign w:val="bottom"/>
          </w:tcPr>
          <w:p w14:paraId="6964E60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3.907471</w:t>
            </w:r>
          </w:p>
        </w:tc>
        <w:tc>
          <w:tcPr>
            <w:tcW w:w="950" w:type="dxa"/>
            <w:tcBorders>
              <w:top w:val="nil"/>
              <w:left w:val="nil"/>
              <w:bottom w:val="nil"/>
              <w:right w:val="nil"/>
            </w:tcBorders>
            <w:vAlign w:val="bottom"/>
          </w:tcPr>
          <w:p w14:paraId="5EDACF2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0.0024</w:t>
            </w:r>
          </w:p>
        </w:tc>
      </w:tr>
      <w:tr w:rsidR="00EA38DE" w:rsidRPr="00EA38DE" w14:paraId="17131792" w14:textId="77777777" w:rsidTr="009501B5">
        <w:trPr>
          <w:trHeight w:val="220"/>
        </w:trPr>
        <w:tc>
          <w:tcPr>
            <w:tcW w:w="2120" w:type="dxa"/>
            <w:tcBorders>
              <w:top w:val="nil"/>
              <w:left w:val="nil"/>
              <w:bottom w:val="nil"/>
              <w:right w:val="nil"/>
            </w:tcBorders>
            <w:vAlign w:val="bottom"/>
          </w:tcPr>
          <w:p w14:paraId="298D95C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w:t>
            </w:r>
          </w:p>
        </w:tc>
        <w:tc>
          <w:tcPr>
            <w:tcW w:w="1050" w:type="dxa"/>
            <w:tcBorders>
              <w:top w:val="nil"/>
              <w:left w:val="nil"/>
              <w:bottom w:val="nil"/>
              <w:right w:val="nil"/>
            </w:tcBorders>
            <w:vAlign w:val="bottom"/>
          </w:tcPr>
          <w:p w14:paraId="37B8FB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-0.834638</w:t>
            </w:r>
          </w:p>
        </w:tc>
        <w:tc>
          <w:tcPr>
            <w:tcW w:w="1150" w:type="dxa"/>
            <w:tcBorders>
              <w:top w:val="nil"/>
              <w:left w:val="nil"/>
              <w:bottom w:val="nil"/>
              <w:right w:val="nil"/>
            </w:tcBorders>
            <w:vAlign w:val="bottom"/>
          </w:tcPr>
          <w:p w14:paraId="4EA5386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0.353276</w:t>
            </w:r>
          </w:p>
        </w:tc>
        <w:tc>
          <w:tcPr>
            <w:tcW w:w="1150" w:type="dxa"/>
            <w:tcBorders>
              <w:top w:val="nil"/>
              <w:left w:val="nil"/>
              <w:bottom w:val="nil"/>
              <w:right w:val="nil"/>
            </w:tcBorders>
            <w:vAlign w:val="bottom"/>
          </w:tcPr>
          <w:p w14:paraId="337236B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-2.362567</w:t>
            </w:r>
          </w:p>
        </w:tc>
        <w:tc>
          <w:tcPr>
            <w:tcW w:w="950" w:type="dxa"/>
            <w:tcBorders>
              <w:top w:val="nil"/>
              <w:left w:val="nil"/>
              <w:bottom w:val="nil"/>
              <w:right w:val="nil"/>
            </w:tcBorders>
            <w:vAlign w:val="bottom"/>
          </w:tcPr>
          <w:p w14:paraId="3FAAD0A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0.0376</w:t>
            </w:r>
          </w:p>
        </w:tc>
      </w:tr>
      <w:tr w:rsidR="00EA38DE" w:rsidRPr="00EA38DE" w14:paraId="00BC2E80" w14:textId="77777777" w:rsidTr="009501B5">
        <w:trPr>
          <w:trHeight w:val="220"/>
        </w:trPr>
        <w:tc>
          <w:tcPr>
            <w:tcW w:w="2120" w:type="dxa"/>
            <w:tcBorders>
              <w:top w:val="nil"/>
              <w:left w:val="nil"/>
              <w:bottom w:val="nil"/>
              <w:right w:val="nil"/>
            </w:tcBorders>
            <w:vAlign w:val="bottom"/>
          </w:tcPr>
          <w:p w14:paraId="527BF6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D(LDLNT(-1))</w:t>
            </w:r>
          </w:p>
        </w:tc>
        <w:tc>
          <w:tcPr>
            <w:tcW w:w="1050" w:type="dxa"/>
            <w:tcBorders>
              <w:top w:val="nil"/>
              <w:left w:val="nil"/>
              <w:bottom w:val="nil"/>
              <w:right w:val="nil"/>
            </w:tcBorders>
            <w:vAlign w:val="bottom"/>
          </w:tcPr>
          <w:p w14:paraId="78A8E0B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1.715465</w:t>
            </w:r>
          </w:p>
        </w:tc>
        <w:tc>
          <w:tcPr>
            <w:tcW w:w="1150" w:type="dxa"/>
            <w:tcBorders>
              <w:top w:val="nil"/>
              <w:left w:val="nil"/>
              <w:bottom w:val="nil"/>
              <w:right w:val="nil"/>
            </w:tcBorders>
            <w:vAlign w:val="bottom"/>
          </w:tcPr>
          <w:p w14:paraId="01C21D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0.526393</w:t>
            </w:r>
          </w:p>
        </w:tc>
        <w:tc>
          <w:tcPr>
            <w:tcW w:w="1150" w:type="dxa"/>
            <w:tcBorders>
              <w:top w:val="nil"/>
              <w:left w:val="nil"/>
              <w:bottom w:val="nil"/>
              <w:right w:val="nil"/>
            </w:tcBorders>
            <w:vAlign w:val="bottom"/>
          </w:tcPr>
          <w:p w14:paraId="0EF0DBE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3.258907</w:t>
            </w:r>
          </w:p>
        </w:tc>
        <w:tc>
          <w:tcPr>
            <w:tcW w:w="950" w:type="dxa"/>
            <w:tcBorders>
              <w:top w:val="nil"/>
              <w:left w:val="nil"/>
              <w:bottom w:val="nil"/>
              <w:right w:val="nil"/>
            </w:tcBorders>
            <w:vAlign w:val="bottom"/>
          </w:tcPr>
          <w:p w14:paraId="49313B4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0.0076</w:t>
            </w:r>
          </w:p>
        </w:tc>
      </w:tr>
      <w:tr w:rsidR="00EA38DE" w:rsidRPr="00EA38DE" w14:paraId="0EE8F328" w14:textId="77777777" w:rsidTr="009501B5">
        <w:trPr>
          <w:trHeight w:val="220"/>
        </w:trPr>
        <w:tc>
          <w:tcPr>
            <w:tcW w:w="2120" w:type="dxa"/>
            <w:tcBorders>
              <w:top w:val="nil"/>
              <w:left w:val="nil"/>
              <w:bottom w:val="nil"/>
              <w:right w:val="nil"/>
            </w:tcBorders>
            <w:vAlign w:val="bottom"/>
          </w:tcPr>
          <w:p w14:paraId="4E5082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D(LDLNT(-2))</w:t>
            </w:r>
          </w:p>
        </w:tc>
        <w:tc>
          <w:tcPr>
            <w:tcW w:w="1050" w:type="dxa"/>
            <w:tcBorders>
              <w:top w:val="nil"/>
              <w:left w:val="nil"/>
              <w:bottom w:val="nil"/>
              <w:right w:val="nil"/>
            </w:tcBorders>
            <w:vAlign w:val="bottom"/>
          </w:tcPr>
          <w:p w14:paraId="01B887F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1.411544</w:t>
            </w:r>
          </w:p>
        </w:tc>
        <w:tc>
          <w:tcPr>
            <w:tcW w:w="1150" w:type="dxa"/>
            <w:tcBorders>
              <w:top w:val="nil"/>
              <w:left w:val="nil"/>
              <w:bottom w:val="nil"/>
              <w:right w:val="nil"/>
            </w:tcBorders>
            <w:vAlign w:val="bottom"/>
          </w:tcPr>
          <w:p w14:paraId="1F44D8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0.408668</w:t>
            </w:r>
          </w:p>
        </w:tc>
        <w:tc>
          <w:tcPr>
            <w:tcW w:w="1150" w:type="dxa"/>
            <w:tcBorders>
              <w:top w:val="nil"/>
              <w:left w:val="nil"/>
              <w:bottom w:val="nil"/>
              <w:right w:val="nil"/>
            </w:tcBorders>
            <w:vAlign w:val="bottom"/>
          </w:tcPr>
          <w:p w14:paraId="2F30F68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3.454008</w:t>
            </w:r>
          </w:p>
        </w:tc>
        <w:tc>
          <w:tcPr>
            <w:tcW w:w="950" w:type="dxa"/>
            <w:tcBorders>
              <w:top w:val="nil"/>
              <w:left w:val="nil"/>
              <w:bottom w:val="nil"/>
              <w:right w:val="nil"/>
            </w:tcBorders>
            <w:vAlign w:val="bottom"/>
          </w:tcPr>
          <w:p w14:paraId="046E1A0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0.0054</w:t>
            </w:r>
          </w:p>
        </w:tc>
      </w:tr>
      <w:tr w:rsidR="00EA38DE" w:rsidRPr="00EA38DE" w14:paraId="30D43925" w14:textId="77777777" w:rsidTr="009501B5">
        <w:trPr>
          <w:trHeight w:val="220"/>
        </w:trPr>
        <w:tc>
          <w:tcPr>
            <w:tcW w:w="2120" w:type="dxa"/>
            <w:tcBorders>
              <w:top w:val="nil"/>
              <w:left w:val="nil"/>
              <w:bottom w:val="nil"/>
              <w:right w:val="nil"/>
            </w:tcBorders>
            <w:vAlign w:val="bottom"/>
          </w:tcPr>
          <w:p w14:paraId="19C507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36D0798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-0.006023</w:t>
            </w:r>
          </w:p>
        </w:tc>
        <w:tc>
          <w:tcPr>
            <w:tcW w:w="1150" w:type="dxa"/>
            <w:tcBorders>
              <w:top w:val="nil"/>
              <w:left w:val="nil"/>
              <w:bottom w:val="nil"/>
              <w:right w:val="nil"/>
            </w:tcBorders>
            <w:vAlign w:val="bottom"/>
          </w:tcPr>
          <w:p w14:paraId="76D3439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0.003074</w:t>
            </w:r>
          </w:p>
        </w:tc>
        <w:tc>
          <w:tcPr>
            <w:tcW w:w="1150" w:type="dxa"/>
            <w:tcBorders>
              <w:top w:val="nil"/>
              <w:left w:val="nil"/>
              <w:bottom w:val="nil"/>
              <w:right w:val="nil"/>
            </w:tcBorders>
            <w:vAlign w:val="bottom"/>
          </w:tcPr>
          <w:p w14:paraId="21D4513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-1.959410</w:t>
            </w:r>
          </w:p>
        </w:tc>
        <w:tc>
          <w:tcPr>
            <w:tcW w:w="950" w:type="dxa"/>
            <w:tcBorders>
              <w:top w:val="nil"/>
              <w:left w:val="nil"/>
              <w:bottom w:val="nil"/>
              <w:right w:val="nil"/>
            </w:tcBorders>
            <w:vAlign w:val="bottom"/>
          </w:tcPr>
          <w:p w14:paraId="693BA92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0.0759</w:t>
            </w:r>
          </w:p>
        </w:tc>
      </w:tr>
      <w:tr w:rsidR="00EA38DE" w:rsidRPr="00EA38DE" w14:paraId="045B5E19" w14:textId="77777777" w:rsidTr="009501B5">
        <w:trPr>
          <w:trHeight w:val="220"/>
        </w:trPr>
        <w:tc>
          <w:tcPr>
            <w:tcW w:w="2120" w:type="dxa"/>
            <w:tcBorders>
              <w:top w:val="nil"/>
              <w:left w:val="nil"/>
              <w:bottom w:val="nil"/>
              <w:right w:val="nil"/>
            </w:tcBorders>
            <w:vAlign w:val="bottom"/>
          </w:tcPr>
          <w:p w14:paraId="58A118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372F513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0.011705</w:t>
            </w:r>
          </w:p>
        </w:tc>
        <w:tc>
          <w:tcPr>
            <w:tcW w:w="1150" w:type="dxa"/>
            <w:tcBorders>
              <w:top w:val="nil"/>
              <w:left w:val="nil"/>
              <w:bottom w:val="nil"/>
              <w:right w:val="nil"/>
            </w:tcBorders>
            <w:vAlign w:val="bottom"/>
          </w:tcPr>
          <w:p w14:paraId="2D4A964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0.003433</w:t>
            </w:r>
          </w:p>
        </w:tc>
        <w:tc>
          <w:tcPr>
            <w:tcW w:w="1150" w:type="dxa"/>
            <w:tcBorders>
              <w:top w:val="nil"/>
              <w:left w:val="nil"/>
              <w:bottom w:val="nil"/>
              <w:right w:val="nil"/>
            </w:tcBorders>
            <w:vAlign w:val="bottom"/>
          </w:tcPr>
          <w:p w14:paraId="2172D9B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3.409505</w:t>
            </w:r>
          </w:p>
        </w:tc>
        <w:tc>
          <w:tcPr>
            <w:tcW w:w="950" w:type="dxa"/>
            <w:tcBorders>
              <w:top w:val="nil"/>
              <w:left w:val="nil"/>
              <w:bottom w:val="nil"/>
              <w:right w:val="nil"/>
            </w:tcBorders>
            <w:vAlign w:val="bottom"/>
          </w:tcPr>
          <w:p w14:paraId="4E17DBE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0.0058</w:t>
            </w:r>
          </w:p>
        </w:tc>
      </w:tr>
      <w:tr w:rsidR="00EA38DE" w:rsidRPr="00EA38DE" w14:paraId="39A1B582" w14:textId="77777777" w:rsidTr="009501B5">
        <w:trPr>
          <w:trHeight w:val="220"/>
        </w:trPr>
        <w:tc>
          <w:tcPr>
            <w:tcW w:w="2120" w:type="dxa"/>
            <w:tcBorders>
              <w:top w:val="nil"/>
              <w:left w:val="nil"/>
              <w:bottom w:val="nil"/>
              <w:right w:val="nil"/>
            </w:tcBorders>
            <w:vAlign w:val="bottom"/>
          </w:tcPr>
          <w:p w14:paraId="403595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D(IFR(-2))</w:t>
            </w:r>
          </w:p>
        </w:tc>
        <w:tc>
          <w:tcPr>
            <w:tcW w:w="1050" w:type="dxa"/>
            <w:tcBorders>
              <w:top w:val="nil"/>
              <w:left w:val="nil"/>
              <w:bottom w:val="nil"/>
              <w:right w:val="nil"/>
            </w:tcBorders>
            <w:vAlign w:val="bottom"/>
          </w:tcPr>
          <w:p w14:paraId="62ABFD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0.007426</w:t>
            </w:r>
          </w:p>
        </w:tc>
        <w:tc>
          <w:tcPr>
            <w:tcW w:w="1150" w:type="dxa"/>
            <w:tcBorders>
              <w:top w:val="nil"/>
              <w:left w:val="nil"/>
              <w:bottom w:val="nil"/>
              <w:right w:val="nil"/>
            </w:tcBorders>
            <w:vAlign w:val="bottom"/>
          </w:tcPr>
          <w:p w14:paraId="7B21B4F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0.002509</w:t>
            </w:r>
          </w:p>
        </w:tc>
        <w:tc>
          <w:tcPr>
            <w:tcW w:w="1150" w:type="dxa"/>
            <w:tcBorders>
              <w:top w:val="nil"/>
              <w:left w:val="nil"/>
              <w:bottom w:val="nil"/>
              <w:right w:val="nil"/>
            </w:tcBorders>
            <w:vAlign w:val="bottom"/>
          </w:tcPr>
          <w:p w14:paraId="5728257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2.959349</w:t>
            </w:r>
          </w:p>
        </w:tc>
        <w:tc>
          <w:tcPr>
            <w:tcW w:w="950" w:type="dxa"/>
            <w:tcBorders>
              <w:top w:val="nil"/>
              <w:left w:val="nil"/>
              <w:bottom w:val="nil"/>
              <w:right w:val="nil"/>
            </w:tcBorders>
            <w:vAlign w:val="bottom"/>
          </w:tcPr>
          <w:p w14:paraId="3A3260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0.0130</w:t>
            </w:r>
          </w:p>
        </w:tc>
      </w:tr>
      <w:tr w:rsidR="00EA38DE" w:rsidRPr="00EA38DE" w14:paraId="6DA2FCF3" w14:textId="77777777" w:rsidTr="009501B5">
        <w:trPr>
          <w:trHeight w:val="220"/>
        </w:trPr>
        <w:tc>
          <w:tcPr>
            <w:tcW w:w="2120" w:type="dxa"/>
            <w:tcBorders>
              <w:top w:val="nil"/>
              <w:left w:val="nil"/>
              <w:bottom w:val="nil"/>
              <w:right w:val="nil"/>
            </w:tcBorders>
            <w:vAlign w:val="bottom"/>
          </w:tcPr>
          <w:p w14:paraId="0BBD17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7038198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-7.094345</w:t>
            </w:r>
          </w:p>
        </w:tc>
        <w:tc>
          <w:tcPr>
            <w:tcW w:w="1150" w:type="dxa"/>
            <w:tcBorders>
              <w:top w:val="nil"/>
              <w:left w:val="nil"/>
              <w:bottom w:val="nil"/>
              <w:right w:val="nil"/>
            </w:tcBorders>
            <w:vAlign w:val="bottom"/>
          </w:tcPr>
          <w:p w14:paraId="3337DF4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2.170023</w:t>
            </w:r>
          </w:p>
        </w:tc>
        <w:tc>
          <w:tcPr>
            <w:tcW w:w="1150" w:type="dxa"/>
            <w:tcBorders>
              <w:top w:val="nil"/>
              <w:left w:val="nil"/>
              <w:bottom w:val="nil"/>
              <w:right w:val="nil"/>
            </w:tcBorders>
            <w:vAlign w:val="bottom"/>
          </w:tcPr>
          <w:p w14:paraId="017C95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-3.269249</w:t>
            </w:r>
          </w:p>
        </w:tc>
        <w:tc>
          <w:tcPr>
            <w:tcW w:w="950" w:type="dxa"/>
            <w:tcBorders>
              <w:top w:val="nil"/>
              <w:left w:val="nil"/>
              <w:bottom w:val="nil"/>
              <w:right w:val="nil"/>
            </w:tcBorders>
            <w:vAlign w:val="bottom"/>
          </w:tcPr>
          <w:p w14:paraId="23862E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0.0075</w:t>
            </w:r>
          </w:p>
        </w:tc>
      </w:tr>
      <w:tr w:rsidR="00EA38DE" w:rsidRPr="00EA38DE" w14:paraId="1375DE24" w14:textId="77777777" w:rsidTr="009501B5">
        <w:trPr>
          <w:trHeight w:val="220"/>
        </w:trPr>
        <w:tc>
          <w:tcPr>
            <w:tcW w:w="2120" w:type="dxa"/>
            <w:tcBorders>
              <w:top w:val="nil"/>
              <w:left w:val="nil"/>
              <w:bottom w:val="nil"/>
              <w:right w:val="nil"/>
            </w:tcBorders>
            <w:vAlign w:val="bottom"/>
          </w:tcPr>
          <w:p w14:paraId="20CEDE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3B3677F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19.72265</w:t>
            </w:r>
          </w:p>
        </w:tc>
        <w:tc>
          <w:tcPr>
            <w:tcW w:w="1150" w:type="dxa"/>
            <w:tcBorders>
              <w:top w:val="nil"/>
              <w:left w:val="nil"/>
              <w:bottom w:val="nil"/>
              <w:right w:val="nil"/>
            </w:tcBorders>
            <w:vAlign w:val="bottom"/>
          </w:tcPr>
          <w:p w14:paraId="33A5568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11.79828</w:t>
            </w:r>
          </w:p>
        </w:tc>
        <w:tc>
          <w:tcPr>
            <w:tcW w:w="1150" w:type="dxa"/>
            <w:tcBorders>
              <w:top w:val="nil"/>
              <w:left w:val="nil"/>
              <w:bottom w:val="nil"/>
              <w:right w:val="nil"/>
            </w:tcBorders>
            <w:vAlign w:val="bottom"/>
          </w:tcPr>
          <w:p w14:paraId="68F59FC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1.671655</w:t>
            </w:r>
          </w:p>
        </w:tc>
        <w:tc>
          <w:tcPr>
            <w:tcW w:w="950" w:type="dxa"/>
            <w:tcBorders>
              <w:top w:val="nil"/>
              <w:left w:val="nil"/>
              <w:bottom w:val="nil"/>
              <w:right w:val="nil"/>
            </w:tcBorders>
            <w:vAlign w:val="bottom"/>
          </w:tcPr>
          <w:p w14:paraId="31FEB51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0.1228</w:t>
            </w:r>
          </w:p>
        </w:tc>
      </w:tr>
      <w:tr w:rsidR="00EA38DE" w:rsidRPr="00EA38DE" w14:paraId="41259121" w14:textId="77777777" w:rsidTr="009501B5">
        <w:trPr>
          <w:trHeight w:val="220"/>
        </w:trPr>
        <w:tc>
          <w:tcPr>
            <w:tcW w:w="2120" w:type="dxa"/>
            <w:tcBorders>
              <w:top w:val="nil"/>
              <w:left w:val="nil"/>
              <w:bottom w:val="nil"/>
              <w:right w:val="nil"/>
            </w:tcBorders>
            <w:vAlign w:val="bottom"/>
          </w:tcPr>
          <w:p w14:paraId="2BD7DA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D(LLAB(-2))</w:t>
            </w:r>
          </w:p>
        </w:tc>
        <w:tc>
          <w:tcPr>
            <w:tcW w:w="1050" w:type="dxa"/>
            <w:tcBorders>
              <w:top w:val="nil"/>
              <w:left w:val="nil"/>
              <w:bottom w:val="nil"/>
              <w:right w:val="nil"/>
            </w:tcBorders>
            <w:vAlign w:val="bottom"/>
          </w:tcPr>
          <w:p w14:paraId="12D50FC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24.24519</w:t>
            </w:r>
          </w:p>
        </w:tc>
        <w:tc>
          <w:tcPr>
            <w:tcW w:w="1150" w:type="dxa"/>
            <w:tcBorders>
              <w:top w:val="nil"/>
              <w:left w:val="nil"/>
              <w:bottom w:val="nil"/>
              <w:right w:val="nil"/>
            </w:tcBorders>
            <w:vAlign w:val="bottom"/>
          </w:tcPr>
          <w:p w14:paraId="12CBCE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14.48815</w:t>
            </w:r>
          </w:p>
        </w:tc>
        <w:tc>
          <w:tcPr>
            <w:tcW w:w="1150" w:type="dxa"/>
            <w:tcBorders>
              <w:top w:val="nil"/>
              <w:left w:val="nil"/>
              <w:bottom w:val="nil"/>
              <w:right w:val="nil"/>
            </w:tcBorders>
            <w:vAlign w:val="bottom"/>
          </w:tcPr>
          <w:p w14:paraId="2FB3DE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1.673449</w:t>
            </w:r>
          </w:p>
        </w:tc>
        <w:tc>
          <w:tcPr>
            <w:tcW w:w="950" w:type="dxa"/>
            <w:tcBorders>
              <w:top w:val="nil"/>
              <w:left w:val="nil"/>
              <w:bottom w:val="nil"/>
              <w:right w:val="nil"/>
            </w:tcBorders>
            <w:vAlign w:val="bottom"/>
          </w:tcPr>
          <w:p w14:paraId="2276C3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0.1224</w:t>
            </w:r>
          </w:p>
        </w:tc>
      </w:tr>
      <w:tr w:rsidR="00EA38DE" w:rsidRPr="00EA38DE" w14:paraId="11445B51" w14:textId="77777777" w:rsidTr="009501B5">
        <w:trPr>
          <w:trHeight w:val="220"/>
        </w:trPr>
        <w:tc>
          <w:tcPr>
            <w:tcW w:w="2120" w:type="dxa"/>
            <w:tcBorders>
              <w:top w:val="nil"/>
              <w:left w:val="nil"/>
              <w:bottom w:val="nil"/>
              <w:right w:val="nil"/>
            </w:tcBorders>
            <w:vAlign w:val="bottom"/>
          </w:tcPr>
          <w:p w14:paraId="593D7C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D(LGR)</w:t>
            </w:r>
          </w:p>
        </w:tc>
        <w:tc>
          <w:tcPr>
            <w:tcW w:w="1050" w:type="dxa"/>
            <w:tcBorders>
              <w:top w:val="nil"/>
              <w:left w:val="nil"/>
              <w:bottom w:val="nil"/>
              <w:right w:val="nil"/>
            </w:tcBorders>
            <w:vAlign w:val="bottom"/>
          </w:tcPr>
          <w:p w14:paraId="26E987D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-0.255348</w:t>
            </w:r>
          </w:p>
        </w:tc>
        <w:tc>
          <w:tcPr>
            <w:tcW w:w="1150" w:type="dxa"/>
            <w:tcBorders>
              <w:top w:val="nil"/>
              <w:left w:val="nil"/>
              <w:bottom w:val="nil"/>
              <w:right w:val="nil"/>
            </w:tcBorders>
            <w:vAlign w:val="bottom"/>
          </w:tcPr>
          <w:p w14:paraId="680CDB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0.138229</w:t>
            </w:r>
          </w:p>
        </w:tc>
        <w:tc>
          <w:tcPr>
            <w:tcW w:w="1150" w:type="dxa"/>
            <w:tcBorders>
              <w:top w:val="nil"/>
              <w:left w:val="nil"/>
              <w:bottom w:val="nil"/>
              <w:right w:val="nil"/>
            </w:tcBorders>
            <w:vAlign w:val="bottom"/>
          </w:tcPr>
          <w:p w14:paraId="504ED27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-1.847282</w:t>
            </w:r>
          </w:p>
        </w:tc>
        <w:tc>
          <w:tcPr>
            <w:tcW w:w="950" w:type="dxa"/>
            <w:tcBorders>
              <w:top w:val="nil"/>
              <w:left w:val="nil"/>
              <w:bottom w:val="nil"/>
              <w:right w:val="nil"/>
            </w:tcBorders>
            <w:vAlign w:val="bottom"/>
          </w:tcPr>
          <w:p w14:paraId="7AEDD65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0.0918</w:t>
            </w:r>
          </w:p>
        </w:tc>
      </w:tr>
      <w:tr w:rsidR="00EA38DE" w:rsidRPr="00EA38DE" w14:paraId="1B751EB7" w14:textId="77777777" w:rsidTr="009501B5">
        <w:trPr>
          <w:trHeight w:val="220"/>
        </w:trPr>
        <w:tc>
          <w:tcPr>
            <w:tcW w:w="2120" w:type="dxa"/>
            <w:tcBorders>
              <w:top w:val="nil"/>
              <w:left w:val="nil"/>
              <w:bottom w:val="nil"/>
              <w:right w:val="nil"/>
            </w:tcBorders>
            <w:vAlign w:val="bottom"/>
          </w:tcPr>
          <w:p w14:paraId="066FDD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0C862F9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0.125569</w:t>
            </w:r>
          </w:p>
        </w:tc>
        <w:tc>
          <w:tcPr>
            <w:tcW w:w="1150" w:type="dxa"/>
            <w:tcBorders>
              <w:top w:val="nil"/>
              <w:left w:val="nil"/>
              <w:bottom w:val="nil"/>
              <w:right w:val="nil"/>
            </w:tcBorders>
            <w:vAlign w:val="bottom"/>
          </w:tcPr>
          <w:p w14:paraId="12DC9EE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0.037056</w:t>
            </w:r>
          </w:p>
        </w:tc>
        <w:tc>
          <w:tcPr>
            <w:tcW w:w="1150" w:type="dxa"/>
            <w:tcBorders>
              <w:top w:val="nil"/>
              <w:left w:val="nil"/>
              <w:bottom w:val="nil"/>
              <w:right w:val="nil"/>
            </w:tcBorders>
            <w:vAlign w:val="bottom"/>
          </w:tcPr>
          <w:p w14:paraId="34C9D99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3.388683</w:t>
            </w:r>
          </w:p>
        </w:tc>
        <w:tc>
          <w:tcPr>
            <w:tcW w:w="950" w:type="dxa"/>
            <w:tcBorders>
              <w:top w:val="nil"/>
              <w:left w:val="nil"/>
              <w:bottom w:val="nil"/>
              <w:right w:val="nil"/>
            </w:tcBorders>
            <w:vAlign w:val="bottom"/>
          </w:tcPr>
          <w:p w14:paraId="3EAD5A7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0.0060</w:t>
            </w:r>
          </w:p>
        </w:tc>
      </w:tr>
      <w:tr w:rsidR="00EA38DE" w:rsidRPr="00EA38DE" w14:paraId="0D90E9F0" w14:textId="77777777" w:rsidTr="009501B5">
        <w:trPr>
          <w:trHeight w:hRule="exact" w:val="88"/>
        </w:trPr>
        <w:tc>
          <w:tcPr>
            <w:tcW w:w="2120" w:type="dxa"/>
            <w:tcBorders>
              <w:top w:val="nil"/>
              <w:left w:val="nil"/>
              <w:bottom w:val="double" w:sz="6" w:space="2" w:color="auto"/>
              <w:right w:val="nil"/>
            </w:tcBorders>
            <w:vAlign w:val="bottom"/>
          </w:tcPr>
          <w:p w14:paraId="772819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875F7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9C22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D717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6A686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0E88D27" w14:textId="77777777" w:rsidTr="009501B5">
        <w:trPr>
          <w:trHeight w:hRule="exact" w:val="132"/>
        </w:trPr>
        <w:tc>
          <w:tcPr>
            <w:tcW w:w="2120" w:type="dxa"/>
            <w:tcBorders>
              <w:top w:val="nil"/>
              <w:left w:val="nil"/>
              <w:bottom w:val="nil"/>
              <w:right w:val="nil"/>
            </w:tcBorders>
            <w:vAlign w:val="bottom"/>
          </w:tcPr>
          <w:p w14:paraId="0B6B564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FD8F3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0F101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8DC2B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187C6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3B69DA9" w14:textId="77777777" w:rsidTr="009501B5">
        <w:trPr>
          <w:trHeight w:val="220"/>
        </w:trPr>
        <w:tc>
          <w:tcPr>
            <w:tcW w:w="6420" w:type="dxa"/>
            <w:gridSpan w:val="5"/>
            <w:tcBorders>
              <w:top w:val="nil"/>
              <w:left w:val="nil"/>
              <w:bottom w:val="nil"/>
              <w:right w:val="nil"/>
            </w:tcBorders>
            <w:vAlign w:val="bottom"/>
          </w:tcPr>
          <w:p w14:paraId="247BFD7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04C4FDD0" w14:textId="77777777" w:rsidTr="009501B5">
        <w:trPr>
          <w:trHeight w:val="220"/>
        </w:trPr>
        <w:tc>
          <w:tcPr>
            <w:tcW w:w="2120" w:type="dxa"/>
            <w:tcBorders>
              <w:top w:val="nil"/>
              <w:left w:val="nil"/>
              <w:bottom w:val="nil"/>
              <w:right w:val="nil"/>
            </w:tcBorders>
            <w:vAlign w:val="bottom"/>
          </w:tcPr>
          <w:p w14:paraId="4FCB2C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073DE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8283E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AEB20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93F845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1D30177" w14:textId="77777777" w:rsidTr="009501B5">
        <w:trPr>
          <w:trHeight w:hRule="exact" w:val="88"/>
        </w:trPr>
        <w:tc>
          <w:tcPr>
            <w:tcW w:w="2120" w:type="dxa"/>
            <w:tcBorders>
              <w:top w:val="nil"/>
              <w:left w:val="nil"/>
              <w:bottom w:val="double" w:sz="6" w:space="2" w:color="auto"/>
              <w:right w:val="nil"/>
            </w:tcBorders>
            <w:vAlign w:val="bottom"/>
          </w:tcPr>
          <w:p w14:paraId="1449BFE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C52A7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9ECE8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0A5CD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3D0F1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6E4935B" w14:textId="77777777" w:rsidTr="009501B5">
        <w:trPr>
          <w:trHeight w:hRule="exact" w:val="132"/>
        </w:trPr>
        <w:tc>
          <w:tcPr>
            <w:tcW w:w="2120" w:type="dxa"/>
            <w:tcBorders>
              <w:top w:val="nil"/>
              <w:left w:val="nil"/>
              <w:bottom w:val="nil"/>
              <w:right w:val="nil"/>
            </w:tcBorders>
            <w:vAlign w:val="bottom"/>
          </w:tcPr>
          <w:p w14:paraId="16EBE0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20C0B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32641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DB55A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14ECB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696FE5C" w14:textId="77777777" w:rsidTr="009501B5">
        <w:trPr>
          <w:trHeight w:val="220"/>
        </w:trPr>
        <w:tc>
          <w:tcPr>
            <w:tcW w:w="6420" w:type="dxa"/>
            <w:gridSpan w:val="5"/>
            <w:tcBorders>
              <w:top w:val="nil"/>
              <w:left w:val="nil"/>
              <w:bottom w:val="nil"/>
              <w:right w:val="nil"/>
            </w:tcBorders>
            <w:vAlign w:val="bottom"/>
          </w:tcPr>
          <w:p w14:paraId="79F5D2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70263FB7" w14:textId="77777777" w:rsidTr="009501B5">
        <w:trPr>
          <w:trHeight w:val="220"/>
        </w:trPr>
        <w:tc>
          <w:tcPr>
            <w:tcW w:w="6420" w:type="dxa"/>
            <w:gridSpan w:val="5"/>
            <w:tcBorders>
              <w:top w:val="nil"/>
              <w:left w:val="nil"/>
              <w:bottom w:val="nil"/>
              <w:right w:val="nil"/>
            </w:tcBorders>
            <w:vAlign w:val="bottom"/>
          </w:tcPr>
          <w:p w14:paraId="49A8EA0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56849580" w14:textId="77777777" w:rsidTr="009501B5">
        <w:trPr>
          <w:trHeight w:hRule="exact" w:val="88"/>
        </w:trPr>
        <w:tc>
          <w:tcPr>
            <w:tcW w:w="2120" w:type="dxa"/>
            <w:tcBorders>
              <w:top w:val="nil"/>
              <w:left w:val="nil"/>
              <w:bottom w:val="double" w:sz="6" w:space="2" w:color="auto"/>
              <w:right w:val="nil"/>
            </w:tcBorders>
            <w:vAlign w:val="bottom"/>
          </w:tcPr>
          <w:p w14:paraId="06674C6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3EA440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D3FFC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AD822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0C311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B457B25" w14:textId="77777777" w:rsidTr="009501B5">
        <w:trPr>
          <w:trHeight w:hRule="exact" w:val="132"/>
        </w:trPr>
        <w:tc>
          <w:tcPr>
            <w:tcW w:w="2120" w:type="dxa"/>
            <w:tcBorders>
              <w:top w:val="nil"/>
              <w:left w:val="nil"/>
              <w:bottom w:val="nil"/>
              <w:right w:val="nil"/>
            </w:tcBorders>
            <w:vAlign w:val="bottom"/>
          </w:tcPr>
          <w:p w14:paraId="37683C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4E3CA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E683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3502F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63285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7879B4A" w14:textId="77777777" w:rsidTr="009501B5">
        <w:trPr>
          <w:trHeight w:val="220"/>
        </w:trPr>
        <w:tc>
          <w:tcPr>
            <w:tcW w:w="2120" w:type="dxa"/>
            <w:tcBorders>
              <w:top w:val="nil"/>
              <w:left w:val="nil"/>
              <w:bottom w:val="nil"/>
              <w:right w:val="nil"/>
            </w:tcBorders>
            <w:vAlign w:val="bottom"/>
          </w:tcPr>
          <w:p w14:paraId="639225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78C181A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32974BB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713F9A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3011020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63C84750" w14:textId="77777777" w:rsidTr="009501B5">
        <w:trPr>
          <w:trHeight w:hRule="exact" w:val="88"/>
        </w:trPr>
        <w:tc>
          <w:tcPr>
            <w:tcW w:w="2120" w:type="dxa"/>
            <w:tcBorders>
              <w:top w:val="nil"/>
              <w:left w:val="nil"/>
              <w:bottom w:val="double" w:sz="6" w:space="2" w:color="auto"/>
              <w:right w:val="nil"/>
            </w:tcBorders>
            <w:vAlign w:val="bottom"/>
          </w:tcPr>
          <w:p w14:paraId="485D2A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923B3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9A09F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21C77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925A21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352766" w14:textId="77777777" w:rsidTr="009501B5">
        <w:trPr>
          <w:trHeight w:hRule="exact" w:val="132"/>
        </w:trPr>
        <w:tc>
          <w:tcPr>
            <w:tcW w:w="2120" w:type="dxa"/>
            <w:tcBorders>
              <w:top w:val="nil"/>
              <w:left w:val="nil"/>
              <w:bottom w:val="nil"/>
              <w:right w:val="nil"/>
            </w:tcBorders>
            <w:vAlign w:val="bottom"/>
          </w:tcPr>
          <w:p w14:paraId="1564A4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10E47C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E584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F0D74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23F8D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3EBA2A4" w14:textId="77777777" w:rsidTr="009501B5">
        <w:trPr>
          <w:trHeight w:val="220"/>
        </w:trPr>
        <w:tc>
          <w:tcPr>
            <w:tcW w:w="2120" w:type="dxa"/>
            <w:tcBorders>
              <w:top w:val="nil"/>
              <w:left w:val="nil"/>
              <w:bottom w:val="nil"/>
              <w:right w:val="nil"/>
            </w:tcBorders>
            <w:vAlign w:val="bottom"/>
          </w:tcPr>
          <w:p w14:paraId="01354D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LDLNT</w:t>
            </w:r>
          </w:p>
        </w:tc>
        <w:tc>
          <w:tcPr>
            <w:tcW w:w="1050" w:type="dxa"/>
            <w:tcBorders>
              <w:top w:val="nil"/>
              <w:left w:val="nil"/>
              <w:bottom w:val="nil"/>
              <w:right w:val="nil"/>
            </w:tcBorders>
            <w:vAlign w:val="bottom"/>
          </w:tcPr>
          <w:p w14:paraId="74EBBC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-6.617985</w:t>
            </w:r>
          </w:p>
        </w:tc>
        <w:tc>
          <w:tcPr>
            <w:tcW w:w="1150" w:type="dxa"/>
            <w:tcBorders>
              <w:top w:val="nil"/>
              <w:left w:val="nil"/>
              <w:bottom w:val="nil"/>
              <w:right w:val="nil"/>
            </w:tcBorders>
            <w:vAlign w:val="bottom"/>
          </w:tcPr>
          <w:p w14:paraId="12ABB53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3.024428</w:t>
            </w:r>
          </w:p>
        </w:tc>
        <w:tc>
          <w:tcPr>
            <w:tcW w:w="1150" w:type="dxa"/>
            <w:tcBorders>
              <w:top w:val="nil"/>
              <w:left w:val="nil"/>
              <w:bottom w:val="nil"/>
              <w:right w:val="nil"/>
            </w:tcBorders>
            <w:vAlign w:val="bottom"/>
          </w:tcPr>
          <w:p w14:paraId="605423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-2.188178</w:t>
            </w:r>
          </w:p>
        </w:tc>
        <w:tc>
          <w:tcPr>
            <w:tcW w:w="950" w:type="dxa"/>
            <w:tcBorders>
              <w:top w:val="nil"/>
              <w:left w:val="nil"/>
              <w:bottom w:val="nil"/>
              <w:right w:val="nil"/>
            </w:tcBorders>
            <w:vAlign w:val="bottom"/>
          </w:tcPr>
          <w:p w14:paraId="16E680E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0.0511</w:t>
            </w:r>
          </w:p>
        </w:tc>
      </w:tr>
      <w:tr w:rsidR="00EA38DE" w:rsidRPr="00EA38DE" w14:paraId="0AE12ABB" w14:textId="77777777" w:rsidTr="009501B5">
        <w:trPr>
          <w:trHeight w:val="220"/>
        </w:trPr>
        <w:tc>
          <w:tcPr>
            <w:tcW w:w="2120" w:type="dxa"/>
            <w:tcBorders>
              <w:top w:val="nil"/>
              <w:left w:val="nil"/>
              <w:bottom w:val="nil"/>
              <w:right w:val="nil"/>
            </w:tcBorders>
            <w:vAlign w:val="bottom"/>
          </w:tcPr>
          <w:p w14:paraId="21CB32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0B4C6A6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-0.032328</w:t>
            </w:r>
          </w:p>
        </w:tc>
        <w:tc>
          <w:tcPr>
            <w:tcW w:w="1150" w:type="dxa"/>
            <w:tcBorders>
              <w:top w:val="nil"/>
              <w:left w:val="nil"/>
              <w:bottom w:val="nil"/>
              <w:right w:val="nil"/>
            </w:tcBorders>
            <w:vAlign w:val="bottom"/>
          </w:tcPr>
          <w:p w14:paraId="0D9ABC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0.016826</w:t>
            </w:r>
          </w:p>
        </w:tc>
        <w:tc>
          <w:tcPr>
            <w:tcW w:w="1150" w:type="dxa"/>
            <w:tcBorders>
              <w:top w:val="nil"/>
              <w:left w:val="nil"/>
              <w:bottom w:val="nil"/>
              <w:right w:val="nil"/>
            </w:tcBorders>
            <w:vAlign w:val="bottom"/>
          </w:tcPr>
          <w:p w14:paraId="042CEEE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-1.921344</w:t>
            </w:r>
          </w:p>
        </w:tc>
        <w:tc>
          <w:tcPr>
            <w:tcW w:w="950" w:type="dxa"/>
            <w:tcBorders>
              <w:top w:val="nil"/>
              <w:left w:val="nil"/>
              <w:bottom w:val="nil"/>
              <w:right w:val="nil"/>
            </w:tcBorders>
            <w:vAlign w:val="bottom"/>
          </w:tcPr>
          <w:p w14:paraId="4AD5E5E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0.0810</w:t>
            </w:r>
          </w:p>
        </w:tc>
      </w:tr>
      <w:tr w:rsidR="00EA38DE" w:rsidRPr="00EA38DE" w14:paraId="2EB9EF99" w14:textId="77777777" w:rsidTr="009501B5">
        <w:trPr>
          <w:trHeight w:val="220"/>
        </w:trPr>
        <w:tc>
          <w:tcPr>
            <w:tcW w:w="2120" w:type="dxa"/>
            <w:tcBorders>
              <w:top w:val="nil"/>
              <w:left w:val="nil"/>
              <w:bottom w:val="nil"/>
              <w:right w:val="nil"/>
            </w:tcBorders>
            <w:vAlign w:val="bottom"/>
          </w:tcPr>
          <w:p w14:paraId="7B3105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22B38B1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3.797362</w:t>
            </w:r>
          </w:p>
        </w:tc>
        <w:tc>
          <w:tcPr>
            <w:tcW w:w="1150" w:type="dxa"/>
            <w:tcBorders>
              <w:top w:val="nil"/>
              <w:left w:val="nil"/>
              <w:bottom w:val="nil"/>
              <w:right w:val="nil"/>
            </w:tcBorders>
            <w:vAlign w:val="bottom"/>
          </w:tcPr>
          <w:p w14:paraId="5CEC226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5.602791</w:t>
            </w:r>
          </w:p>
        </w:tc>
        <w:tc>
          <w:tcPr>
            <w:tcW w:w="1150" w:type="dxa"/>
            <w:tcBorders>
              <w:top w:val="nil"/>
              <w:left w:val="nil"/>
              <w:bottom w:val="nil"/>
              <w:right w:val="nil"/>
            </w:tcBorders>
            <w:vAlign w:val="bottom"/>
          </w:tcPr>
          <w:p w14:paraId="69F0F8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0.677763</w:t>
            </w:r>
          </w:p>
        </w:tc>
        <w:tc>
          <w:tcPr>
            <w:tcW w:w="950" w:type="dxa"/>
            <w:tcBorders>
              <w:top w:val="nil"/>
              <w:left w:val="nil"/>
              <w:bottom w:val="nil"/>
              <w:right w:val="nil"/>
            </w:tcBorders>
            <w:vAlign w:val="bottom"/>
          </w:tcPr>
          <w:p w14:paraId="5C7279D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0.5119</w:t>
            </w:r>
          </w:p>
        </w:tc>
      </w:tr>
      <w:tr w:rsidR="00EA38DE" w:rsidRPr="00EA38DE" w14:paraId="5BF1F577" w14:textId="77777777" w:rsidTr="009501B5">
        <w:trPr>
          <w:trHeight w:val="220"/>
        </w:trPr>
        <w:tc>
          <w:tcPr>
            <w:tcW w:w="2120" w:type="dxa"/>
            <w:tcBorders>
              <w:top w:val="nil"/>
              <w:left w:val="nil"/>
              <w:bottom w:val="nil"/>
              <w:right w:val="nil"/>
            </w:tcBorders>
            <w:vAlign w:val="bottom"/>
          </w:tcPr>
          <w:p w14:paraId="2E29920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0BD4016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0.398760</w:t>
            </w:r>
          </w:p>
        </w:tc>
        <w:tc>
          <w:tcPr>
            <w:tcW w:w="1150" w:type="dxa"/>
            <w:tcBorders>
              <w:top w:val="nil"/>
              <w:left w:val="nil"/>
              <w:bottom w:val="nil"/>
              <w:right w:val="nil"/>
            </w:tcBorders>
            <w:vAlign w:val="bottom"/>
          </w:tcPr>
          <w:p w14:paraId="5F4633E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0.111908</w:t>
            </w:r>
          </w:p>
        </w:tc>
        <w:tc>
          <w:tcPr>
            <w:tcW w:w="1150" w:type="dxa"/>
            <w:tcBorders>
              <w:top w:val="nil"/>
              <w:left w:val="nil"/>
              <w:bottom w:val="nil"/>
              <w:right w:val="nil"/>
            </w:tcBorders>
            <w:vAlign w:val="bottom"/>
          </w:tcPr>
          <w:p w14:paraId="234289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3.563297</w:t>
            </w:r>
          </w:p>
        </w:tc>
        <w:tc>
          <w:tcPr>
            <w:tcW w:w="950" w:type="dxa"/>
            <w:tcBorders>
              <w:top w:val="nil"/>
              <w:left w:val="nil"/>
              <w:bottom w:val="nil"/>
              <w:right w:val="nil"/>
            </w:tcBorders>
            <w:vAlign w:val="bottom"/>
          </w:tcPr>
          <w:p w14:paraId="4A8E9B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0.0044</w:t>
            </w:r>
          </w:p>
        </w:tc>
      </w:tr>
      <w:tr w:rsidR="00EA38DE" w:rsidRPr="00EA38DE" w14:paraId="6E75D56C" w14:textId="77777777" w:rsidTr="009501B5">
        <w:trPr>
          <w:trHeight w:hRule="exact" w:val="88"/>
        </w:trPr>
        <w:tc>
          <w:tcPr>
            <w:tcW w:w="2120" w:type="dxa"/>
            <w:tcBorders>
              <w:top w:val="nil"/>
              <w:left w:val="nil"/>
              <w:bottom w:val="double" w:sz="6" w:space="2" w:color="auto"/>
              <w:right w:val="nil"/>
            </w:tcBorders>
            <w:vAlign w:val="bottom"/>
          </w:tcPr>
          <w:p w14:paraId="6C62CB7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52584E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B6778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B9966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6F134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245E93A" w14:textId="77777777" w:rsidTr="009501B5">
        <w:trPr>
          <w:trHeight w:hRule="exact" w:val="132"/>
        </w:trPr>
        <w:tc>
          <w:tcPr>
            <w:tcW w:w="2120" w:type="dxa"/>
            <w:tcBorders>
              <w:top w:val="nil"/>
              <w:left w:val="nil"/>
              <w:bottom w:val="nil"/>
              <w:right w:val="nil"/>
            </w:tcBorders>
            <w:vAlign w:val="bottom"/>
          </w:tcPr>
          <w:p w14:paraId="398992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DC766D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5C019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5A3BD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5A9E8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BDBCF33" w14:textId="77777777" w:rsidTr="009501B5">
        <w:trPr>
          <w:trHeight w:val="220"/>
        </w:trPr>
        <w:tc>
          <w:tcPr>
            <w:tcW w:w="6420" w:type="dxa"/>
            <w:gridSpan w:val="5"/>
            <w:tcBorders>
              <w:top w:val="nil"/>
              <w:left w:val="nil"/>
              <w:bottom w:val="nil"/>
              <w:right w:val="nil"/>
            </w:tcBorders>
            <w:vAlign w:val="bottom"/>
          </w:tcPr>
          <w:p w14:paraId="1F110AE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LCTP - (-6.6180*LDLNT  -0.0323*IFR + 3.7974*LLAB  -0.9093*LGR +</w:t>
            </w:r>
          </w:p>
        </w:tc>
      </w:tr>
      <w:tr w:rsidR="00EA38DE" w:rsidRPr="00EA38DE" w14:paraId="31C3B9D2" w14:textId="77777777" w:rsidTr="009501B5">
        <w:trPr>
          <w:trHeight w:val="220"/>
        </w:trPr>
        <w:tc>
          <w:tcPr>
            <w:tcW w:w="4320" w:type="dxa"/>
            <w:gridSpan w:val="3"/>
            <w:tcBorders>
              <w:top w:val="nil"/>
              <w:left w:val="nil"/>
              <w:bottom w:val="nil"/>
              <w:right w:val="nil"/>
            </w:tcBorders>
            <w:vAlign w:val="bottom"/>
          </w:tcPr>
          <w:p w14:paraId="6AA8D9D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0.3988*TRF )</w:t>
            </w:r>
          </w:p>
        </w:tc>
        <w:tc>
          <w:tcPr>
            <w:tcW w:w="1150" w:type="dxa"/>
            <w:tcBorders>
              <w:top w:val="nil"/>
              <w:left w:val="nil"/>
              <w:bottom w:val="nil"/>
              <w:right w:val="nil"/>
            </w:tcBorders>
            <w:vAlign w:val="bottom"/>
          </w:tcPr>
          <w:p w14:paraId="6AB96F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6E672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56F618" w14:textId="77777777" w:rsidTr="009501B5">
        <w:trPr>
          <w:trHeight w:hRule="exact" w:val="88"/>
        </w:trPr>
        <w:tc>
          <w:tcPr>
            <w:tcW w:w="2120" w:type="dxa"/>
            <w:tcBorders>
              <w:top w:val="nil"/>
              <w:left w:val="nil"/>
              <w:bottom w:val="double" w:sz="6" w:space="0" w:color="auto"/>
              <w:right w:val="nil"/>
            </w:tcBorders>
            <w:vAlign w:val="bottom"/>
          </w:tcPr>
          <w:p w14:paraId="3CBC89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280329E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C6A50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5A83E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127C08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347BF03" w14:textId="77777777" w:rsidTr="009501B5">
        <w:trPr>
          <w:trHeight w:hRule="exact" w:val="132"/>
        </w:trPr>
        <w:tc>
          <w:tcPr>
            <w:tcW w:w="2120" w:type="dxa"/>
            <w:tcBorders>
              <w:top w:val="nil"/>
              <w:left w:val="nil"/>
              <w:bottom w:val="nil"/>
              <w:right w:val="nil"/>
            </w:tcBorders>
            <w:vAlign w:val="bottom"/>
          </w:tcPr>
          <w:p w14:paraId="122BD0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5DE70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185CEB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55775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73EE7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7277952D" w14:textId="77777777" w:rsidR="003C6B00" w:rsidRPr="00EA38DE" w:rsidRDefault="003C6B00" w:rsidP="003C6B00">
      <w:r w:rsidRPr="00EA38DE">
        <w:rPr>
          <w:rFonts w:ascii="Arial" w:hAnsi="Arial" w:cs="Arial"/>
          <w:sz w:val="18"/>
          <w:szCs w:val="18"/>
        </w:rPr>
        <w:br/>
      </w:r>
    </w:p>
    <w:p w14:paraId="70A2DD4D" w14:textId="77777777" w:rsidR="003C6B00" w:rsidRPr="00EA38DE" w:rsidRDefault="003C6B00" w:rsidP="003C6B00"/>
    <w:p w14:paraId="3310D0C7" w14:textId="77777777" w:rsidR="003C6B00" w:rsidRPr="00EA38DE" w:rsidRDefault="003C6B00" w:rsidP="003C6B00"/>
    <w:p w14:paraId="7DEBC0F0" w14:textId="77777777" w:rsidR="00C26BF7" w:rsidRPr="00EA38DE" w:rsidRDefault="00C26BF7" w:rsidP="003C6B00"/>
    <w:p w14:paraId="27263B3C"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294FE6E2" w14:textId="77777777" w:rsidTr="009501B5">
        <w:trPr>
          <w:trHeight w:val="220"/>
        </w:trPr>
        <w:tc>
          <w:tcPr>
            <w:tcW w:w="6420" w:type="dxa"/>
            <w:gridSpan w:val="5"/>
            <w:tcBorders>
              <w:top w:val="nil"/>
              <w:left w:val="nil"/>
              <w:bottom w:val="nil"/>
              <w:right w:val="nil"/>
            </w:tcBorders>
            <w:vAlign w:val="bottom"/>
          </w:tcPr>
          <w:p w14:paraId="00BB379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ARDL Error Correction Regression</w:t>
            </w:r>
          </w:p>
        </w:tc>
      </w:tr>
      <w:tr w:rsidR="00EA38DE" w:rsidRPr="00EA38DE" w14:paraId="4DF4B1DD" w14:textId="77777777" w:rsidTr="009501B5">
        <w:trPr>
          <w:trHeight w:val="220"/>
        </w:trPr>
        <w:tc>
          <w:tcPr>
            <w:tcW w:w="5470" w:type="dxa"/>
            <w:gridSpan w:val="4"/>
            <w:tcBorders>
              <w:top w:val="nil"/>
              <w:left w:val="nil"/>
              <w:bottom w:val="nil"/>
              <w:right w:val="nil"/>
            </w:tcBorders>
            <w:vAlign w:val="bottom"/>
          </w:tcPr>
          <w:p w14:paraId="795935D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D(LCTP)</w:t>
            </w:r>
          </w:p>
        </w:tc>
        <w:tc>
          <w:tcPr>
            <w:tcW w:w="950" w:type="dxa"/>
            <w:tcBorders>
              <w:top w:val="nil"/>
              <w:left w:val="nil"/>
              <w:bottom w:val="nil"/>
              <w:right w:val="nil"/>
            </w:tcBorders>
            <w:vAlign w:val="bottom"/>
          </w:tcPr>
          <w:p w14:paraId="6E7307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A9414F3" w14:textId="77777777" w:rsidTr="009501B5">
        <w:trPr>
          <w:trHeight w:val="220"/>
        </w:trPr>
        <w:tc>
          <w:tcPr>
            <w:tcW w:w="6420" w:type="dxa"/>
            <w:gridSpan w:val="5"/>
            <w:tcBorders>
              <w:top w:val="nil"/>
              <w:left w:val="nil"/>
              <w:bottom w:val="nil"/>
              <w:right w:val="nil"/>
            </w:tcBorders>
            <w:vAlign w:val="bottom"/>
          </w:tcPr>
          <w:p w14:paraId="3F5853C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ARDL(1, 3, 3, 3, 3, 1)</w:t>
            </w:r>
          </w:p>
        </w:tc>
      </w:tr>
      <w:tr w:rsidR="00EA38DE" w:rsidRPr="00EA38DE" w14:paraId="08B4FCF9" w14:textId="77777777" w:rsidTr="009501B5">
        <w:trPr>
          <w:trHeight w:val="220"/>
        </w:trPr>
        <w:tc>
          <w:tcPr>
            <w:tcW w:w="6420" w:type="dxa"/>
            <w:gridSpan w:val="5"/>
            <w:tcBorders>
              <w:top w:val="nil"/>
              <w:left w:val="nil"/>
              <w:bottom w:val="nil"/>
              <w:right w:val="nil"/>
            </w:tcBorders>
            <w:vAlign w:val="bottom"/>
          </w:tcPr>
          <w:p w14:paraId="5DF4859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391EE6A5" w14:textId="77777777" w:rsidTr="009501B5">
        <w:trPr>
          <w:trHeight w:val="220"/>
        </w:trPr>
        <w:tc>
          <w:tcPr>
            <w:tcW w:w="5470" w:type="dxa"/>
            <w:gridSpan w:val="4"/>
            <w:tcBorders>
              <w:top w:val="nil"/>
              <w:left w:val="nil"/>
              <w:bottom w:val="nil"/>
              <w:right w:val="nil"/>
            </w:tcBorders>
            <w:vAlign w:val="bottom"/>
          </w:tcPr>
          <w:p w14:paraId="2259822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10:29</w:t>
            </w:r>
          </w:p>
        </w:tc>
        <w:tc>
          <w:tcPr>
            <w:tcW w:w="950" w:type="dxa"/>
            <w:tcBorders>
              <w:top w:val="nil"/>
              <w:left w:val="nil"/>
              <w:bottom w:val="nil"/>
              <w:right w:val="nil"/>
            </w:tcBorders>
            <w:vAlign w:val="bottom"/>
          </w:tcPr>
          <w:p w14:paraId="5EE2AD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FC80A0A" w14:textId="77777777" w:rsidTr="009501B5">
        <w:trPr>
          <w:trHeight w:val="220"/>
        </w:trPr>
        <w:tc>
          <w:tcPr>
            <w:tcW w:w="4320" w:type="dxa"/>
            <w:gridSpan w:val="3"/>
            <w:tcBorders>
              <w:top w:val="nil"/>
              <w:left w:val="nil"/>
              <w:bottom w:val="nil"/>
              <w:right w:val="nil"/>
            </w:tcBorders>
            <w:vAlign w:val="bottom"/>
          </w:tcPr>
          <w:p w14:paraId="71831DF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4E212D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9EBA2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7A6445" w14:textId="77777777" w:rsidTr="009501B5">
        <w:trPr>
          <w:trHeight w:val="220"/>
        </w:trPr>
        <w:tc>
          <w:tcPr>
            <w:tcW w:w="5470" w:type="dxa"/>
            <w:gridSpan w:val="4"/>
            <w:tcBorders>
              <w:top w:val="nil"/>
              <w:left w:val="nil"/>
              <w:bottom w:val="nil"/>
              <w:right w:val="nil"/>
            </w:tcBorders>
            <w:vAlign w:val="bottom"/>
          </w:tcPr>
          <w:p w14:paraId="0835DD0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32</w:t>
            </w:r>
          </w:p>
        </w:tc>
        <w:tc>
          <w:tcPr>
            <w:tcW w:w="950" w:type="dxa"/>
            <w:tcBorders>
              <w:top w:val="nil"/>
              <w:left w:val="nil"/>
              <w:bottom w:val="nil"/>
              <w:right w:val="nil"/>
            </w:tcBorders>
            <w:vAlign w:val="bottom"/>
          </w:tcPr>
          <w:p w14:paraId="156E17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4EB717A" w14:textId="77777777" w:rsidTr="009501B5">
        <w:trPr>
          <w:trHeight w:hRule="exact" w:val="88"/>
        </w:trPr>
        <w:tc>
          <w:tcPr>
            <w:tcW w:w="2120" w:type="dxa"/>
            <w:tcBorders>
              <w:top w:val="nil"/>
              <w:left w:val="nil"/>
              <w:bottom w:val="double" w:sz="6" w:space="2" w:color="auto"/>
              <w:right w:val="nil"/>
            </w:tcBorders>
            <w:vAlign w:val="bottom"/>
          </w:tcPr>
          <w:p w14:paraId="61657A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D1EBB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F1284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45F28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19BE6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582A957" w14:textId="77777777" w:rsidTr="009501B5">
        <w:trPr>
          <w:trHeight w:hRule="exact" w:val="132"/>
        </w:trPr>
        <w:tc>
          <w:tcPr>
            <w:tcW w:w="2120" w:type="dxa"/>
            <w:tcBorders>
              <w:top w:val="nil"/>
              <w:left w:val="nil"/>
              <w:bottom w:val="nil"/>
              <w:right w:val="nil"/>
            </w:tcBorders>
            <w:vAlign w:val="bottom"/>
          </w:tcPr>
          <w:p w14:paraId="276D17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F3072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098F7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757CF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EC924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BB898EA" w14:textId="77777777" w:rsidTr="009501B5">
        <w:trPr>
          <w:trHeight w:val="220"/>
        </w:trPr>
        <w:tc>
          <w:tcPr>
            <w:tcW w:w="6420" w:type="dxa"/>
            <w:gridSpan w:val="5"/>
            <w:tcBorders>
              <w:top w:val="nil"/>
              <w:left w:val="nil"/>
              <w:bottom w:val="nil"/>
              <w:right w:val="nil"/>
            </w:tcBorders>
            <w:vAlign w:val="bottom"/>
          </w:tcPr>
          <w:p w14:paraId="70A742B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4D5EA628" w14:textId="77777777" w:rsidTr="009501B5">
        <w:trPr>
          <w:trHeight w:val="220"/>
        </w:trPr>
        <w:tc>
          <w:tcPr>
            <w:tcW w:w="6420" w:type="dxa"/>
            <w:gridSpan w:val="5"/>
            <w:tcBorders>
              <w:top w:val="nil"/>
              <w:left w:val="nil"/>
              <w:bottom w:val="nil"/>
              <w:right w:val="nil"/>
            </w:tcBorders>
            <w:vAlign w:val="bottom"/>
          </w:tcPr>
          <w:p w14:paraId="53CF28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5: Unrestricted Constant and Unrestricted Trend</w:t>
            </w:r>
          </w:p>
        </w:tc>
      </w:tr>
      <w:tr w:rsidR="00EA38DE" w:rsidRPr="00EA38DE" w14:paraId="48150A21" w14:textId="77777777" w:rsidTr="009501B5">
        <w:trPr>
          <w:trHeight w:hRule="exact" w:val="88"/>
        </w:trPr>
        <w:tc>
          <w:tcPr>
            <w:tcW w:w="2120" w:type="dxa"/>
            <w:tcBorders>
              <w:top w:val="nil"/>
              <w:left w:val="nil"/>
              <w:bottom w:val="double" w:sz="6" w:space="2" w:color="auto"/>
              <w:right w:val="nil"/>
            </w:tcBorders>
            <w:vAlign w:val="bottom"/>
          </w:tcPr>
          <w:p w14:paraId="431935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92682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5585E6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A297C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496CB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78AC632" w14:textId="77777777" w:rsidTr="009501B5">
        <w:trPr>
          <w:trHeight w:hRule="exact" w:val="132"/>
        </w:trPr>
        <w:tc>
          <w:tcPr>
            <w:tcW w:w="2120" w:type="dxa"/>
            <w:tcBorders>
              <w:top w:val="nil"/>
              <w:left w:val="nil"/>
              <w:bottom w:val="nil"/>
              <w:right w:val="nil"/>
            </w:tcBorders>
            <w:vAlign w:val="bottom"/>
          </w:tcPr>
          <w:p w14:paraId="6A3276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CFC80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DDCB18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693A8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9B2B3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1C9461D" w14:textId="77777777" w:rsidTr="009501B5">
        <w:trPr>
          <w:trHeight w:val="220"/>
        </w:trPr>
        <w:tc>
          <w:tcPr>
            <w:tcW w:w="2120" w:type="dxa"/>
            <w:tcBorders>
              <w:top w:val="nil"/>
              <w:left w:val="nil"/>
              <w:bottom w:val="nil"/>
              <w:right w:val="nil"/>
            </w:tcBorders>
            <w:vAlign w:val="bottom"/>
          </w:tcPr>
          <w:p w14:paraId="31E23D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4F6DF4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4836947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70EA8BB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70FF00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7938D78A" w14:textId="77777777" w:rsidTr="009501B5">
        <w:trPr>
          <w:trHeight w:hRule="exact" w:val="88"/>
        </w:trPr>
        <w:tc>
          <w:tcPr>
            <w:tcW w:w="2120" w:type="dxa"/>
            <w:tcBorders>
              <w:top w:val="nil"/>
              <w:left w:val="nil"/>
              <w:bottom w:val="double" w:sz="6" w:space="2" w:color="auto"/>
              <w:right w:val="nil"/>
            </w:tcBorders>
            <w:vAlign w:val="bottom"/>
          </w:tcPr>
          <w:p w14:paraId="21937D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24690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82481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B9B77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64B7E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300A79D" w14:textId="77777777" w:rsidTr="009501B5">
        <w:trPr>
          <w:trHeight w:hRule="exact" w:val="132"/>
        </w:trPr>
        <w:tc>
          <w:tcPr>
            <w:tcW w:w="2120" w:type="dxa"/>
            <w:tcBorders>
              <w:top w:val="nil"/>
              <w:left w:val="nil"/>
              <w:bottom w:val="nil"/>
              <w:right w:val="nil"/>
            </w:tcBorders>
            <w:vAlign w:val="bottom"/>
          </w:tcPr>
          <w:p w14:paraId="14B1B0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FC2C5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E158E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BF666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6C7331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A2D3E17" w14:textId="77777777" w:rsidTr="009501B5">
        <w:trPr>
          <w:trHeight w:val="220"/>
        </w:trPr>
        <w:tc>
          <w:tcPr>
            <w:tcW w:w="2120" w:type="dxa"/>
            <w:tcBorders>
              <w:top w:val="nil"/>
              <w:left w:val="nil"/>
              <w:bottom w:val="nil"/>
              <w:right w:val="nil"/>
            </w:tcBorders>
            <w:vAlign w:val="bottom"/>
          </w:tcPr>
          <w:p w14:paraId="2B2B28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31B1F12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26.73497</w:t>
            </w:r>
          </w:p>
        </w:tc>
        <w:tc>
          <w:tcPr>
            <w:tcW w:w="1150" w:type="dxa"/>
            <w:tcBorders>
              <w:top w:val="nil"/>
              <w:left w:val="nil"/>
              <w:bottom w:val="nil"/>
              <w:right w:val="nil"/>
            </w:tcBorders>
            <w:vAlign w:val="bottom"/>
          </w:tcPr>
          <w:p w14:paraId="127D9A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3.619465</w:t>
            </w:r>
          </w:p>
        </w:tc>
        <w:tc>
          <w:tcPr>
            <w:tcW w:w="1150" w:type="dxa"/>
            <w:tcBorders>
              <w:top w:val="nil"/>
              <w:left w:val="nil"/>
              <w:bottom w:val="nil"/>
              <w:right w:val="nil"/>
            </w:tcBorders>
            <w:vAlign w:val="bottom"/>
          </w:tcPr>
          <w:p w14:paraId="7799E39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7.386442</w:t>
            </w:r>
          </w:p>
        </w:tc>
        <w:tc>
          <w:tcPr>
            <w:tcW w:w="950" w:type="dxa"/>
            <w:tcBorders>
              <w:top w:val="nil"/>
              <w:left w:val="nil"/>
              <w:bottom w:val="nil"/>
              <w:right w:val="nil"/>
            </w:tcBorders>
            <w:vAlign w:val="bottom"/>
          </w:tcPr>
          <w:p w14:paraId="65BE22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59D47CCE" w14:textId="77777777" w:rsidTr="009501B5">
        <w:trPr>
          <w:trHeight w:val="220"/>
        </w:trPr>
        <w:tc>
          <w:tcPr>
            <w:tcW w:w="2120" w:type="dxa"/>
            <w:tcBorders>
              <w:top w:val="nil"/>
              <w:left w:val="nil"/>
              <w:bottom w:val="nil"/>
              <w:right w:val="nil"/>
            </w:tcBorders>
            <w:vAlign w:val="bottom"/>
          </w:tcPr>
          <w:p w14:paraId="44B3CB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@TREND</w:t>
            </w:r>
          </w:p>
        </w:tc>
        <w:tc>
          <w:tcPr>
            <w:tcW w:w="1050" w:type="dxa"/>
            <w:tcBorders>
              <w:top w:val="nil"/>
              <w:left w:val="nil"/>
              <w:bottom w:val="nil"/>
              <w:right w:val="nil"/>
            </w:tcBorders>
            <w:vAlign w:val="bottom"/>
          </w:tcPr>
          <w:p w14:paraId="408E059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0.085206</w:t>
            </w:r>
          </w:p>
        </w:tc>
        <w:tc>
          <w:tcPr>
            <w:tcW w:w="1150" w:type="dxa"/>
            <w:tcBorders>
              <w:top w:val="nil"/>
              <w:left w:val="nil"/>
              <w:bottom w:val="nil"/>
              <w:right w:val="nil"/>
            </w:tcBorders>
            <w:vAlign w:val="bottom"/>
          </w:tcPr>
          <w:p w14:paraId="2379DC1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0.011806</w:t>
            </w:r>
          </w:p>
        </w:tc>
        <w:tc>
          <w:tcPr>
            <w:tcW w:w="1150" w:type="dxa"/>
            <w:tcBorders>
              <w:top w:val="nil"/>
              <w:left w:val="nil"/>
              <w:bottom w:val="nil"/>
              <w:right w:val="nil"/>
            </w:tcBorders>
            <w:vAlign w:val="bottom"/>
          </w:tcPr>
          <w:p w14:paraId="14FCE42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7.216934</w:t>
            </w:r>
          </w:p>
        </w:tc>
        <w:tc>
          <w:tcPr>
            <w:tcW w:w="950" w:type="dxa"/>
            <w:tcBorders>
              <w:top w:val="nil"/>
              <w:left w:val="nil"/>
              <w:bottom w:val="nil"/>
              <w:right w:val="nil"/>
            </w:tcBorders>
            <w:vAlign w:val="bottom"/>
          </w:tcPr>
          <w:p w14:paraId="44C878F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18F022B5" w14:textId="77777777" w:rsidTr="009501B5">
        <w:trPr>
          <w:trHeight w:val="220"/>
        </w:trPr>
        <w:tc>
          <w:tcPr>
            <w:tcW w:w="2120" w:type="dxa"/>
            <w:tcBorders>
              <w:top w:val="nil"/>
              <w:left w:val="nil"/>
              <w:bottom w:val="nil"/>
              <w:right w:val="nil"/>
            </w:tcBorders>
            <w:vAlign w:val="bottom"/>
          </w:tcPr>
          <w:p w14:paraId="47C4E1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w:t>
            </w:r>
          </w:p>
        </w:tc>
        <w:tc>
          <w:tcPr>
            <w:tcW w:w="1050" w:type="dxa"/>
            <w:tcBorders>
              <w:top w:val="nil"/>
              <w:left w:val="nil"/>
              <w:bottom w:val="nil"/>
              <w:right w:val="nil"/>
            </w:tcBorders>
            <w:vAlign w:val="bottom"/>
          </w:tcPr>
          <w:p w14:paraId="66FB618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-0.834638</w:t>
            </w:r>
          </w:p>
        </w:tc>
        <w:tc>
          <w:tcPr>
            <w:tcW w:w="1150" w:type="dxa"/>
            <w:tcBorders>
              <w:top w:val="nil"/>
              <w:left w:val="nil"/>
              <w:bottom w:val="nil"/>
              <w:right w:val="nil"/>
            </w:tcBorders>
            <w:vAlign w:val="bottom"/>
          </w:tcPr>
          <w:p w14:paraId="54D8764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0.226507</w:t>
            </w:r>
          </w:p>
        </w:tc>
        <w:tc>
          <w:tcPr>
            <w:tcW w:w="1150" w:type="dxa"/>
            <w:tcBorders>
              <w:top w:val="nil"/>
              <w:left w:val="nil"/>
              <w:bottom w:val="nil"/>
              <w:right w:val="nil"/>
            </w:tcBorders>
            <w:vAlign w:val="bottom"/>
          </w:tcPr>
          <w:p w14:paraId="0F3DF7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-3.684823</w:t>
            </w:r>
          </w:p>
        </w:tc>
        <w:tc>
          <w:tcPr>
            <w:tcW w:w="950" w:type="dxa"/>
            <w:tcBorders>
              <w:top w:val="nil"/>
              <w:left w:val="nil"/>
              <w:bottom w:val="nil"/>
              <w:right w:val="nil"/>
            </w:tcBorders>
            <w:vAlign w:val="bottom"/>
          </w:tcPr>
          <w:p w14:paraId="575953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0.0036</w:t>
            </w:r>
          </w:p>
        </w:tc>
      </w:tr>
      <w:tr w:rsidR="00EA38DE" w:rsidRPr="00EA38DE" w14:paraId="578C4A78" w14:textId="77777777" w:rsidTr="009501B5">
        <w:trPr>
          <w:trHeight w:val="220"/>
        </w:trPr>
        <w:tc>
          <w:tcPr>
            <w:tcW w:w="2120" w:type="dxa"/>
            <w:tcBorders>
              <w:top w:val="nil"/>
              <w:left w:val="nil"/>
              <w:bottom w:val="nil"/>
              <w:right w:val="nil"/>
            </w:tcBorders>
            <w:vAlign w:val="bottom"/>
          </w:tcPr>
          <w:p w14:paraId="4F7047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D(LDLNT(-1))</w:t>
            </w:r>
          </w:p>
        </w:tc>
        <w:tc>
          <w:tcPr>
            <w:tcW w:w="1050" w:type="dxa"/>
            <w:tcBorders>
              <w:top w:val="nil"/>
              <w:left w:val="nil"/>
              <w:bottom w:val="nil"/>
              <w:right w:val="nil"/>
            </w:tcBorders>
            <w:vAlign w:val="bottom"/>
          </w:tcPr>
          <w:p w14:paraId="217AB47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1.715465</w:t>
            </w:r>
          </w:p>
        </w:tc>
        <w:tc>
          <w:tcPr>
            <w:tcW w:w="1150" w:type="dxa"/>
            <w:tcBorders>
              <w:top w:val="nil"/>
              <w:left w:val="nil"/>
              <w:bottom w:val="nil"/>
              <w:right w:val="nil"/>
            </w:tcBorders>
            <w:vAlign w:val="bottom"/>
          </w:tcPr>
          <w:p w14:paraId="7B69A29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0.243329</w:t>
            </w:r>
          </w:p>
        </w:tc>
        <w:tc>
          <w:tcPr>
            <w:tcW w:w="1150" w:type="dxa"/>
            <w:tcBorders>
              <w:top w:val="nil"/>
              <w:left w:val="nil"/>
              <w:bottom w:val="nil"/>
              <w:right w:val="nil"/>
            </w:tcBorders>
            <w:vAlign w:val="bottom"/>
          </w:tcPr>
          <w:p w14:paraId="1E8FCD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7.049990</w:t>
            </w:r>
          </w:p>
        </w:tc>
        <w:tc>
          <w:tcPr>
            <w:tcW w:w="950" w:type="dxa"/>
            <w:tcBorders>
              <w:top w:val="nil"/>
              <w:left w:val="nil"/>
              <w:bottom w:val="nil"/>
              <w:right w:val="nil"/>
            </w:tcBorders>
            <w:vAlign w:val="bottom"/>
          </w:tcPr>
          <w:p w14:paraId="0DC4F23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18D41BCD" w14:textId="77777777" w:rsidTr="009501B5">
        <w:trPr>
          <w:trHeight w:val="220"/>
        </w:trPr>
        <w:tc>
          <w:tcPr>
            <w:tcW w:w="2120" w:type="dxa"/>
            <w:tcBorders>
              <w:top w:val="nil"/>
              <w:left w:val="nil"/>
              <w:bottom w:val="nil"/>
              <w:right w:val="nil"/>
            </w:tcBorders>
            <w:vAlign w:val="bottom"/>
          </w:tcPr>
          <w:p w14:paraId="3C11C3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D(LDLNT(-2))</w:t>
            </w:r>
          </w:p>
        </w:tc>
        <w:tc>
          <w:tcPr>
            <w:tcW w:w="1050" w:type="dxa"/>
            <w:tcBorders>
              <w:top w:val="nil"/>
              <w:left w:val="nil"/>
              <w:bottom w:val="nil"/>
              <w:right w:val="nil"/>
            </w:tcBorders>
            <w:vAlign w:val="bottom"/>
          </w:tcPr>
          <w:p w14:paraId="1082DA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1.411544</w:t>
            </w:r>
          </w:p>
        </w:tc>
        <w:tc>
          <w:tcPr>
            <w:tcW w:w="1150" w:type="dxa"/>
            <w:tcBorders>
              <w:top w:val="nil"/>
              <w:left w:val="nil"/>
              <w:bottom w:val="nil"/>
              <w:right w:val="nil"/>
            </w:tcBorders>
            <w:vAlign w:val="bottom"/>
          </w:tcPr>
          <w:p w14:paraId="06FDB48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0.215260</w:t>
            </w:r>
          </w:p>
        </w:tc>
        <w:tc>
          <w:tcPr>
            <w:tcW w:w="1150" w:type="dxa"/>
            <w:tcBorders>
              <w:top w:val="nil"/>
              <w:left w:val="nil"/>
              <w:bottom w:val="nil"/>
              <w:right w:val="nil"/>
            </w:tcBorders>
            <w:vAlign w:val="bottom"/>
          </w:tcPr>
          <w:p w14:paraId="4E03A93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6.557382</w:t>
            </w:r>
          </w:p>
        </w:tc>
        <w:tc>
          <w:tcPr>
            <w:tcW w:w="950" w:type="dxa"/>
            <w:tcBorders>
              <w:top w:val="nil"/>
              <w:left w:val="nil"/>
              <w:bottom w:val="nil"/>
              <w:right w:val="nil"/>
            </w:tcBorders>
            <w:vAlign w:val="bottom"/>
          </w:tcPr>
          <w:p w14:paraId="7D7F545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43A5FBF8" w14:textId="77777777" w:rsidTr="009501B5">
        <w:trPr>
          <w:trHeight w:val="220"/>
        </w:trPr>
        <w:tc>
          <w:tcPr>
            <w:tcW w:w="2120" w:type="dxa"/>
            <w:tcBorders>
              <w:top w:val="nil"/>
              <w:left w:val="nil"/>
              <w:bottom w:val="nil"/>
              <w:right w:val="nil"/>
            </w:tcBorders>
            <w:vAlign w:val="bottom"/>
          </w:tcPr>
          <w:p w14:paraId="1C3B3A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27514DF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-0.006023</w:t>
            </w:r>
          </w:p>
        </w:tc>
        <w:tc>
          <w:tcPr>
            <w:tcW w:w="1150" w:type="dxa"/>
            <w:tcBorders>
              <w:top w:val="nil"/>
              <w:left w:val="nil"/>
              <w:bottom w:val="nil"/>
              <w:right w:val="nil"/>
            </w:tcBorders>
            <w:vAlign w:val="bottom"/>
          </w:tcPr>
          <w:p w14:paraId="75283CA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0.001813</w:t>
            </w:r>
          </w:p>
        </w:tc>
        <w:tc>
          <w:tcPr>
            <w:tcW w:w="1150" w:type="dxa"/>
            <w:tcBorders>
              <w:top w:val="nil"/>
              <w:left w:val="nil"/>
              <w:bottom w:val="nil"/>
              <w:right w:val="nil"/>
            </w:tcBorders>
            <w:vAlign w:val="bottom"/>
          </w:tcPr>
          <w:p w14:paraId="23AC3A5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-3.322524</w:t>
            </w:r>
          </w:p>
        </w:tc>
        <w:tc>
          <w:tcPr>
            <w:tcW w:w="950" w:type="dxa"/>
            <w:tcBorders>
              <w:top w:val="nil"/>
              <w:left w:val="nil"/>
              <w:bottom w:val="nil"/>
              <w:right w:val="nil"/>
            </w:tcBorders>
            <w:vAlign w:val="bottom"/>
          </w:tcPr>
          <w:p w14:paraId="2147341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0.0068</w:t>
            </w:r>
          </w:p>
        </w:tc>
      </w:tr>
      <w:tr w:rsidR="00EA38DE" w:rsidRPr="00EA38DE" w14:paraId="14B1318D" w14:textId="77777777" w:rsidTr="009501B5">
        <w:trPr>
          <w:trHeight w:val="220"/>
        </w:trPr>
        <w:tc>
          <w:tcPr>
            <w:tcW w:w="2120" w:type="dxa"/>
            <w:tcBorders>
              <w:top w:val="nil"/>
              <w:left w:val="nil"/>
              <w:bottom w:val="nil"/>
              <w:right w:val="nil"/>
            </w:tcBorders>
            <w:vAlign w:val="bottom"/>
          </w:tcPr>
          <w:p w14:paraId="51C039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567D00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0.011705</w:t>
            </w:r>
          </w:p>
        </w:tc>
        <w:tc>
          <w:tcPr>
            <w:tcW w:w="1150" w:type="dxa"/>
            <w:tcBorders>
              <w:top w:val="nil"/>
              <w:left w:val="nil"/>
              <w:bottom w:val="nil"/>
              <w:right w:val="nil"/>
            </w:tcBorders>
            <w:vAlign w:val="bottom"/>
          </w:tcPr>
          <w:p w14:paraId="1482DF4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0.001943</w:t>
            </w:r>
          </w:p>
        </w:tc>
        <w:tc>
          <w:tcPr>
            <w:tcW w:w="1150" w:type="dxa"/>
            <w:tcBorders>
              <w:top w:val="nil"/>
              <w:left w:val="nil"/>
              <w:bottom w:val="nil"/>
              <w:right w:val="nil"/>
            </w:tcBorders>
            <w:vAlign w:val="bottom"/>
          </w:tcPr>
          <w:p w14:paraId="7BBB65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6.024822</w:t>
            </w:r>
          </w:p>
        </w:tc>
        <w:tc>
          <w:tcPr>
            <w:tcW w:w="950" w:type="dxa"/>
            <w:tcBorders>
              <w:top w:val="nil"/>
              <w:left w:val="nil"/>
              <w:bottom w:val="nil"/>
              <w:right w:val="nil"/>
            </w:tcBorders>
            <w:vAlign w:val="bottom"/>
          </w:tcPr>
          <w:p w14:paraId="5F2B218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4CC56913" w14:textId="77777777" w:rsidTr="009501B5">
        <w:trPr>
          <w:trHeight w:val="220"/>
        </w:trPr>
        <w:tc>
          <w:tcPr>
            <w:tcW w:w="2120" w:type="dxa"/>
            <w:tcBorders>
              <w:top w:val="nil"/>
              <w:left w:val="nil"/>
              <w:bottom w:val="nil"/>
              <w:right w:val="nil"/>
            </w:tcBorders>
            <w:vAlign w:val="bottom"/>
          </w:tcPr>
          <w:p w14:paraId="6CC69F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D(IFR(-2))</w:t>
            </w:r>
          </w:p>
        </w:tc>
        <w:tc>
          <w:tcPr>
            <w:tcW w:w="1050" w:type="dxa"/>
            <w:tcBorders>
              <w:top w:val="nil"/>
              <w:left w:val="nil"/>
              <w:bottom w:val="nil"/>
              <w:right w:val="nil"/>
            </w:tcBorders>
            <w:vAlign w:val="bottom"/>
          </w:tcPr>
          <w:p w14:paraId="1AF404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0.007426</w:t>
            </w:r>
          </w:p>
        </w:tc>
        <w:tc>
          <w:tcPr>
            <w:tcW w:w="1150" w:type="dxa"/>
            <w:tcBorders>
              <w:top w:val="nil"/>
              <w:left w:val="nil"/>
              <w:bottom w:val="nil"/>
              <w:right w:val="nil"/>
            </w:tcBorders>
            <w:vAlign w:val="bottom"/>
          </w:tcPr>
          <w:p w14:paraId="1E64260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0.001350</w:t>
            </w:r>
          </w:p>
        </w:tc>
        <w:tc>
          <w:tcPr>
            <w:tcW w:w="1150" w:type="dxa"/>
            <w:tcBorders>
              <w:top w:val="nil"/>
              <w:left w:val="nil"/>
              <w:bottom w:val="nil"/>
              <w:right w:val="nil"/>
            </w:tcBorders>
            <w:vAlign w:val="bottom"/>
          </w:tcPr>
          <w:p w14:paraId="0312E74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5.499205</w:t>
            </w:r>
          </w:p>
        </w:tc>
        <w:tc>
          <w:tcPr>
            <w:tcW w:w="950" w:type="dxa"/>
            <w:tcBorders>
              <w:top w:val="nil"/>
              <w:left w:val="nil"/>
              <w:bottom w:val="nil"/>
              <w:right w:val="nil"/>
            </w:tcBorders>
            <w:vAlign w:val="bottom"/>
          </w:tcPr>
          <w:p w14:paraId="074067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1F982C8E" w14:textId="77777777" w:rsidTr="009501B5">
        <w:trPr>
          <w:trHeight w:val="220"/>
        </w:trPr>
        <w:tc>
          <w:tcPr>
            <w:tcW w:w="2120" w:type="dxa"/>
            <w:tcBorders>
              <w:top w:val="nil"/>
              <w:left w:val="nil"/>
              <w:bottom w:val="nil"/>
              <w:right w:val="nil"/>
            </w:tcBorders>
            <w:vAlign w:val="bottom"/>
          </w:tcPr>
          <w:p w14:paraId="4C5CED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241184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-7.094345</w:t>
            </w:r>
          </w:p>
        </w:tc>
        <w:tc>
          <w:tcPr>
            <w:tcW w:w="1150" w:type="dxa"/>
            <w:tcBorders>
              <w:top w:val="nil"/>
              <w:left w:val="nil"/>
              <w:bottom w:val="nil"/>
              <w:right w:val="nil"/>
            </w:tcBorders>
            <w:vAlign w:val="bottom"/>
          </w:tcPr>
          <w:p w14:paraId="4F03B4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1.238362</w:t>
            </w:r>
          </w:p>
        </w:tc>
        <w:tc>
          <w:tcPr>
            <w:tcW w:w="1150" w:type="dxa"/>
            <w:tcBorders>
              <w:top w:val="nil"/>
              <w:left w:val="nil"/>
              <w:bottom w:val="nil"/>
              <w:right w:val="nil"/>
            </w:tcBorders>
            <w:vAlign w:val="bottom"/>
          </w:tcPr>
          <w:p w14:paraId="5C1F1B9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-5.728816</w:t>
            </w:r>
          </w:p>
        </w:tc>
        <w:tc>
          <w:tcPr>
            <w:tcW w:w="950" w:type="dxa"/>
            <w:tcBorders>
              <w:top w:val="nil"/>
              <w:left w:val="nil"/>
              <w:bottom w:val="nil"/>
              <w:right w:val="nil"/>
            </w:tcBorders>
            <w:vAlign w:val="bottom"/>
          </w:tcPr>
          <w:p w14:paraId="3071FA3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0.0001</w:t>
            </w:r>
          </w:p>
        </w:tc>
      </w:tr>
      <w:tr w:rsidR="00EA38DE" w:rsidRPr="00EA38DE" w14:paraId="37A62B3F" w14:textId="77777777" w:rsidTr="009501B5">
        <w:trPr>
          <w:trHeight w:val="220"/>
        </w:trPr>
        <w:tc>
          <w:tcPr>
            <w:tcW w:w="2120" w:type="dxa"/>
            <w:tcBorders>
              <w:top w:val="nil"/>
              <w:left w:val="nil"/>
              <w:bottom w:val="nil"/>
              <w:right w:val="nil"/>
            </w:tcBorders>
            <w:vAlign w:val="bottom"/>
          </w:tcPr>
          <w:p w14:paraId="2BF1F5A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7C6954F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19.72265</w:t>
            </w:r>
          </w:p>
        </w:tc>
        <w:tc>
          <w:tcPr>
            <w:tcW w:w="1150" w:type="dxa"/>
            <w:tcBorders>
              <w:top w:val="nil"/>
              <w:left w:val="nil"/>
              <w:bottom w:val="nil"/>
              <w:right w:val="nil"/>
            </w:tcBorders>
            <w:vAlign w:val="bottom"/>
          </w:tcPr>
          <w:p w14:paraId="6FEC7C8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7.356719</w:t>
            </w:r>
          </w:p>
        </w:tc>
        <w:tc>
          <w:tcPr>
            <w:tcW w:w="1150" w:type="dxa"/>
            <w:tcBorders>
              <w:top w:val="nil"/>
              <w:left w:val="nil"/>
              <w:bottom w:val="nil"/>
              <w:right w:val="nil"/>
            </w:tcBorders>
            <w:vAlign w:val="bottom"/>
          </w:tcPr>
          <w:p w14:paraId="5E719B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2.680903</w:t>
            </w:r>
          </w:p>
        </w:tc>
        <w:tc>
          <w:tcPr>
            <w:tcW w:w="950" w:type="dxa"/>
            <w:tcBorders>
              <w:top w:val="nil"/>
              <w:left w:val="nil"/>
              <w:bottom w:val="nil"/>
              <w:right w:val="nil"/>
            </w:tcBorders>
            <w:vAlign w:val="bottom"/>
          </w:tcPr>
          <w:p w14:paraId="475C36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0.0214</w:t>
            </w:r>
          </w:p>
        </w:tc>
      </w:tr>
      <w:tr w:rsidR="00EA38DE" w:rsidRPr="00EA38DE" w14:paraId="6FD06827" w14:textId="77777777" w:rsidTr="009501B5">
        <w:trPr>
          <w:trHeight w:val="220"/>
        </w:trPr>
        <w:tc>
          <w:tcPr>
            <w:tcW w:w="2120" w:type="dxa"/>
            <w:tcBorders>
              <w:top w:val="nil"/>
              <w:left w:val="nil"/>
              <w:bottom w:val="nil"/>
              <w:right w:val="nil"/>
            </w:tcBorders>
            <w:vAlign w:val="bottom"/>
          </w:tcPr>
          <w:p w14:paraId="7CD5F0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D(LLAB(-2))</w:t>
            </w:r>
          </w:p>
        </w:tc>
        <w:tc>
          <w:tcPr>
            <w:tcW w:w="1050" w:type="dxa"/>
            <w:tcBorders>
              <w:top w:val="nil"/>
              <w:left w:val="nil"/>
              <w:bottom w:val="nil"/>
              <w:right w:val="nil"/>
            </w:tcBorders>
            <w:vAlign w:val="bottom"/>
          </w:tcPr>
          <w:p w14:paraId="366B8B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24.24519</w:t>
            </w:r>
          </w:p>
        </w:tc>
        <w:tc>
          <w:tcPr>
            <w:tcW w:w="1150" w:type="dxa"/>
            <w:tcBorders>
              <w:top w:val="nil"/>
              <w:left w:val="nil"/>
              <w:bottom w:val="nil"/>
              <w:right w:val="nil"/>
            </w:tcBorders>
            <w:vAlign w:val="bottom"/>
          </w:tcPr>
          <w:p w14:paraId="56C4F48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8.461426</w:t>
            </w:r>
          </w:p>
        </w:tc>
        <w:tc>
          <w:tcPr>
            <w:tcW w:w="1150" w:type="dxa"/>
            <w:tcBorders>
              <w:top w:val="nil"/>
              <w:left w:val="nil"/>
              <w:bottom w:val="nil"/>
              <w:right w:val="nil"/>
            </w:tcBorders>
            <w:vAlign w:val="bottom"/>
          </w:tcPr>
          <w:p w14:paraId="5CE50D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2.865378</w:t>
            </w:r>
          </w:p>
        </w:tc>
        <w:tc>
          <w:tcPr>
            <w:tcW w:w="950" w:type="dxa"/>
            <w:tcBorders>
              <w:top w:val="nil"/>
              <w:left w:val="nil"/>
              <w:bottom w:val="nil"/>
              <w:right w:val="nil"/>
            </w:tcBorders>
            <w:vAlign w:val="bottom"/>
          </w:tcPr>
          <w:p w14:paraId="5A4A4F4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0.0154</w:t>
            </w:r>
          </w:p>
        </w:tc>
      </w:tr>
      <w:tr w:rsidR="00EA38DE" w:rsidRPr="00EA38DE" w14:paraId="411345AB" w14:textId="77777777" w:rsidTr="009501B5">
        <w:trPr>
          <w:trHeight w:val="220"/>
        </w:trPr>
        <w:tc>
          <w:tcPr>
            <w:tcW w:w="2120" w:type="dxa"/>
            <w:tcBorders>
              <w:top w:val="nil"/>
              <w:left w:val="nil"/>
              <w:bottom w:val="nil"/>
              <w:right w:val="nil"/>
            </w:tcBorders>
            <w:vAlign w:val="bottom"/>
          </w:tcPr>
          <w:p w14:paraId="293888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78E0D71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0.125569</w:t>
            </w:r>
          </w:p>
        </w:tc>
        <w:tc>
          <w:tcPr>
            <w:tcW w:w="1150" w:type="dxa"/>
            <w:tcBorders>
              <w:top w:val="nil"/>
              <w:left w:val="nil"/>
              <w:bottom w:val="nil"/>
              <w:right w:val="nil"/>
            </w:tcBorders>
            <w:vAlign w:val="bottom"/>
          </w:tcPr>
          <w:p w14:paraId="64A9C4E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0.023001</w:t>
            </w:r>
          </w:p>
        </w:tc>
        <w:tc>
          <w:tcPr>
            <w:tcW w:w="1150" w:type="dxa"/>
            <w:tcBorders>
              <w:top w:val="nil"/>
              <w:left w:val="nil"/>
              <w:bottom w:val="nil"/>
              <w:right w:val="nil"/>
            </w:tcBorders>
            <w:vAlign w:val="bottom"/>
          </w:tcPr>
          <w:p w14:paraId="5FF2FF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5.459244</w:t>
            </w:r>
          </w:p>
        </w:tc>
        <w:tc>
          <w:tcPr>
            <w:tcW w:w="950" w:type="dxa"/>
            <w:tcBorders>
              <w:top w:val="nil"/>
              <w:left w:val="nil"/>
              <w:bottom w:val="nil"/>
              <w:right w:val="nil"/>
            </w:tcBorders>
            <w:vAlign w:val="bottom"/>
          </w:tcPr>
          <w:p w14:paraId="083DAC9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0D93B636" w14:textId="77777777" w:rsidTr="009501B5">
        <w:trPr>
          <w:trHeight w:val="220"/>
        </w:trPr>
        <w:tc>
          <w:tcPr>
            <w:tcW w:w="2120" w:type="dxa"/>
            <w:tcBorders>
              <w:top w:val="nil"/>
              <w:left w:val="nil"/>
              <w:bottom w:val="nil"/>
              <w:right w:val="nil"/>
            </w:tcBorders>
            <w:vAlign w:val="bottom"/>
          </w:tcPr>
          <w:p w14:paraId="1B6494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7C8FA1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-0.485544</w:t>
            </w:r>
          </w:p>
        </w:tc>
        <w:tc>
          <w:tcPr>
            <w:tcW w:w="1150" w:type="dxa"/>
            <w:tcBorders>
              <w:top w:val="nil"/>
              <w:left w:val="nil"/>
              <w:bottom w:val="nil"/>
              <w:right w:val="nil"/>
            </w:tcBorders>
            <w:vAlign w:val="bottom"/>
          </w:tcPr>
          <w:p w14:paraId="2D2F52C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0.065386</w:t>
            </w:r>
          </w:p>
        </w:tc>
        <w:tc>
          <w:tcPr>
            <w:tcW w:w="1150" w:type="dxa"/>
            <w:tcBorders>
              <w:top w:val="nil"/>
              <w:left w:val="nil"/>
              <w:bottom w:val="nil"/>
              <w:right w:val="nil"/>
            </w:tcBorders>
            <w:vAlign w:val="bottom"/>
          </w:tcPr>
          <w:p w14:paraId="0B880B1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-7.425781</w:t>
            </w:r>
          </w:p>
        </w:tc>
        <w:tc>
          <w:tcPr>
            <w:tcW w:w="950" w:type="dxa"/>
            <w:tcBorders>
              <w:top w:val="nil"/>
              <w:left w:val="nil"/>
              <w:bottom w:val="nil"/>
              <w:right w:val="nil"/>
            </w:tcBorders>
            <w:vAlign w:val="bottom"/>
          </w:tcPr>
          <w:p w14:paraId="7D1E46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238988CD" w14:textId="77777777" w:rsidTr="009501B5">
        <w:trPr>
          <w:trHeight w:hRule="exact" w:val="88"/>
        </w:trPr>
        <w:tc>
          <w:tcPr>
            <w:tcW w:w="2120" w:type="dxa"/>
            <w:tcBorders>
              <w:top w:val="nil"/>
              <w:left w:val="nil"/>
              <w:bottom w:val="double" w:sz="6" w:space="2" w:color="auto"/>
              <w:right w:val="nil"/>
            </w:tcBorders>
            <w:vAlign w:val="bottom"/>
          </w:tcPr>
          <w:p w14:paraId="76C1ED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8BEC7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A07466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423B4D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8DD0E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2B858A1" w14:textId="77777777" w:rsidTr="009501B5">
        <w:trPr>
          <w:trHeight w:hRule="exact" w:val="132"/>
        </w:trPr>
        <w:tc>
          <w:tcPr>
            <w:tcW w:w="2120" w:type="dxa"/>
            <w:tcBorders>
              <w:top w:val="nil"/>
              <w:left w:val="nil"/>
              <w:bottom w:val="nil"/>
              <w:right w:val="nil"/>
            </w:tcBorders>
            <w:vAlign w:val="bottom"/>
          </w:tcPr>
          <w:p w14:paraId="6E51D4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453E1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10EAC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B0D78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EDCAB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0025605" w14:textId="77777777" w:rsidTr="009501B5">
        <w:trPr>
          <w:trHeight w:val="220"/>
        </w:trPr>
        <w:tc>
          <w:tcPr>
            <w:tcW w:w="2120" w:type="dxa"/>
            <w:tcBorders>
              <w:top w:val="nil"/>
              <w:left w:val="nil"/>
              <w:bottom w:val="nil"/>
              <w:right w:val="nil"/>
            </w:tcBorders>
            <w:vAlign w:val="bottom"/>
          </w:tcPr>
          <w:p w14:paraId="152CDAF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74D87A8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0.865221</w:t>
            </w:r>
          </w:p>
        </w:tc>
        <w:tc>
          <w:tcPr>
            <w:tcW w:w="2300" w:type="dxa"/>
            <w:gridSpan w:val="2"/>
            <w:tcBorders>
              <w:top w:val="nil"/>
              <w:left w:val="nil"/>
              <w:bottom w:val="nil"/>
              <w:right w:val="nil"/>
            </w:tcBorders>
            <w:vAlign w:val="bottom"/>
          </w:tcPr>
          <w:p w14:paraId="2FE1C6F1"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0399D8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0.043010</w:t>
            </w:r>
          </w:p>
        </w:tc>
      </w:tr>
      <w:tr w:rsidR="00EA38DE" w:rsidRPr="00EA38DE" w14:paraId="58C21384" w14:textId="77777777" w:rsidTr="009501B5">
        <w:trPr>
          <w:trHeight w:val="220"/>
        </w:trPr>
        <w:tc>
          <w:tcPr>
            <w:tcW w:w="2120" w:type="dxa"/>
            <w:tcBorders>
              <w:top w:val="nil"/>
              <w:left w:val="nil"/>
              <w:bottom w:val="nil"/>
              <w:right w:val="nil"/>
            </w:tcBorders>
            <w:vAlign w:val="bottom"/>
          </w:tcPr>
          <w:p w14:paraId="34AADBD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19C1127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0.738866</w:t>
            </w:r>
          </w:p>
        </w:tc>
        <w:tc>
          <w:tcPr>
            <w:tcW w:w="2300" w:type="dxa"/>
            <w:gridSpan w:val="2"/>
            <w:tcBorders>
              <w:top w:val="nil"/>
              <w:left w:val="nil"/>
              <w:bottom w:val="nil"/>
              <w:right w:val="nil"/>
            </w:tcBorders>
            <w:vAlign w:val="bottom"/>
          </w:tcPr>
          <w:p w14:paraId="1EEE11A9"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2E283D3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0.110929</w:t>
            </w:r>
          </w:p>
        </w:tc>
      </w:tr>
      <w:tr w:rsidR="00EA38DE" w:rsidRPr="00EA38DE" w14:paraId="17E21C55" w14:textId="77777777" w:rsidTr="009501B5">
        <w:trPr>
          <w:trHeight w:val="220"/>
        </w:trPr>
        <w:tc>
          <w:tcPr>
            <w:tcW w:w="2120" w:type="dxa"/>
            <w:tcBorders>
              <w:top w:val="nil"/>
              <w:left w:val="nil"/>
              <w:bottom w:val="nil"/>
              <w:right w:val="nil"/>
            </w:tcBorders>
            <w:vAlign w:val="bottom"/>
          </w:tcPr>
          <w:p w14:paraId="28739E4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768CA0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0.056686</w:t>
            </w:r>
          </w:p>
        </w:tc>
        <w:tc>
          <w:tcPr>
            <w:tcW w:w="2300" w:type="dxa"/>
            <w:gridSpan w:val="2"/>
            <w:tcBorders>
              <w:top w:val="nil"/>
              <w:left w:val="nil"/>
              <w:bottom w:val="nil"/>
              <w:right w:val="nil"/>
            </w:tcBorders>
            <w:vAlign w:val="bottom"/>
          </w:tcPr>
          <w:p w14:paraId="0BEE89E2"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592C69C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-2.595726</w:t>
            </w:r>
          </w:p>
        </w:tc>
      </w:tr>
      <w:tr w:rsidR="00EA38DE" w:rsidRPr="00EA38DE" w14:paraId="6723E43D" w14:textId="77777777" w:rsidTr="009501B5">
        <w:trPr>
          <w:trHeight w:val="220"/>
        </w:trPr>
        <w:tc>
          <w:tcPr>
            <w:tcW w:w="2120" w:type="dxa"/>
            <w:tcBorders>
              <w:top w:val="nil"/>
              <w:left w:val="nil"/>
              <w:bottom w:val="nil"/>
              <w:right w:val="nil"/>
            </w:tcBorders>
            <w:vAlign w:val="bottom"/>
          </w:tcPr>
          <w:p w14:paraId="5865AF1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4FFAC06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0.051413</w:t>
            </w:r>
          </w:p>
        </w:tc>
        <w:tc>
          <w:tcPr>
            <w:tcW w:w="2300" w:type="dxa"/>
            <w:gridSpan w:val="2"/>
            <w:tcBorders>
              <w:top w:val="nil"/>
              <w:left w:val="nil"/>
              <w:bottom w:val="nil"/>
              <w:right w:val="nil"/>
            </w:tcBorders>
            <w:vAlign w:val="bottom"/>
          </w:tcPr>
          <w:p w14:paraId="61B3E7FD"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4DD7B41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-1.862858</w:t>
            </w:r>
          </w:p>
        </w:tc>
      </w:tr>
      <w:tr w:rsidR="00EA38DE" w:rsidRPr="00EA38DE" w14:paraId="706063F6" w14:textId="77777777" w:rsidTr="009501B5">
        <w:trPr>
          <w:trHeight w:val="220"/>
        </w:trPr>
        <w:tc>
          <w:tcPr>
            <w:tcW w:w="2120" w:type="dxa"/>
            <w:tcBorders>
              <w:top w:val="nil"/>
              <w:left w:val="nil"/>
              <w:bottom w:val="nil"/>
              <w:right w:val="nil"/>
            </w:tcBorders>
            <w:vAlign w:val="bottom"/>
          </w:tcPr>
          <w:p w14:paraId="66F7DFD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4E53E3B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57.53161</w:t>
            </w:r>
          </w:p>
        </w:tc>
        <w:tc>
          <w:tcPr>
            <w:tcW w:w="2300" w:type="dxa"/>
            <w:gridSpan w:val="2"/>
            <w:tcBorders>
              <w:top w:val="nil"/>
              <w:left w:val="nil"/>
              <w:bottom w:val="nil"/>
              <w:right w:val="nil"/>
            </w:tcBorders>
            <w:vAlign w:val="bottom"/>
          </w:tcPr>
          <w:p w14:paraId="0354F4A7"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6D3A4B1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-2.352801</w:t>
            </w:r>
          </w:p>
        </w:tc>
      </w:tr>
      <w:tr w:rsidR="00EA38DE" w:rsidRPr="00EA38DE" w14:paraId="0676107C" w14:textId="77777777" w:rsidTr="009501B5">
        <w:trPr>
          <w:trHeight w:val="220"/>
        </w:trPr>
        <w:tc>
          <w:tcPr>
            <w:tcW w:w="2120" w:type="dxa"/>
            <w:tcBorders>
              <w:top w:val="nil"/>
              <w:left w:val="nil"/>
              <w:bottom w:val="nil"/>
              <w:right w:val="nil"/>
            </w:tcBorders>
            <w:vAlign w:val="bottom"/>
          </w:tcPr>
          <w:p w14:paraId="3CE7CFC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241ABF1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6.847547</w:t>
            </w:r>
          </w:p>
        </w:tc>
        <w:tc>
          <w:tcPr>
            <w:tcW w:w="2300" w:type="dxa"/>
            <w:gridSpan w:val="2"/>
            <w:tcBorders>
              <w:top w:val="nil"/>
              <w:left w:val="nil"/>
              <w:bottom w:val="nil"/>
              <w:right w:val="nil"/>
            </w:tcBorders>
            <w:vAlign w:val="bottom"/>
          </w:tcPr>
          <w:p w14:paraId="3120A460"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Durbin-Watson stat</w:t>
            </w:r>
          </w:p>
        </w:tc>
        <w:tc>
          <w:tcPr>
            <w:tcW w:w="950" w:type="dxa"/>
            <w:tcBorders>
              <w:top w:val="nil"/>
              <w:left w:val="nil"/>
              <w:bottom w:val="nil"/>
              <w:right w:val="nil"/>
            </w:tcBorders>
            <w:vAlign w:val="bottom"/>
          </w:tcPr>
          <w:p w14:paraId="4C4ECF5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2.825072</w:t>
            </w:r>
          </w:p>
        </w:tc>
      </w:tr>
      <w:tr w:rsidR="00EA38DE" w:rsidRPr="00EA38DE" w14:paraId="58CE3D35" w14:textId="77777777" w:rsidTr="009501B5">
        <w:trPr>
          <w:trHeight w:val="220"/>
        </w:trPr>
        <w:tc>
          <w:tcPr>
            <w:tcW w:w="2120" w:type="dxa"/>
            <w:tcBorders>
              <w:top w:val="nil"/>
              <w:left w:val="nil"/>
              <w:bottom w:val="nil"/>
              <w:right w:val="nil"/>
            </w:tcBorders>
            <w:vAlign w:val="bottom"/>
          </w:tcPr>
          <w:p w14:paraId="7A63158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Prob(F-statistic)</w:t>
            </w:r>
          </w:p>
        </w:tc>
        <w:tc>
          <w:tcPr>
            <w:tcW w:w="1050" w:type="dxa"/>
            <w:tcBorders>
              <w:top w:val="nil"/>
              <w:left w:val="nil"/>
              <w:bottom w:val="nil"/>
              <w:right w:val="nil"/>
            </w:tcBorders>
            <w:vAlign w:val="bottom"/>
          </w:tcPr>
          <w:p w14:paraId="463DA3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0.000212</w:t>
            </w:r>
          </w:p>
        </w:tc>
        <w:tc>
          <w:tcPr>
            <w:tcW w:w="1150" w:type="dxa"/>
            <w:tcBorders>
              <w:top w:val="nil"/>
              <w:left w:val="nil"/>
              <w:bottom w:val="nil"/>
              <w:right w:val="nil"/>
            </w:tcBorders>
            <w:vAlign w:val="bottom"/>
          </w:tcPr>
          <w:p w14:paraId="45B7309C"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1FD09DDA"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21446B1F"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15FA3521" w14:textId="77777777" w:rsidTr="009501B5">
        <w:trPr>
          <w:trHeight w:hRule="exact" w:val="88"/>
        </w:trPr>
        <w:tc>
          <w:tcPr>
            <w:tcW w:w="2120" w:type="dxa"/>
            <w:tcBorders>
              <w:top w:val="nil"/>
              <w:left w:val="nil"/>
              <w:bottom w:val="double" w:sz="6" w:space="2" w:color="auto"/>
              <w:right w:val="nil"/>
            </w:tcBorders>
            <w:vAlign w:val="bottom"/>
          </w:tcPr>
          <w:p w14:paraId="7B0EF5E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7FC0B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B49D9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B2004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660431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0CD00BB" w14:textId="77777777" w:rsidTr="009501B5">
        <w:trPr>
          <w:trHeight w:hRule="exact" w:val="132"/>
        </w:trPr>
        <w:tc>
          <w:tcPr>
            <w:tcW w:w="2120" w:type="dxa"/>
            <w:tcBorders>
              <w:top w:val="nil"/>
              <w:left w:val="nil"/>
              <w:bottom w:val="nil"/>
              <w:right w:val="nil"/>
            </w:tcBorders>
            <w:vAlign w:val="bottom"/>
          </w:tcPr>
          <w:p w14:paraId="3AD4E4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45AF7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0DF41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FE8CF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16BD4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6E6E003" w14:textId="77777777" w:rsidTr="009501B5">
        <w:trPr>
          <w:trHeight w:val="220"/>
        </w:trPr>
        <w:tc>
          <w:tcPr>
            <w:tcW w:w="6420" w:type="dxa"/>
            <w:gridSpan w:val="5"/>
            <w:tcBorders>
              <w:top w:val="nil"/>
              <w:left w:val="nil"/>
              <w:bottom w:val="nil"/>
              <w:right w:val="nil"/>
            </w:tcBorders>
            <w:vAlign w:val="bottom"/>
          </w:tcPr>
          <w:p w14:paraId="63A1F2A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76B3DB44" w14:textId="77777777" w:rsidTr="009501B5">
        <w:trPr>
          <w:trHeight w:val="220"/>
        </w:trPr>
        <w:tc>
          <w:tcPr>
            <w:tcW w:w="2120" w:type="dxa"/>
            <w:tcBorders>
              <w:top w:val="nil"/>
              <w:left w:val="nil"/>
              <w:bottom w:val="nil"/>
              <w:right w:val="nil"/>
            </w:tcBorders>
            <w:vAlign w:val="bottom"/>
          </w:tcPr>
          <w:p w14:paraId="722CA9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67A3D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A98AA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DCB63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EBDE9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05EBFE" w14:textId="77777777" w:rsidTr="009501B5">
        <w:trPr>
          <w:trHeight w:val="220"/>
        </w:trPr>
        <w:tc>
          <w:tcPr>
            <w:tcW w:w="2120" w:type="dxa"/>
            <w:tcBorders>
              <w:top w:val="nil"/>
              <w:left w:val="nil"/>
              <w:bottom w:val="nil"/>
              <w:right w:val="nil"/>
            </w:tcBorders>
            <w:vAlign w:val="bottom"/>
          </w:tcPr>
          <w:p w14:paraId="6CEFC5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56570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F8F82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F8FD2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B9242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937ACA9" w14:textId="77777777" w:rsidTr="009501B5">
        <w:trPr>
          <w:trHeight w:val="220"/>
        </w:trPr>
        <w:tc>
          <w:tcPr>
            <w:tcW w:w="3170" w:type="dxa"/>
            <w:gridSpan w:val="2"/>
            <w:tcBorders>
              <w:top w:val="nil"/>
              <w:left w:val="nil"/>
              <w:bottom w:val="nil"/>
              <w:right w:val="nil"/>
            </w:tcBorders>
            <w:vAlign w:val="bottom"/>
          </w:tcPr>
          <w:p w14:paraId="2F3B6AA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1578754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3BF7AD5E" w14:textId="77777777" w:rsidTr="009501B5">
        <w:trPr>
          <w:trHeight w:hRule="exact" w:val="88"/>
        </w:trPr>
        <w:tc>
          <w:tcPr>
            <w:tcW w:w="2120" w:type="dxa"/>
            <w:tcBorders>
              <w:top w:val="nil"/>
              <w:left w:val="nil"/>
              <w:bottom w:val="double" w:sz="6" w:space="2" w:color="auto"/>
              <w:right w:val="nil"/>
            </w:tcBorders>
            <w:vAlign w:val="bottom"/>
          </w:tcPr>
          <w:p w14:paraId="77E7AC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DBE8F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29B070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068E1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29227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ACC1A70" w14:textId="77777777" w:rsidTr="009501B5">
        <w:trPr>
          <w:trHeight w:hRule="exact" w:val="132"/>
        </w:trPr>
        <w:tc>
          <w:tcPr>
            <w:tcW w:w="2120" w:type="dxa"/>
            <w:tcBorders>
              <w:top w:val="nil"/>
              <w:left w:val="nil"/>
              <w:bottom w:val="nil"/>
              <w:right w:val="nil"/>
            </w:tcBorders>
            <w:vAlign w:val="bottom"/>
          </w:tcPr>
          <w:p w14:paraId="27C2CC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71B55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EA392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431A5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FA1BC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A636C88" w14:textId="77777777" w:rsidTr="009501B5">
        <w:trPr>
          <w:trHeight w:val="220"/>
        </w:trPr>
        <w:tc>
          <w:tcPr>
            <w:tcW w:w="2120" w:type="dxa"/>
            <w:tcBorders>
              <w:top w:val="nil"/>
              <w:left w:val="nil"/>
              <w:bottom w:val="nil"/>
              <w:right w:val="nil"/>
            </w:tcBorders>
            <w:vAlign w:val="bottom"/>
          </w:tcPr>
          <w:p w14:paraId="531EF5A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65C305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05C9EA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2E4606B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4F7BC5E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7B7E8125" w14:textId="77777777" w:rsidTr="009501B5">
        <w:trPr>
          <w:trHeight w:hRule="exact" w:val="88"/>
        </w:trPr>
        <w:tc>
          <w:tcPr>
            <w:tcW w:w="2120" w:type="dxa"/>
            <w:tcBorders>
              <w:top w:val="nil"/>
              <w:left w:val="nil"/>
              <w:bottom w:val="double" w:sz="6" w:space="2" w:color="auto"/>
              <w:right w:val="nil"/>
            </w:tcBorders>
            <w:vAlign w:val="bottom"/>
          </w:tcPr>
          <w:p w14:paraId="334779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81839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455C0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8CB6E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F639C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F10F09D" w14:textId="77777777" w:rsidTr="009501B5">
        <w:trPr>
          <w:trHeight w:hRule="exact" w:val="132"/>
        </w:trPr>
        <w:tc>
          <w:tcPr>
            <w:tcW w:w="2120" w:type="dxa"/>
            <w:tcBorders>
              <w:top w:val="nil"/>
              <w:left w:val="nil"/>
              <w:bottom w:val="nil"/>
              <w:right w:val="nil"/>
            </w:tcBorders>
            <w:vAlign w:val="bottom"/>
          </w:tcPr>
          <w:p w14:paraId="3F2D62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B2E5E0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CDA50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E3D88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9AA23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BF4D1D3" w14:textId="77777777" w:rsidTr="009501B5">
        <w:trPr>
          <w:trHeight w:val="220"/>
        </w:trPr>
        <w:tc>
          <w:tcPr>
            <w:tcW w:w="2120" w:type="dxa"/>
            <w:tcBorders>
              <w:top w:val="nil"/>
              <w:left w:val="nil"/>
              <w:bottom w:val="nil"/>
              <w:right w:val="nil"/>
            </w:tcBorders>
            <w:vAlign w:val="bottom"/>
          </w:tcPr>
          <w:p w14:paraId="67EB86E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51A3643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6.318380</w:t>
            </w:r>
          </w:p>
        </w:tc>
        <w:tc>
          <w:tcPr>
            <w:tcW w:w="1150" w:type="dxa"/>
            <w:tcBorders>
              <w:top w:val="nil"/>
              <w:left w:val="nil"/>
              <w:bottom w:val="nil"/>
              <w:right w:val="nil"/>
            </w:tcBorders>
            <w:vAlign w:val="bottom"/>
          </w:tcPr>
          <w:p w14:paraId="0449A9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18F0650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2.75</w:t>
            </w:r>
          </w:p>
        </w:tc>
        <w:tc>
          <w:tcPr>
            <w:tcW w:w="950" w:type="dxa"/>
            <w:tcBorders>
              <w:top w:val="nil"/>
              <w:left w:val="nil"/>
              <w:bottom w:val="nil"/>
              <w:right w:val="nil"/>
            </w:tcBorders>
            <w:vAlign w:val="bottom"/>
          </w:tcPr>
          <w:p w14:paraId="595FD17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3.79</w:t>
            </w:r>
          </w:p>
        </w:tc>
      </w:tr>
      <w:tr w:rsidR="00EA38DE" w:rsidRPr="00EA38DE" w14:paraId="03DCE488" w14:textId="77777777" w:rsidTr="009501B5">
        <w:trPr>
          <w:trHeight w:val="220"/>
        </w:trPr>
        <w:tc>
          <w:tcPr>
            <w:tcW w:w="2120" w:type="dxa"/>
            <w:tcBorders>
              <w:top w:val="nil"/>
              <w:left w:val="nil"/>
              <w:bottom w:val="nil"/>
              <w:right w:val="nil"/>
            </w:tcBorders>
            <w:vAlign w:val="bottom"/>
          </w:tcPr>
          <w:p w14:paraId="0A22599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62D359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610A7E3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6A97D6D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3.12</w:t>
            </w:r>
          </w:p>
        </w:tc>
        <w:tc>
          <w:tcPr>
            <w:tcW w:w="950" w:type="dxa"/>
            <w:tcBorders>
              <w:top w:val="nil"/>
              <w:left w:val="nil"/>
              <w:bottom w:val="nil"/>
              <w:right w:val="nil"/>
            </w:tcBorders>
            <w:vAlign w:val="bottom"/>
          </w:tcPr>
          <w:p w14:paraId="5E1918E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4.25</w:t>
            </w:r>
          </w:p>
        </w:tc>
      </w:tr>
      <w:tr w:rsidR="00EA38DE" w:rsidRPr="00EA38DE" w14:paraId="75A2B71D" w14:textId="77777777" w:rsidTr="009501B5">
        <w:trPr>
          <w:trHeight w:val="220"/>
        </w:trPr>
        <w:tc>
          <w:tcPr>
            <w:tcW w:w="2120" w:type="dxa"/>
            <w:tcBorders>
              <w:top w:val="nil"/>
              <w:left w:val="nil"/>
              <w:bottom w:val="nil"/>
              <w:right w:val="nil"/>
            </w:tcBorders>
            <w:vAlign w:val="bottom"/>
          </w:tcPr>
          <w:p w14:paraId="4C37F8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A57FB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C6A2E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5092B39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3.49</w:t>
            </w:r>
          </w:p>
        </w:tc>
        <w:tc>
          <w:tcPr>
            <w:tcW w:w="950" w:type="dxa"/>
            <w:tcBorders>
              <w:top w:val="nil"/>
              <w:left w:val="nil"/>
              <w:bottom w:val="nil"/>
              <w:right w:val="nil"/>
            </w:tcBorders>
            <w:vAlign w:val="bottom"/>
          </w:tcPr>
          <w:p w14:paraId="27013D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4.67</w:t>
            </w:r>
          </w:p>
        </w:tc>
      </w:tr>
      <w:tr w:rsidR="00EA38DE" w:rsidRPr="00EA38DE" w14:paraId="25CF7D6F" w14:textId="77777777" w:rsidTr="009501B5">
        <w:trPr>
          <w:trHeight w:val="220"/>
        </w:trPr>
        <w:tc>
          <w:tcPr>
            <w:tcW w:w="2120" w:type="dxa"/>
            <w:tcBorders>
              <w:top w:val="nil"/>
              <w:left w:val="nil"/>
              <w:bottom w:val="nil"/>
              <w:right w:val="nil"/>
            </w:tcBorders>
            <w:vAlign w:val="bottom"/>
          </w:tcPr>
          <w:p w14:paraId="7E57C7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88E406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449E92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3282D51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3.93</w:t>
            </w:r>
          </w:p>
        </w:tc>
        <w:tc>
          <w:tcPr>
            <w:tcW w:w="950" w:type="dxa"/>
            <w:tcBorders>
              <w:top w:val="nil"/>
              <w:left w:val="nil"/>
              <w:bottom w:val="nil"/>
              <w:right w:val="nil"/>
            </w:tcBorders>
            <w:vAlign w:val="bottom"/>
          </w:tcPr>
          <w:p w14:paraId="60367FB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5.23</w:t>
            </w:r>
          </w:p>
        </w:tc>
      </w:tr>
      <w:tr w:rsidR="00EA38DE" w:rsidRPr="00EA38DE" w14:paraId="42233444" w14:textId="77777777" w:rsidTr="009501B5">
        <w:trPr>
          <w:trHeight w:hRule="exact" w:val="88"/>
        </w:trPr>
        <w:tc>
          <w:tcPr>
            <w:tcW w:w="2120" w:type="dxa"/>
            <w:tcBorders>
              <w:top w:val="nil"/>
              <w:left w:val="nil"/>
              <w:bottom w:val="double" w:sz="6" w:space="0" w:color="auto"/>
              <w:right w:val="nil"/>
            </w:tcBorders>
            <w:vAlign w:val="bottom"/>
          </w:tcPr>
          <w:p w14:paraId="240BC3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726707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591D5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6B46B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028BA4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D3200B6" w14:textId="77777777" w:rsidTr="009501B5">
        <w:trPr>
          <w:trHeight w:hRule="exact" w:val="132"/>
        </w:trPr>
        <w:tc>
          <w:tcPr>
            <w:tcW w:w="2120" w:type="dxa"/>
            <w:tcBorders>
              <w:top w:val="nil"/>
              <w:left w:val="nil"/>
              <w:bottom w:val="nil"/>
              <w:right w:val="nil"/>
            </w:tcBorders>
            <w:vAlign w:val="bottom"/>
          </w:tcPr>
          <w:p w14:paraId="5B98DE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2A5AE7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922A8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1A25D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CFBA6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72521F81" w14:textId="77777777" w:rsidR="003C6B00" w:rsidRPr="00EA38DE" w:rsidRDefault="003C6B00" w:rsidP="003C6B00">
      <w:r w:rsidRPr="00EA38DE">
        <w:rPr>
          <w:rFonts w:ascii="Arial" w:hAnsi="Arial" w:cs="Arial"/>
          <w:sz w:val="18"/>
          <w:szCs w:val="18"/>
        </w:rPr>
        <w:br/>
      </w:r>
    </w:p>
    <w:p w14:paraId="538F8C73" w14:textId="77777777" w:rsidR="003C6B00" w:rsidRPr="00EA38DE" w:rsidRDefault="003C6B00" w:rsidP="003C6B00"/>
    <w:p w14:paraId="6D8E5072" w14:textId="77777777" w:rsidR="00C26BF7" w:rsidRPr="00EA38DE" w:rsidRDefault="00C26BF7" w:rsidP="003C6B00"/>
    <w:p w14:paraId="31089B37" w14:textId="77777777" w:rsidR="00C26BF7" w:rsidRPr="00EA38DE" w:rsidRDefault="00C26BF7" w:rsidP="003C6B00"/>
    <w:p w14:paraId="450C09E5" w14:textId="77777777" w:rsidR="003C6B00" w:rsidRPr="00EA38DE" w:rsidRDefault="003C6B00" w:rsidP="003C6B00"/>
    <w:p w14:paraId="79E4622A"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3DFBE575" w14:textId="77777777" w:rsidTr="009501B5">
        <w:trPr>
          <w:trHeight w:val="220"/>
        </w:trPr>
        <w:tc>
          <w:tcPr>
            <w:tcW w:w="6420" w:type="dxa"/>
            <w:gridSpan w:val="5"/>
            <w:tcBorders>
              <w:top w:val="nil"/>
              <w:left w:val="nil"/>
              <w:bottom w:val="nil"/>
              <w:right w:val="nil"/>
            </w:tcBorders>
            <w:vAlign w:val="bottom"/>
          </w:tcPr>
          <w:p w14:paraId="4996EC8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Long Run Form and Bounds Test</w:t>
            </w:r>
          </w:p>
        </w:tc>
      </w:tr>
      <w:tr w:rsidR="00EA38DE" w:rsidRPr="00EA38DE" w14:paraId="56F382EC" w14:textId="77777777" w:rsidTr="009501B5">
        <w:trPr>
          <w:trHeight w:val="220"/>
        </w:trPr>
        <w:tc>
          <w:tcPr>
            <w:tcW w:w="5470" w:type="dxa"/>
            <w:gridSpan w:val="4"/>
            <w:tcBorders>
              <w:top w:val="nil"/>
              <w:left w:val="nil"/>
              <w:bottom w:val="nil"/>
              <w:right w:val="nil"/>
            </w:tcBorders>
            <w:vAlign w:val="bottom"/>
          </w:tcPr>
          <w:p w14:paraId="039E961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D(LPOR)</w:t>
            </w:r>
          </w:p>
        </w:tc>
        <w:tc>
          <w:tcPr>
            <w:tcW w:w="950" w:type="dxa"/>
            <w:tcBorders>
              <w:top w:val="nil"/>
              <w:left w:val="nil"/>
              <w:bottom w:val="nil"/>
              <w:right w:val="nil"/>
            </w:tcBorders>
            <w:vAlign w:val="bottom"/>
          </w:tcPr>
          <w:p w14:paraId="75F1C3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E57E1F0" w14:textId="77777777" w:rsidTr="009501B5">
        <w:trPr>
          <w:trHeight w:val="220"/>
        </w:trPr>
        <w:tc>
          <w:tcPr>
            <w:tcW w:w="6420" w:type="dxa"/>
            <w:gridSpan w:val="5"/>
            <w:tcBorders>
              <w:top w:val="nil"/>
              <w:left w:val="nil"/>
              <w:bottom w:val="nil"/>
              <w:right w:val="nil"/>
            </w:tcBorders>
            <w:vAlign w:val="bottom"/>
          </w:tcPr>
          <w:p w14:paraId="56F273F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ARDL(2, 3, 4, 4, 3, 4)</w:t>
            </w:r>
          </w:p>
        </w:tc>
      </w:tr>
      <w:tr w:rsidR="00EA38DE" w:rsidRPr="00EA38DE" w14:paraId="5B5751F5" w14:textId="77777777" w:rsidTr="009501B5">
        <w:trPr>
          <w:trHeight w:val="220"/>
        </w:trPr>
        <w:tc>
          <w:tcPr>
            <w:tcW w:w="6420" w:type="dxa"/>
            <w:gridSpan w:val="5"/>
            <w:tcBorders>
              <w:top w:val="nil"/>
              <w:left w:val="nil"/>
              <w:bottom w:val="nil"/>
              <w:right w:val="nil"/>
            </w:tcBorders>
            <w:vAlign w:val="bottom"/>
          </w:tcPr>
          <w:p w14:paraId="7C837CC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2DBE948C" w14:textId="77777777" w:rsidTr="009501B5">
        <w:trPr>
          <w:trHeight w:val="220"/>
        </w:trPr>
        <w:tc>
          <w:tcPr>
            <w:tcW w:w="5470" w:type="dxa"/>
            <w:gridSpan w:val="4"/>
            <w:tcBorders>
              <w:top w:val="nil"/>
              <w:left w:val="nil"/>
              <w:bottom w:val="nil"/>
              <w:right w:val="nil"/>
            </w:tcBorders>
            <w:vAlign w:val="bottom"/>
          </w:tcPr>
          <w:p w14:paraId="3FF0188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10:39</w:t>
            </w:r>
          </w:p>
        </w:tc>
        <w:tc>
          <w:tcPr>
            <w:tcW w:w="950" w:type="dxa"/>
            <w:tcBorders>
              <w:top w:val="nil"/>
              <w:left w:val="nil"/>
              <w:bottom w:val="nil"/>
              <w:right w:val="nil"/>
            </w:tcBorders>
            <w:vAlign w:val="bottom"/>
          </w:tcPr>
          <w:p w14:paraId="78E96B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5E1D988" w14:textId="77777777" w:rsidTr="009501B5">
        <w:trPr>
          <w:trHeight w:val="220"/>
        </w:trPr>
        <w:tc>
          <w:tcPr>
            <w:tcW w:w="4320" w:type="dxa"/>
            <w:gridSpan w:val="3"/>
            <w:tcBorders>
              <w:top w:val="nil"/>
              <w:left w:val="nil"/>
              <w:bottom w:val="nil"/>
              <w:right w:val="nil"/>
            </w:tcBorders>
            <w:vAlign w:val="bottom"/>
          </w:tcPr>
          <w:p w14:paraId="0355791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0112D3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A400A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81FE9D2" w14:textId="77777777" w:rsidTr="009501B5">
        <w:trPr>
          <w:trHeight w:val="220"/>
        </w:trPr>
        <w:tc>
          <w:tcPr>
            <w:tcW w:w="5470" w:type="dxa"/>
            <w:gridSpan w:val="4"/>
            <w:tcBorders>
              <w:top w:val="nil"/>
              <w:left w:val="nil"/>
              <w:bottom w:val="nil"/>
              <w:right w:val="nil"/>
            </w:tcBorders>
            <w:vAlign w:val="bottom"/>
          </w:tcPr>
          <w:p w14:paraId="1463039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31</w:t>
            </w:r>
          </w:p>
        </w:tc>
        <w:tc>
          <w:tcPr>
            <w:tcW w:w="950" w:type="dxa"/>
            <w:tcBorders>
              <w:top w:val="nil"/>
              <w:left w:val="nil"/>
              <w:bottom w:val="nil"/>
              <w:right w:val="nil"/>
            </w:tcBorders>
            <w:vAlign w:val="bottom"/>
          </w:tcPr>
          <w:p w14:paraId="358D486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7A07037" w14:textId="77777777" w:rsidTr="009501B5">
        <w:trPr>
          <w:trHeight w:hRule="exact" w:val="88"/>
        </w:trPr>
        <w:tc>
          <w:tcPr>
            <w:tcW w:w="2120" w:type="dxa"/>
            <w:tcBorders>
              <w:top w:val="nil"/>
              <w:left w:val="nil"/>
              <w:bottom w:val="double" w:sz="6" w:space="2" w:color="auto"/>
              <w:right w:val="nil"/>
            </w:tcBorders>
            <w:vAlign w:val="bottom"/>
          </w:tcPr>
          <w:p w14:paraId="4B59D2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FEFBD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B5018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ABAF44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13ACB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F5EB4B" w14:textId="77777777" w:rsidTr="009501B5">
        <w:trPr>
          <w:trHeight w:hRule="exact" w:val="132"/>
        </w:trPr>
        <w:tc>
          <w:tcPr>
            <w:tcW w:w="2120" w:type="dxa"/>
            <w:tcBorders>
              <w:top w:val="nil"/>
              <w:left w:val="nil"/>
              <w:bottom w:val="nil"/>
              <w:right w:val="nil"/>
            </w:tcBorders>
            <w:vAlign w:val="bottom"/>
          </w:tcPr>
          <w:p w14:paraId="30FDAF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F32FFA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85FA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8F4CF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2D44F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8367701" w14:textId="77777777" w:rsidTr="009501B5">
        <w:trPr>
          <w:trHeight w:val="220"/>
        </w:trPr>
        <w:tc>
          <w:tcPr>
            <w:tcW w:w="6420" w:type="dxa"/>
            <w:gridSpan w:val="5"/>
            <w:tcBorders>
              <w:top w:val="nil"/>
              <w:left w:val="nil"/>
              <w:bottom w:val="nil"/>
              <w:right w:val="nil"/>
            </w:tcBorders>
            <w:vAlign w:val="bottom"/>
          </w:tcPr>
          <w:p w14:paraId="265078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Conditional Error Correction Regression</w:t>
            </w:r>
          </w:p>
        </w:tc>
      </w:tr>
      <w:tr w:rsidR="00EA38DE" w:rsidRPr="00EA38DE" w14:paraId="78CFCFCF" w14:textId="77777777" w:rsidTr="009501B5">
        <w:trPr>
          <w:trHeight w:hRule="exact" w:val="88"/>
        </w:trPr>
        <w:tc>
          <w:tcPr>
            <w:tcW w:w="2120" w:type="dxa"/>
            <w:tcBorders>
              <w:top w:val="nil"/>
              <w:left w:val="nil"/>
              <w:bottom w:val="double" w:sz="6" w:space="2" w:color="auto"/>
              <w:right w:val="nil"/>
            </w:tcBorders>
            <w:vAlign w:val="bottom"/>
          </w:tcPr>
          <w:p w14:paraId="5C8066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4DE01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3E8B9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22D41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D45C6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FE34568" w14:textId="77777777" w:rsidTr="009501B5">
        <w:trPr>
          <w:trHeight w:hRule="exact" w:val="132"/>
        </w:trPr>
        <w:tc>
          <w:tcPr>
            <w:tcW w:w="2120" w:type="dxa"/>
            <w:tcBorders>
              <w:top w:val="nil"/>
              <w:left w:val="nil"/>
              <w:bottom w:val="nil"/>
              <w:right w:val="nil"/>
            </w:tcBorders>
            <w:vAlign w:val="bottom"/>
          </w:tcPr>
          <w:p w14:paraId="57642B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8F76E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75C16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2E235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B3874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747F81B" w14:textId="77777777" w:rsidTr="009501B5">
        <w:trPr>
          <w:trHeight w:val="220"/>
        </w:trPr>
        <w:tc>
          <w:tcPr>
            <w:tcW w:w="2120" w:type="dxa"/>
            <w:tcBorders>
              <w:top w:val="nil"/>
              <w:left w:val="nil"/>
              <w:bottom w:val="nil"/>
              <w:right w:val="nil"/>
            </w:tcBorders>
            <w:vAlign w:val="bottom"/>
          </w:tcPr>
          <w:p w14:paraId="7CEAA3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508AE98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7C2CB9E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5AE59E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36005EF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483529DF" w14:textId="77777777" w:rsidTr="009501B5">
        <w:trPr>
          <w:trHeight w:hRule="exact" w:val="88"/>
        </w:trPr>
        <w:tc>
          <w:tcPr>
            <w:tcW w:w="2120" w:type="dxa"/>
            <w:tcBorders>
              <w:top w:val="nil"/>
              <w:left w:val="nil"/>
              <w:bottom w:val="double" w:sz="6" w:space="2" w:color="auto"/>
              <w:right w:val="nil"/>
            </w:tcBorders>
            <w:vAlign w:val="bottom"/>
          </w:tcPr>
          <w:p w14:paraId="2F05FD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3DADB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E196E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AE3F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7C47E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5024BB6" w14:textId="77777777" w:rsidTr="009501B5">
        <w:trPr>
          <w:trHeight w:hRule="exact" w:val="132"/>
        </w:trPr>
        <w:tc>
          <w:tcPr>
            <w:tcW w:w="2120" w:type="dxa"/>
            <w:tcBorders>
              <w:top w:val="nil"/>
              <w:left w:val="nil"/>
              <w:bottom w:val="nil"/>
              <w:right w:val="nil"/>
            </w:tcBorders>
            <w:vAlign w:val="bottom"/>
          </w:tcPr>
          <w:p w14:paraId="3A942D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194DC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6CF8E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39025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C0633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F112790" w14:textId="77777777" w:rsidTr="009501B5">
        <w:trPr>
          <w:trHeight w:val="220"/>
        </w:trPr>
        <w:tc>
          <w:tcPr>
            <w:tcW w:w="2120" w:type="dxa"/>
            <w:tcBorders>
              <w:top w:val="nil"/>
              <w:left w:val="nil"/>
              <w:bottom w:val="nil"/>
              <w:right w:val="nil"/>
            </w:tcBorders>
            <w:vAlign w:val="bottom"/>
          </w:tcPr>
          <w:p w14:paraId="641F45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1EB39AE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-50.83534</w:t>
            </w:r>
          </w:p>
        </w:tc>
        <w:tc>
          <w:tcPr>
            <w:tcW w:w="1150" w:type="dxa"/>
            <w:tcBorders>
              <w:top w:val="nil"/>
              <w:left w:val="nil"/>
              <w:bottom w:val="nil"/>
              <w:right w:val="nil"/>
            </w:tcBorders>
            <w:vAlign w:val="bottom"/>
          </w:tcPr>
          <w:p w14:paraId="6B4A85A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22.50474</w:t>
            </w:r>
          </w:p>
        </w:tc>
        <w:tc>
          <w:tcPr>
            <w:tcW w:w="1150" w:type="dxa"/>
            <w:tcBorders>
              <w:top w:val="nil"/>
              <w:left w:val="nil"/>
              <w:bottom w:val="nil"/>
              <w:right w:val="nil"/>
            </w:tcBorders>
            <w:vAlign w:val="bottom"/>
          </w:tcPr>
          <w:p w14:paraId="24F5590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-2.258872</w:t>
            </w:r>
          </w:p>
        </w:tc>
        <w:tc>
          <w:tcPr>
            <w:tcW w:w="950" w:type="dxa"/>
            <w:tcBorders>
              <w:top w:val="nil"/>
              <w:left w:val="nil"/>
              <w:bottom w:val="nil"/>
              <w:right w:val="nil"/>
            </w:tcBorders>
            <w:vAlign w:val="bottom"/>
          </w:tcPr>
          <w:p w14:paraId="7365AF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0.0735</w:t>
            </w:r>
          </w:p>
        </w:tc>
      </w:tr>
      <w:tr w:rsidR="00EA38DE" w:rsidRPr="00EA38DE" w14:paraId="17FEC953" w14:textId="77777777" w:rsidTr="009501B5">
        <w:trPr>
          <w:trHeight w:val="220"/>
        </w:trPr>
        <w:tc>
          <w:tcPr>
            <w:tcW w:w="2120" w:type="dxa"/>
            <w:tcBorders>
              <w:top w:val="nil"/>
              <w:left w:val="nil"/>
              <w:bottom w:val="nil"/>
              <w:right w:val="nil"/>
            </w:tcBorders>
            <w:vAlign w:val="bottom"/>
          </w:tcPr>
          <w:p w14:paraId="70277D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LPOR(-1)*</w:t>
            </w:r>
          </w:p>
        </w:tc>
        <w:tc>
          <w:tcPr>
            <w:tcW w:w="1050" w:type="dxa"/>
            <w:tcBorders>
              <w:top w:val="nil"/>
              <w:left w:val="nil"/>
              <w:bottom w:val="nil"/>
              <w:right w:val="nil"/>
            </w:tcBorders>
            <w:vAlign w:val="bottom"/>
          </w:tcPr>
          <w:p w14:paraId="35FDEEF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-1.627055</w:t>
            </w:r>
          </w:p>
        </w:tc>
        <w:tc>
          <w:tcPr>
            <w:tcW w:w="1150" w:type="dxa"/>
            <w:tcBorders>
              <w:top w:val="nil"/>
              <w:left w:val="nil"/>
              <w:bottom w:val="nil"/>
              <w:right w:val="nil"/>
            </w:tcBorders>
            <w:vAlign w:val="bottom"/>
          </w:tcPr>
          <w:p w14:paraId="69C4B85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0.388512</w:t>
            </w:r>
          </w:p>
        </w:tc>
        <w:tc>
          <w:tcPr>
            <w:tcW w:w="1150" w:type="dxa"/>
            <w:tcBorders>
              <w:top w:val="nil"/>
              <w:left w:val="nil"/>
              <w:bottom w:val="nil"/>
              <w:right w:val="nil"/>
            </w:tcBorders>
            <w:vAlign w:val="bottom"/>
          </w:tcPr>
          <w:p w14:paraId="3ADFE5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-4.187913</w:t>
            </w:r>
          </w:p>
        </w:tc>
        <w:tc>
          <w:tcPr>
            <w:tcW w:w="950" w:type="dxa"/>
            <w:tcBorders>
              <w:top w:val="nil"/>
              <w:left w:val="nil"/>
              <w:bottom w:val="nil"/>
              <w:right w:val="nil"/>
            </w:tcBorders>
            <w:vAlign w:val="bottom"/>
          </w:tcPr>
          <w:p w14:paraId="3A7AE7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0.0086</w:t>
            </w:r>
          </w:p>
        </w:tc>
      </w:tr>
      <w:tr w:rsidR="00EA38DE" w:rsidRPr="00EA38DE" w14:paraId="08DDD9EB" w14:textId="77777777" w:rsidTr="009501B5">
        <w:trPr>
          <w:trHeight w:val="220"/>
        </w:trPr>
        <w:tc>
          <w:tcPr>
            <w:tcW w:w="2120" w:type="dxa"/>
            <w:tcBorders>
              <w:top w:val="nil"/>
              <w:left w:val="nil"/>
              <w:bottom w:val="nil"/>
              <w:right w:val="nil"/>
            </w:tcBorders>
            <w:vAlign w:val="bottom"/>
          </w:tcPr>
          <w:p w14:paraId="247E22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LDLNT(-1)</w:t>
            </w:r>
          </w:p>
        </w:tc>
        <w:tc>
          <w:tcPr>
            <w:tcW w:w="1050" w:type="dxa"/>
            <w:tcBorders>
              <w:top w:val="nil"/>
              <w:left w:val="nil"/>
              <w:bottom w:val="nil"/>
              <w:right w:val="nil"/>
            </w:tcBorders>
            <w:vAlign w:val="bottom"/>
          </w:tcPr>
          <w:p w14:paraId="15F8050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-3.434250</w:t>
            </w:r>
          </w:p>
        </w:tc>
        <w:tc>
          <w:tcPr>
            <w:tcW w:w="1150" w:type="dxa"/>
            <w:tcBorders>
              <w:top w:val="nil"/>
              <w:left w:val="nil"/>
              <w:bottom w:val="nil"/>
              <w:right w:val="nil"/>
            </w:tcBorders>
            <w:vAlign w:val="bottom"/>
          </w:tcPr>
          <w:p w14:paraId="66E5917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2.398843</w:t>
            </w:r>
          </w:p>
        </w:tc>
        <w:tc>
          <w:tcPr>
            <w:tcW w:w="1150" w:type="dxa"/>
            <w:tcBorders>
              <w:top w:val="nil"/>
              <w:left w:val="nil"/>
              <w:bottom w:val="nil"/>
              <w:right w:val="nil"/>
            </w:tcBorders>
            <w:vAlign w:val="bottom"/>
          </w:tcPr>
          <w:p w14:paraId="100A7DB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-1.431628</w:t>
            </w:r>
          </w:p>
        </w:tc>
        <w:tc>
          <w:tcPr>
            <w:tcW w:w="950" w:type="dxa"/>
            <w:tcBorders>
              <w:top w:val="nil"/>
              <w:left w:val="nil"/>
              <w:bottom w:val="nil"/>
              <w:right w:val="nil"/>
            </w:tcBorders>
            <w:vAlign w:val="bottom"/>
          </w:tcPr>
          <w:p w14:paraId="7D85962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0.2117</w:t>
            </w:r>
          </w:p>
        </w:tc>
      </w:tr>
      <w:tr w:rsidR="00EA38DE" w:rsidRPr="00EA38DE" w14:paraId="3E3B6CC8" w14:textId="77777777" w:rsidTr="009501B5">
        <w:trPr>
          <w:trHeight w:val="220"/>
        </w:trPr>
        <w:tc>
          <w:tcPr>
            <w:tcW w:w="2120" w:type="dxa"/>
            <w:tcBorders>
              <w:top w:val="nil"/>
              <w:left w:val="nil"/>
              <w:bottom w:val="nil"/>
              <w:right w:val="nil"/>
            </w:tcBorders>
            <w:vAlign w:val="bottom"/>
          </w:tcPr>
          <w:p w14:paraId="41FDC3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IFR(-1)</w:t>
            </w:r>
          </w:p>
        </w:tc>
        <w:tc>
          <w:tcPr>
            <w:tcW w:w="1050" w:type="dxa"/>
            <w:tcBorders>
              <w:top w:val="nil"/>
              <w:left w:val="nil"/>
              <w:bottom w:val="nil"/>
              <w:right w:val="nil"/>
            </w:tcBorders>
            <w:vAlign w:val="bottom"/>
          </w:tcPr>
          <w:p w14:paraId="3F3433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-0.025934</w:t>
            </w:r>
          </w:p>
        </w:tc>
        <w:tc>
          <w:tcPr>
            <w:tcW w:w="1150" w:type="dxa"/>
            <w:tcBorders>
              <w:top w:val="nil"/>
              <w:left w:val="nil"/>
              <w:bottom w:val="nil"/>
              <w:right w:val="nil"/>
            </w:tcBorders>
            <w:vAlign w:val="bottom"/>
          </w:tcPr>
          <w:p w14:paraId="50B496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0.017219</w:t>
            </w:r>
          </w:p>
        </w:tc>
        <w:tc>
          <w:tcPr>
            <w:tcW w:w="1150" w:type="dxa"/>
            <w:tcBorders>
              <w:top w:val="nil"/>
              <w:left w:val="nil"/>
              <w:bottom w:val="nil"/>
              <w:right w:val="nil"/>
            </w:tcBorders>
            <w:vAlign w:val="bottom"/>
          </w:tcPr>
          <w:p w14:paraId="3AFC4BC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-1.506081</w:t>
            </w:r>
          </w:p>
        </w:tc>
        <w:tc>
          <w:tcPr>
            <w:tcW w:w="950" w:type="dxa"/>
            <w:tcBorders>
              <w:top w:val="nil"/>
              <w:left w:val="nil"/>
              <w:bottom w:val="nil"/>
              <w:right w:val="nil"/>
            </w:tcBorders>
            <w:vAlign w:val="bottom"/>
          </w:tcPr>
          <w:p w14:paraId="7BF342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0.1924</w:t>
            </w:r>
          </w:p>
        </w:tc>
      </w:tr>
      <w:tr w:rsidR="00EA38DE" w:rsidRPr="00EA38DE" w14:paraId="642A987C" w14:textId="77777777" w:rsidTr="009501B5">
        <w:trPr>
          <w:trHeight w:val="220"/>
        </w:trPr>
        <w:tc>
          <w:tcPr>
            <w:tcW w:w="2120" w:type="dxa"/>
            <w:tcBorders>
              <w:top w:val="nil"/>
              <w:left w:val="nil"/>
              <w:bottom w:val="nil"/>
              <w:right w:val="nil"/>
            </w:tcBorders>
            <w:vAlign w:val="bottom"/>
          </w:tcPr>
          <w:p w14:paraId="08C91B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LLAB(-1)</w:t>
            </w:r>
          </w:p>
        </w:tc>
        <w:tc>
          <w:tcPr>
            <w:tcW w:w="1050" w:type="dxa"/>
            <w:tcBorders>
              <w:top w:val="nil"/>
              <w:left w:val="nil"/>
              <w:bottom w:val="nil"/>
              <w:right w:val="nil"/>
            </w:tcBorders>
            <w:vAlign w:val="bottom"/>
          </w:tcPr>
          <w:p w14:paraId="262C599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9.884993</w:t>
            </w:r>
          </w:p>
        </w:tc>
        <w:tc>
          <w:tcPr>
            <w:tcW w:w="1150" w:type="dxa"/>
            <w:tcBorders>
              <w:top w:val="nil"/>
              <w:left w:val="nil"/>
              <w:bottom w:val="nil"/>
              <w:right w:val="nil"/>
            </w:tcBorders>
            <w:vAlign w:val="bottom"/>
          </w:tcPr>
          <w:p w14:paraId="0E74D6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4.162395</w:t>
            </w:r>
          </w:p>
        </w:tc>
        <w:tc>
          <w:tcPr>
            <w:tcW w:w="1150" w:type="dxa"/>
            <w:tcBorders>
              <w:top w:val="nil"/>
              <w:left w:val="nil"/>
              <w:bottom w:val="nil"/>
              <w:right w:val="nil"/>
            </w:tcBorders>
            <w:vAlign w:val="bottom"/>
          </w:tcPr>
          <w:p w14:paraId="33609EF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2.374833</w:t>
            </w:r>
          </w:p>
        </w:tc>
        <w:tc>
          <w:tcPr>
            <w:tcW w:w="950" w:type="dxa"/>
            <w:tcBorders>
              <w:top w:val="nil"/>
              <w:left w:val="nil"/>
              <w:bottom w:val="nil"/>
              <w:right w:val="nil"/>
            </w:tcBorders>
            <w:vAlign w:val="bottom"/>
          </w:tcPr>
          <w:p w14:paraId="1CBEF0D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0.0636</w:t>
            </w:r>
          </w:p>
        </w:tc>
      </w:tr>
      <w:tr w:rsidR="00EA38DE" w:rsidRPr="00EA38DE" w14:paraId="32E10B47" w14:textId="77777777" w:rsidTr="009501B5">
        <w:trPr>
          <w:trHeight w:val="220"/>
        </w:trPr>
        <w:tc>
          <w:tcPr>
            <w:tcW w:w="2120" w:type="dxa"/>
            <w:tcBorders>
              <w:top w:val="nil"/>
              <w:left w:val="nil"/>
              <w:bottom w:val="nil"/>
              <w:right w:val="nil"/>
            </w:tcBorders>
            <w:vAlign w:val="bottom"/>
          </w:tcPr>
          <w:p w14:paraId="5128BD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TRF(-1)</w:t>
            </w:r>
          </w:p>
        </w:tc>
        <w:tc>
          <w:tcPr>
            <w:tcW w:w="1050" w:type="dxa"/>
            <w:tcBorders>
              <w:top w:val="nil"/>
              <w:left w:val="nil"/>
              <w:bottom w:val="nil"/>
              <w:right w:val="nil"/>
            </w:tcBorders>
            <w:vAlign w:val="bottom"/>
          </w:tcPr>
          <w:p w14:paraId="22EFBD9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0.955940</w:t>
            </w:r>
          </w:p>
        </w:tc>
        <w:tc>
          <w:tcPr>
            <w:tcW w:w="1150" w:type="dxa"/>
            <w:tcBorders>
              <w:top w:val="nil"/>
              <w:left w:val="nil"/>
              <w:bottom w:val="nil"/>
              <w:right w:val="nil"/>
            </w:tcBorders>
            <w:vAlign w:val="bottom"/>
          </w:tcPr>
          <w:p w14:paraId="62496F8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0.332054</w:t>
            </w:r>
          </w:p>
        </w:tc>
        <w:tc>
          <w:tcPr>
            <w:tcW w:w="1150" w:type="dxa"/>
            <w:tcBorders>
              <w:top w:val="nil"/>
              <w:left w:val="nil"/>
              <w:bottom w:val="nil"/>
              <w:right w:val="nil"/>
            </w:tcBorders>
            <w:vAlign w:val="bottom"/>
          </w:tcPr>
          <w:p w14:paraId="364832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2.878866</w:t>
            </w:r>
          </w:p>
        </w:tc>
        <w:tc>
          <w:tcPr>
            <w:tcW w:w="950" w:type="dxa"/>
            <w:tcBorders>
              <w:top w:val="nil"/>
              <w:left w:val="nil"/>
              <w:bottom w:val="nil"/>
              <w:right w:val="nil"/>
            </w:tcBorders>
            <w:vAlign w:val="bottom"/>
          </w:tcPr>
          <w:p w14:paraId="0AC496F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0.0346</w:t>
            </w:r>
          </w:p>
        </w:tc>
      </w:tr>
      <w:tr w:rsidR="00EA38DE" w:rsidRPr="00EA38DE" w14:paraId="50A9641C" w14:textId="77777777" w:rsidTr="009501B5">
        <w:trPr>
          <w:trHeight w:val="220"/>
        </w:trPr>
        <w:tc>
          <w:tcPr>
            <w:tcW w:w="2120" w:type="dxa"/>
            <w:tcBorders>
              <w:top w:val="nil"/>
              <w:left w:val="nil"/>
              <w:bottom w:val="nil"/>
              <w:right w:val="nil"/>
            </w:tcBorders>
            <w:vAlign w:val="bottom"/>
          </w:tcPr>
          <w:p w14:paraId="7E7A72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D(LPOR(-1))</w:t>
            </w:r>
          </w:p>
        </w:tc>
        <w:tc>
          <w:tcPr>
            <w:tcW w:w="1050" w:type="dxa"/>
            <w:tcBorders>
              <w:top w:val="nil"/>
              <w:left w:val="nil"/>
              <w:bottom w:val="nil"/>
              <w:right w:val="nil"/>
            </w:tcBorders>
            <w:vAlign w:val="bottom"/>
          </w:tcPr>
          <w:p w14:paraId="3A85361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-0.369413</w:t>
            </w:r>
          </w:p>
        </w:tc>
        <w:tc>
          <w:tcPr>
            <w:tcW w:w="1150" w:type="dxa"/>
            <w:tcBorders>
              <w:top w:val="nil"/>
              <w:left w:val="nil"/>
              <w:bottom w:val="nil"/>
              <w:right w:val="nil"/>
            </w:tcBorders>
            <w:vAlign w:val="bottom"/>
          </w:tcPr>
          <w:p w14:paraId="2379C11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0.156674</w:t>
            </w:r>
          </w:p>
        </w:tc>
        <w:tc>
          <w:tcPr>
            <w:tcW w:w="1150" w:type="dxa"/>
            <w:tcBorders>
              <w:top w:val="nil"/>
              <w:left w:val="nil"/>
              <w:bottom w:val="nil"/>
              <w:right w:val="nil"/>
            </w:tcBorders>
            <w:vAlign w:val="bottom"/>
          </w:tcPr>
          <w:p w14:paraId="10F15EE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-2.357843</w:t>
            </w:r>
          </w:p>
        </w:tc>
        <w:tc>
          <w:tcPr>
            <w:tcW w:w="950" w:type="dxa"/>
            <w:tcBorders>
              <w:top w:val="nil"/>
              <w:left w:val="nil"/>
              <w:bottom w:val="nil"/>
              <w:right w:val="nil"/>
            </w:tcBorders>
            <w:vAlign w:val="bottom"/>
          </w:tcPr>
          <w:p w14:paraId="16D3A68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0.0649</w:t>
            </w:r>
          </w:p>
        </w:tc>
      </w:tr>
      <w:tr w:rsidR="00EA38DE" w:rsidRPr="00EA38DE" w14:paraId="4B918C75" w14:textId="77777777" w:rsidTr="009501B5">
        <w:trPr>
          <w:trHeight w:val="220"/>
        </w:trPr>
        <w:tc>
          <w:tcPr>
            <w:tcW w:w="2120" w:type="dxa"/>
            <w:tcBorders>
              <w:top w:val="nil"/>
              <w:left w:val="nil"/>
              <w:bottom w:val="nil"/>
              <w:right w:val="nil"/>
            </w:tcBorders>
            <w:vAlign w:val="bottom"/>
          </w:tcPr>
          <w:p w14:paraId="0D726D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w:t>
            </w:r>
          </w:p>
        </w:tc>
        <w:tc>
          <w:tcPr>
            <w:tcW w:w="1050" w:type="dxa"/>
            <w:tcBorders>
              <w:top w:val="nil"/>
              <w:left w:val="nil"/>
              <w:bottom w:val="nil"/>
              <w:right w:val="nil"/>
            </w:tcBorders>
            <w:vAlign w:val="bottom"/>
          </w:tcPr>
          <w:p w14:paraId="79EB0CF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3.484801</w:t>
            </w:r>
          </w:p>
        </w:tc>
        <w:tc>
          <w:tcPr>
            <w:tcW w:w="1150" w:type="dxa"/>
            <w:tcBorders>
              <w:top w:val="nil"/>
              <w:left w:val="nil"/>
              <w:bottom w:val="nil"/>
              <w:right w:val="nil"/>
            </w:tcBorders>
            <w:vAlign w:val="bottom"/>
          </w:tcPr>
          <w:p w14:paraId="495D421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1.158290</w:t>
            </w:r>
          </w:p>
        </w:tc>
        <w:tc>
          <w:tcPr>
            <w:tcW w:w="1150" w:type="dxa"/>
            <w:tcBorders>
              <w:top w:val="nil"/>
              <w:left w:val="nil"/>
              <w:bottom w:val="nil"/>
              <w:right w:val="nil"/>
            </w:tcBorders>
            <w:vAlign w:val="bottom"/>
          </w:tcPr>
          <w:p w14:paraId="19BE19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3.008572</w:t>
            </w:r>
          </w:p>
        </w:tc>
        <w:tc>
          <w:tcPr>
            <w:tcW w:w="950" w:type="dxa"/>
            <w:tcBorders>
              <w:top w:val="nil"/>
              <w:left w:val="nil"/>
              <w:bottom w:val="nil"/>
              <w:right w:val="nil"/>
            </w:tcBorders>
            <w:vAlign w:val="bottom"/>
          </w:tcPr>
          <w:p w14:paraId="2CD391E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0.0298</w:t>
            </w:r>
          </w:p>
        </w:tc>
      </w:tr>
      <w:tr w:rsidR="00EA38DE" w:rsidRPr="00EA38DE" w14:paraId="13D8F4D5" w14:textId="77777777" w:rsidTr="009501B5">
        <w:trPr>
          <w:trHeight w:val="220"/>
        </w:trPr>
        <w:tc>
          <w:tcPr>
            <w:tcW w:w="2120" w:type="dxa"/>
            <w:tcBorders>
              <w:top w:val="nil"/>
              <w:left w:val="nil"/>
              <w:bottom w:val="nil"/>
              <w:right w:val="nil"/>
            </w:tcBorders>
            <w:vAlign w:val="bottom"/>
          </w:tcPr>
          <w:p w14:paraId="29C645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D(LDLNT(-1))</w:t>
            </w:r>
          </w:p>
        </w:tc>
        <w:tc>
          <w:tcPr>
            <w:tcW w:w="1050" w:type="dxa"/>
            <w:tcBorders>
              <w:top w:val="nil"/>
              <w:left w:val="nil"/>
              <w:bottom w:val="nil"/>
              <w:right w:val="nil"/>
            </w:tcBorders>
            <w:vAlign w:val="bottom"/>
          </w:tcPr>
          <w:p w14:paraId="36581BD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3.514216</w:t>
            </w:r>
          </w:p>
        </w:tc>
        <w:tc>
          <w:tcPr>
            <w:tcW w:w="1150" w:type="dxa"/>
            <w:tcBorders>
              <w:top w:val="nil"/>
              <w:left w:val="nil"/>
              <w:bottom w:val="nil"/>
              <w:right w:val="nil"/>
            </w:tcBorders>
            <w:vAlign w:val="bottom"/>
          </w:tcPr>
          <w:p w14:paraId="6D321C0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1.802197</w:t>
            </w:r>
          </w:p>
        </w:tc>
        <w:tc>
          <w:tcPr>
            <w:tcW w:w="1150" w:type="dxa"/>
            <w:tcBorders>
              <w:top w:val="nil"/>
              <w:left w:val="nil"/>
              <w:bottom w:val="nil"/>
              <w:right w:val="nil"/>
            </w:tcBorders>
            <w:vAlign w:val="bottom"/>
          </w:tcPr>
          <w:p w14:paraId="3669B5C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1.949962</w:t>
            </w:r>
          </w:p>
        </w:tc>
        <w:tc>
          <w:tcPr>
            <w:tcW w:w="950" w:type="dxa"/>
            <w:tcBorders>
              <w:top w:val="nil"/>
              <w:left w:val="nil"/>
              <w:bottom w:val="nil"/>
              <w:right w:val="nil"/>
            </w:tcBorders>
            <w:vAlign w:val="bottom"/>
          </w:tcPr>
          <w:p w14:paraId="106F2B3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0.1087</w:t>
            </w:r>
          </w:p>
        </w:tc>
      </w:tr>
      <w:tr w:rsidR="00EA38DE" w:rsidRPr="00EA38DE" w14:paraId="12E4F29C" w14:textId="77777777" w:rsidTr="009501B5">
        <w:trPr>
          <w:trHeight w:val="220"/>
        </w:trPr>
        <w:tc>
          <w:tcPr>
            <w:tcW w:w="2120" w:type="dxa"/>
            <w:tcBorders>
              <w:top w:val="nil"/>
              <w:left w:val="nil"/>
              <w:bottom w:val="nil"/>
              <w:right w:val="nil"/>
            </w:tcBorders>
            <w:vAlign w:val="bottom"/>
          </w:tcPr>
          <w:p w14:paraId="053556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D(LDLNT(-2))</w:t>
            </w:r>
          </w:p>
        </w:tc>
        <w:tc>
          <w:tcPr>
            <w:tcW w:w="1050" w:type="dxa"/>
            <w:tcBorders>
              <w:top w:val="nil"/>
              <w:left w:val="nil"/>
              <w:bottom w:val="nil"/>
              <w:right w:val="nil"/>
            </w:tcBorders>
            <w:vAlign w:val="bottom"/>
          </w:tcPr>
          <w:p w14:paraId="6A4F3AD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4.032599</w:t>
            </w:r>
          </w:p>
        </w:tc>
        <w:tc>
          <w:tcPr>
            <w:tcW w:w="1150" w:type="dxa"/>
            <w:tcBorders>
              <w:top w:val="nil"/>
              <w:left w:val="nil"/>
              <w:bottom w:val="nil"/>
              <w:right w:val="nil"/>
            </w:tcBorders>
            <w:vAlign w:val="bottom"/>
          </w:tcPr>
          <w:p w14:paraId="7C90C0B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1.918656</w:t>
            </w:r>
          </w:p>
        </w:tc>
        <w:tc>
          <w:tcPr>
            <w:tcW w:w="1150" w:type="dxa"/>
            <w:tcBorders>
              <w:top w:val="nil"/>
              <w:left w:val="nil"/>
              <w:bottom w:val="nil"/>
              <w:right w:val="nil"/>
            </w:tcBorders>
            <w:vAlign w:val="bottom"/>
          </w:tcPr>
          <w:p w14:paraId="583EF7D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2.101784</w:t>
            </w:r>
          </w:p>
        </w:tc>
        <w:tc>
          <w:tcPr>
            <w:tcW w:w="950" w:type="dxa"/>
            <w:tcBorders>
              <w:top w:val="nil"/>
              <w:left w:val="nil"/>
              <w:bottom w:val="nil"/>
              <w:right w:val="nil"/>
            </w:tcBorders>
            <w:vAlign w:val="bottom"/>
          </w:tcPr>
          <w:p w14:paraId="02B5C8C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0.0896</w:t>
            </w:r>
          </w:p>
        </w:tc>
      </w:tr>
      <w:tr w:rsidR="00EA38DE" w:rsidRPr="00EA38DE" w14:paraId="28C2FCBB" w14:textId="77777777" w:rsidTr="009501B5">
        <w:trPr>
          <w:trHeight w:val="220"/>
        </w:trPr>
        <w:tc>
          <w:tcPr>
            <w:tcW w:w="2120" w:type="dxa"/>
            <w:tcBorders>
              <w:top w:val="nil"/>
              <w:left w:val="nil"/>
              <w:bottom w:val="nil"/>
              <w:right w:val="nil"/>
            </w:tcBorders>
            <w:vAlign w:val="bottom"/>
          </w:tcPr>
          <w:p w14:paraId="743BFC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3C52A35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-0.000774</w:t>
            </w:r>
          </w:p>
        </w:tc>
        <w:tc>
          <w:tcPr>
            <w:tcW w:w="1150" w:type="dxa"/>
            <w:tcBorders>
              <w:top w:val="nil"/>
              <w:left w:val="nil"/>
              <w:bottom w:val="nil"/>
              <w:right w:val="nil"/>
            </w:tcBorders>
            <w:vAlign w:val="bottom"/>
          </w:tcPr>
          <w:p w14:paraId="4950857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0.011438</w:t>
            </w:r>
          </w:p>
        </w:tc>
        <w:tc>
          <w:tcPr>
            <w:tcW w:w="1150" w:type="dxa"/>
            <w:tcBorders>
              <w:top w:val="nil"/>
              <w:left w:val="nil"/>
              <w:bottom w:val="nil"/>
              <w:right w:val="nil"/>
            </w:tcBorders>
            <w:vAlign w:val="bottom"/>
          </w:tcPr>
          <w:p w14:paraId="311DDA3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-0.067685</w:t>
            </w:r>
          </w:p>
        </w:tc>
        <w:tc>
          <w:tcPr>
            <w:tcW w:w="950" w:type="dxa"/>
            <w:tcBorders>
              <w:top w:val="nil"/>
              <w:left w:val="nil"/>
              <w:bottom w:val="nil"/>
              <w:right w:val="nil"/>
            </w:tcBorders>
            <w:vAlign w:val="bottom"/>
          </w:tcPr>
          <w:p w14:paraId="61482BB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0.9487</w:t>
            </w:r>
          </w:p>
        </w:tc>
      </w:tr>
      <w:tr w:rsidR="00EA38DE" w:rsidRPr="00EA38DE" w14:paraId="74388E31" w14:textId="77777777" w:rsidTr="009501B5">
        <w:trPr>
          <w:trHeight w:val="220"/>
        </w:trPr>
        <w:tc>
          <w:tcPr>
            <w:tcW w:w="2120" w:type="dxa"/>
            <w:tcBorders>
              <w:top w:val="nil"/>
              <w:left w:val="nil"/>
              <w:bottom w:val="nil"/>
              <w:right w:val="nil"/>
            </w:tcBorders>
            <w:vAlign w:val="bottom"/>
          </w:tcPr>
          <w:p w14:paraId="5B664A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D(IFR(-3))</w:t>
            </w:r>
          </w:p>
        </w:tc>
        <w:tc>
          <w:tcPr>
            <w:tcW w:w="1050" w:type="dxa"/>
            <w:tcBorders>
              <w:top w:val="nil"/>
              <w:left w:val="nil"/>
              <w:bottom w:val="nil"/>
              <w:right w:val="nil"/>
            </w:tcBorders>
            <w:vAlign w:val="bottom"/>
          </w:tcPr>
          <w:p w14:paraId="7E39968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-0.009886</w:t>
            </w:r>
          </w:p>
        </w:tc>
        <w:tc>
          <w:tcPr>
            <w:tcW w:w="1150" w:type="dxa"/>
            <w:tcBorders>
              <w:top w:val="nil"/>
              <w:left w:val="nil"/>
              <w:bottom w:val="nil"/>
              <w:right w:val="nil"/>
            </w:tcBorders>
            <w:vAlign w:val="bottom"/>
          </w:tcPr>
          <w:p w14:paraId="02510A5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0.007743</w:t>
            </w:r>
          </w:p>
        </w:tc>
        <w:tc>
          <w:tcPr>
            <w:tcW w:w="1150" w:type="dxa"/>
            <w:tcBorders>
              <w:top w:val="nil"/>
              <w:left w:val="nil"/>
              <w:bottom w:val="nil"/>
              <w:right w:val="nil"/>
            </w:tcBorders>
            <w:vAlign w:val="bottom"/>
          </w:tcPr>
          <w:p w14:paraId="7A05ABB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-1.276739</w:t>
            </w:r>
          </w:p>
        </w:tc>
        <w:tc>
          <w:tcPr>
            <w:tcW w:w="950" w:type="dxa"/>
            <w:tcBorders>
              <w:top w:val="nil"/>
              <w:left w:val="nil"/>
              <w:bottom w:val="nil"/>
              <w:right w:val="nil"/>
            </w:tcBorders>
            <w:vAlign w:val="bottom"/>
          </w:tcPr>
          <w:p w14:paraId="4698EFE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0.2578</w:t>
            </w:r>
          </w:p>
        </w:tc>
      </w:tr>
      <w:tr w:rsidR="00EA38DE" w:rsidRPr="00EA38DE" w14:paraId="730F2EF0" w14:textId="77777777" w:rsidTr="009501B5">
        <w:trPr>
          <w:trHeight w:val="220"/>
        </w:trPr>
        <w:tc>
          <w:tcPr>
            <w:tcW w:w="2120" w:type="dxa"/>
            <w:tcBorders>
              <w:top w:val="nil"/>
              <w:left w:val="nil"/>
              <w:bottom w:val="nil"/>
              <w:right w:val="nil"/>
            </w:tcBorders>
            <w:vAlign w:val="bottom"/>
          </w:tcPr>
          <w:p w14:paraId="38B3D1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6582BEF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14.13689</w:t>
            </w:r>
          </w:p>
        </w:tc>
        <w:tc>
          <w:tcPr>
            <w:tcW w:w="1150" w:type="dxa"/>
            <w:tcBorders>
              <w:top w:val="nil"/>
              <w:left w:val="nil"/>
              <w:bottom w:val="nil"/>
              <w:right w:val="nil"/>
            </w:tcBorders>
            <w:vAlign w:val="bottom"/>
          </w:tcPr>
          <w:p w14:paraId="63E3F79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6.935363</w:t>
            </w:r>
          </w:p>
        </w:tc>
        <w:tc>
          <w:tcPr>
            <w:tcW w:w="1150" w:type="dxa"/>
            <w:tcBorders>
              <w:top w:val="nil"/>
              <w:left w:val="nil"/>
              <w:bottom w:val="nil"/>
              <w:right w:val="nil"/>
            </w:tcBorders>
            <w:vAlign w:val="bottom"/>
          </w:tcPr>
          <w:p w14:paraId="3B9F60F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2.038378</w:t>
            </w:r>
          </w:p>
        </w:tc>
        <w:tc>
          <w:tcPr>
            <w:tcW w:w="950" w:type="dxa"/>
            <w:tcBorders>
              <w:top w:val="nil"/>
              <w:left w:val="nil"/>
              <w:bottom w:val="nil"/>
              <w:right w:val="nil"/>
            </w:tcBorders>
            <w:vAlign w:val="bottom"/>
          </w:tcPr>
          <w:p w14:paraId="6C577AC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0.0971</w:t>
            </w:r>
          </w:p>
        </w:tc>
      </w:tr>
      <w:tr w:rsidR="00EA38DE" w:rsidRPr="00EA38DE" w14:paraId="0B1B082D" w14:textId="77777777" w:rsidTr="009501B5">
        <w:trPr>
          <w:trHeight w:val="220"/>
        </w:trPr>
        <w:tc>
          <w:tcPr>
            <w:tcW w:w="2120" w:type="dxa"/>
            <w:tcBorders>
              <w:top w:val="nil"/>
              <w:left w:val="nil"/>
              <w:bottom w:val="nil"/>
              <w:right w:val="nil"/>
            </w:tcBorders>
            <w:vAlign w:val="bottom"/>
          </w:tcPr>
          <w:p w14:paraId="2888A2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1CBBBAB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49.59806</w:t>
            </w:r>
          </w:p>
        </w:tc>
        <w:tc>
          <w:tcPr>
            <w:tcW w:w="1150" w:type="dxa"/>
            <w:tcBorders>
              <w:top w:val="nil"/>
              <w:left w:val="nil"/>
              <w:bottom w:val="nil"/>
              <w:right w:val="nil"/>
            </w:tcBorders>
            <w:vAlign w:val="bottom"/>
          </w:tcPr>
          <w:p w14:paraId="68F784E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31.32412</w:t>
            </w:r>
          </w:p>
        </w:tc>
        <w:tc>
          <w:tcPr>
            <w:tcW w:w="1150" w:type="dxa"/>
            <w:tcBorders>
              <w:top w:val="nil"/>
              <w:left w:val="nil"/>
              <w:bottom w:val="nil"/>
              <w:right w:val="nil"/>
            </w:tcBorders>
            <w:vAlign w:val="bottom"/>
          </w:tcPr>
          <w:p w14:paraId="7AB1899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1.583382</w:t>
            </w:r>
          </w:p>
        </w:tc>
        <w:tc>
          <w:tcPr>
            <w:tcW w:w="950" w:type="dxa"/>
            <w:tcBorders>
              <w:top w:val="nil"/>
              <w:left w:val="nil"/>
              <w:bottom w:val="nil"/>
              <w:right w:val="nil"/>
            </w:tcBorders>
            <w:vAlign w:val="bottom"/>
          </w:tcPr>
          <w:p w14:paraId="07F9897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0.1742</w:t>
            </w:r>
          </w:p>
        </w:tc>
      </w:tr>
      <w:tr w:rsidR="00EA38DE" w:rsidRPr="00EA38DE" w14:paraId="6073FF74" w14:textId="77777777" w:rsidTr="009501B5">
        <w:trPr>
          <w:trHeight w:val="220"/>
        </w:trPr>
        <w:tc>
          <w:tcPr>
            <w:tcW w:w="2120" w:type="dxa"/>
            <w:tcBorders>
              <w:top w:val="nil"/>
              <w:left w:val="nil"/>
              <w:bottom w:val="nil"/>
              <w:right w:val="nil"/>
            </w:tcBorders>
            <w:vAlign w:val="bottom"/>
          </w:tcPr>
          <w:p w14:paraId="2715627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D(LLAB(-2))</w:t>
            </w:r>
          </w:p>
        </w:tc>
        <w:tc>
          <w:tcPr>
            <w:tcW w:w="1050" w:type="dxa"/>
            <w:tcBorders>
              <w:top w:val="nil"/>
              <w:left w:val="nil"/>
              <w:bottom w:val="nil"/>
              <w:right w:val="nil"/>
            </w:tcBorders>
            <w:vAlign w:val="bottom"/>
          </w:tcPr>
          <w:p w14:paraId="7A6E567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24.95756</w:t>
            </w:r>
          </w:p>
        </w:tc>
        <w:tc>
          <w:tcPr>
            <w:tcW w:w="1150" w:type="dxa"/>
            <w:tcBorders>
              <w:top w:val="nil"/>
              <w:left w:val="nil"/>
              <w:bottom w:val="nil"/>
              <w:right w:val="nil"/>
            </w:tcBorders>
            <w:vAlign w:val="bottom"/>
          </w:tcPr>
          <w:p w14:paraId="75F76BF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53.12824</w:t>
            </w:r>
          </w:p>
        </w:tc>
        <w:tc>
          <w:tcPr>
            <w:tcW w:w="1150" w:type="dxa"/>
            <w:tcBorders>
              <w:top w:val="nil"/>
              <w:left w:val="nil"/>
              <w:bottom w:val="nil"/>
              <w:right w:val="nil"/>
            </w:tcBorders>
            <w:vAlign w:val="bottom"/>
          </w:tcPr>
          <w:p w14:paraId="2FF5DC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0.469761</w:t>
            </w:r>
          </w:p>
        </w:tc>
        <w:tc>
          <w:tcPr>
            <w:tcW w:w="950" w:type="dxa"/>
            <w:tcBorders>
              <w:top w:val="nil"/>
              <w:left w:val="nil"/>
              <w:bottom w:val="nil"/>
              <w:right w:val="nil"/>
            </w:tcBorders>
            <w:vAlign w:val="bottom"/>
          </w:tcPr>
          <w:p w14:paraId="0607487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0.6583</w:t>
            </w:r>
          </w:p>
        </w:tc>
      </w:tr>
      <w:tr w:rsidR="00EA38DE" w:rsidRPr="00EA38DE" w14:paraId="6EEC3C41" w14:textId="77777777" w:rsidTr="009501B5">
        <w:trPr>
          <w:trHeight w:val="220"/>
        </w:trPr>
        <w:tc>
          <w:tcPr>
            <w:tcW w:w="2120" w:type="dxa"/>
            <w:tcBorders>
              <w:top w:val="nil"/>
              <w:left w:val="nil"/>
              <w:bottom w:val="nil"/>
              <w:right w:val="nil"/>
            </w:tcBorders>
            <w:vAlign w:val="bottom"/>
          </w:tcPr>
          <w:p w14:paraId="5D1BF9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D(LLAB(-3))</w:t>
            </w:r>
          </w:p>
        </w:tc>
        <w:tc>
          <w:tcPr>
            <w:tcW w:w="1050" w:type="dxa"/>
            <w:tcBorders>
              <w:top w:val="nil"/>
              <w:left w:val="nil"/>
              <w:bottom w:val="nil"/>
              <w:right w:val="nil"/>
            </w:tcBorders>
            <w:vAlign w:val="bottom"/>
          </w:tcPr>
          <w:p w14:paraId="153FA71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138.7644</w:t>
            </w:r>
          </w:p>
        </w:tc>
        <w:tc>
          <w:tcPr>
            <w:tcW w:w="1150" w:type="dxa"/>
            <w:tcBorders>
              <w:top w:val="nil"/>
              <w:left w:val="nil"/>
              <w:bottom w:val="nil"/>
              <w:right w:val="nil"/>
            </w:tcBorders>
            <w:vAlign w:val="bottom"/>
          </w:tcPr>
          <w:p w14:paraId="45F95C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46.22436</w:t>
            </w:r>
          </w:p>
        </w:tc>
        <w:tc>
          <w:tcPr>
            <w:tcW w:w="1150" w:type="dxa"/>
            <w:tcBorders>
              <w:top w:val="nil"/>
              <w:left w:val="nil"/>
              <w:bottom w:val="nil"/>
              <w:right w:val="nil"/>
            </w:tcBorders>
            <w:vAlign w:val="bottom"/>
          </w:tcPr>
          <w:p w14:paraId="0A54964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3.001976</w:t>
            </w:r>
          </w:p>
        </w:tc>
        <w:tc>
          <w:tcPr>
            <w:tcW w:w="950" w:type="dxa"/>
            <w:tcBorders>
              <w:top w:val="nil"/>
              <w:left w:val="nil"/>
              <w:bottom w:val="nil"/>
              <w:right w:val="nil"/>
            </w:tcBorders>
            <w:vAlign w:val="bottom"/>
          </w:tcPr>
          <w:p w14:paraId="6A16273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0.0300</w:t>
            </w:r>
          </w:p>
        </w:tc>
      </w:tr>
      <w:tr w:rsidR="00EA38DE" w:rsidRPr="00EA38DE" w14:paraId="48F51883" w14:textId="77777777" w:rsidTr="009501B5">
        <w:trPr>
          <w:trHeight w:val="220"/>
        </w:trPr>
        <w:tc>
          <w:tcPr>
            <w:tcW w:w="2120" w:type="dxa"/>
            <w:tcBorders>
              <w:top w:val="nil"/>
              <w:left w:val="nil"/>
              <w:bottom w:val="nil"/>
              <w:right w:val="nil"/>
            </w:tcBorders>
            <w:vAlign w:val="bottom"/>
          </w:tcPr>
          <w:p w14:paraId="77D075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13360BD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0.037118</w:t>
            </w:r>
          </w:p>
        </w:tc>
        <w:tc>
          <w:tcPr>
            <w:tcW w:w="1150" w:type="dxa"/>
            <w:tcBorders>
              <w:top w:val="nil"/>
              <w:left w:val="nil"/>
              <w:bottom w:val="nil"/>
              <w:right w:val="nil"/>
            </w:tcBorders>
            <w:vAlign w:val="bottom"/>
          </w:tcPr>
          <w:p w14:paraId="1B716C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0.126013</w:t>
            </w:r>
          </w:p>
        </w:tc>
        <w:tc>
          <w:tcPr>
            <w:tcW w:w="1150" w:type="dxa"/>
            <w:tcBorders>
              <w:top w:val="nil"/>
              <w:left w:val="nil"/>
              <w:bottom w:val="nil"/>
              <w:right w:val="nil"/>
            </w:tcBorders>
            <w:vAlign w:val="bottom"/>
          </w:tcPr>
          <w:p w14:paraId="6962474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0.294561</w:t>
            </w:r>
          </w:p>
        </w:tc>
        <w:tc>
          <w:tcPr>
            <w:tcW w:w="950" w:type="dxa"/>
            <w:tcBorders>
              <w:top w:val="nil"/>
              <w:left w:val="nil"/>
              <w:bottom w:val="nil"/>
              <w:right w:val="nil"/>
            </w:tcBorders>
            <w:vAlign w:val="bottom"/>
          </w:tcPr>
          <w:p w14:paraId="7A55CF0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0.7802</w:t>
            </w:r>
          </w:p>
        </w:tc>
      </w:tr>
      <w:tr w:rsidR="00EA38DE" w:rsidRPr="00EA38DE" w14:paraId="7011FB09" w14:textId="77777777" w:rsidTr="009501B5">
        <w:trPr>
          <w:trHeight w:val="220"/>
        </w:trPr>
        <w:tc>
          <w:tcPr>
            <w:tcW w:w="2120" w:type="dxa"/>
            <w:tcBorders>
              <w:top w:val="nil"/>
              <w:left w:val="nil"/>
              <w:bottom w:val="nil"/>
              <w:right w:val="nil"/>
            </w:tcBorders>
            <w:vAlign w:val="bottom"/>
          </w:tcPr>
          <w:p w14:paraId="7DBA3D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D(TRF(-1))</w:t>
            </w:r>
          </w:p>
        </w:tc>
        <w:tc>
          <w:tcPr>
            <w:tcW w:w="1050" w:type="dxa"/>
            <w:tcBorders>
              <w:top w:val="nil"/>
              <w:left w:val="nil"/>
              <w:bottom w:val="nil"/>
              <w:right w:val="nil"/>
            </w:tcBorders>
            <w:vAlign w:val="bottom"/>
          </w:tcPr>
          <w:p w14:paraId="6CE642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-1.057240</w:t>
            </w:r>
          </w:p>
        </w:tc>
        <w:tc>
          <w:tcPr>
            <w:tcW w:w="1150" w:type="dxa"/>
            <w:tcBorders>
              <w:top w:val="nil"/>
              <w:left w:val="nil"/>
              <w:bottom w:val="nil"/>
              <w:right w:val="nil"/>
            </w:tcBorders>
            <w:vAlign w:val="bottom"/>
          </w:tcPr>
          <w:p w14:paraId="58930D1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0.368916</w:t>
            </w:r>
          </w:p>
        </w:tc>
        <w:tc>
          <w:tcPr>
            <w:tcW w:w="1150" w:type="dxa"/>
            <w:tcBorders>
              <w:top w:val="nil"/>
              <w:left w:val="nil"/>
              <w:bottom w:val="nil"/>
              <w:right w:val="nil"/>
            </w:tcBorders>
            <w:vAlign w:val="bottom"/>
          </w:tcPr>
          <w:p w14:paraId="1C69C8F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-2.865799</w:t>
            </w:r>
          </w:p>
        </w:tc>
        <w:tc>
          <w:tcPr>
            <w:tcW w:w="950" w:type="dxa"/>
            <w:tcBorders>
              <w:top w:val="nil"/>
              <w:left w:val="nil"/>
              <w:bottom w:val="nil"/>
              <w:right w:val="nil"/>
            </w:tcBorders>
            <w:vAlign w:val="bottom"/>
          </w:tcPr>
          <w:p w14:paraId="214F08D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0.0352</w:t>
            </w:r>
          </w:p>
        </w:tc>
      </w:tr>
      <w:tr w:rsidR="00EA38DE" w:rsidRPr="00EA38DE" w14:paraId="1D06D39F" w14:textId="77777777" w:rsidTr="009501B5">
        <w:trPr>
          <w:trHeight w:val="220"/>
        </w:trPr>
        <w:tc>
          <w:tcPr>
            <w:tcW w:w="2120" w:type="dxa"/>
            <w:tcBorders>
              <w:top w:val="nil"/>
              <w:left w:val="nil"/>
              <w:bottom w:val="nil"/>
              <w:right w:val="nil"/>
            </w:tcBorders>
            <w:vAlign w:val="bottom"/>
          </w:tcPr>
          <w:p w14:paraId="7CD882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D(TRF(-2))</w:t>
            </w:r>
          </w:p>
        </w:tc>
        <w:tc>
          <w:tcPr>
            <w:tcW w:w="1050" w:type="dxa"/>
            <w:tcBorders>
              <w:top w:val="nil"/>
              <w:left w:val="nil"/>
              <w:bottom w:val="nil"/>
              <w:right w:val="nil"/>
            </w:tcBorders>
            <w:vAlign w:val="bottom"/>
          </w:tcPr>
          <w:p w14:paraId="191545D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-0.804689</w:t>
            </w:r>
          </w:p>
        </w:tc>
        <w:tc>
          <w:tcPr>
            <w:tcW w:w="1150" w:type="dxa"/>
            <w:tcBorders>
              <w:top w:val="nil"/>
              <w:left w:val="nil"/>
              <w:bottom w:val="nil"/>
              <w:right w:val="nil"/>
            </w:tcBorders>
            <w:vAlign w:val="bottom"/>
          </w:tcPr>
          <w:p w14:paraId="60255B9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0.285534</w:t>
            </w:r>
          </w:p>
        </w:tc>
        <w:tc>
          <w:tcPr>
            <w:tcW w:w="1150" w:type="dxa"/>
            <w:tcBorders>
              <w:top w:val="nil"/>
              <w:left w:val="nil"/>
              <w:bottom w:val="nil"/>
              <w:right w:val="nil"/>
            </w:tcBorders>
            <w:vAlign w:val="bottom"/>
          </w:tcPr>
          <w:p w14:paraId="14378DD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-2.818187</w:t>
            </w:r>
          </w:p>
        </w:tc>
        <w:tc>
          <w:tcPr>
            <w:tcW w:w="950" w:type="dxa"/>
            <w:tcBorders>
              <w:top w:val="nil"/>
              <w:left w:val="nil"/>
              <w:bottom w:val="nil"/>
              <w:right w:val="nil"/>
            </w:tcBorders>
            <w:vAlign w:val="bottom"/>
          </w:tcPr>
          <w:p w14:paraId="32485C3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0.0372</w:t>
            </w:r>
          </w:p>
        </w:tc>
      </w:tr>
      <w:tr w:rsidR="00EA38DE" w:rsidRPr="00EA38DE" w14:paraId="29FDEC40" w14:textId="77777777" w:rsidTr="009501B5">
        <w:trPr>
          <w:trHeight w:val="220"/>
        </w:trPr>
        <w:tc>
          <w:tcPr>
            <w:tcW w:w="2120" w:type="dxa"/>
            <w:tcBorders>
              <w:top w:val="nil"/>
              <w:left w:val="nil"/>
              <w:bottom w:val="nil"/>
              <w:right w:val="nil"/>
            </w:tcBorders>
            <w:vAlign w:val="bottom"/>
          </w:tcPr>
          <w:p w14:paraId="29F137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D(TRF(-3))</w:t>
            </w:r>
          </w:p>
        </w:tc>
        <w:tc>
          <w:tcPr>
            <w:tcW w:w="1050" w:type="dxa"/>
            <w:tcBorders>
              <w:top w:val="nil"/>
              <w:left w:val="nil"/>
              <w:bottom w:val="nil"/>
              <w:right w:val="nil"/>
            </w:tcBorders>
            <w:vAlign w:val="bottom"/>
          </w:tcPr>
          <w:p w14:paraId="25E09C5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-0.582882</w:t>
            </w:r>
          </w:p>
        </w:tc>
        <w:tc>
          <w:tcPr>
            <w:tcW w:w="1150" w:type="dxa"/>
            <w:tcBorders>
              <w:top w:val="nil"/>
              <w:left w:val="nil"/>
              <w:bottom w:val="nil"/>
              <w:right w:val="nil"/>
            </w:tcBorders>
            <w:vAlign w:val="bottom"/>
          </w:tcPr>
          <w:p w14:paraId="34D986A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0.190381</w:t>
            </w:r>
          </w:p>
        </w:tc>
        <w:tc>
          <w:tcPr>
            <w:tcW w:w="1150" w:type="dxa"/>
            <w:tcBorders>
              <w:top w:val="nil"/>
              <w:left w:val="nil"/>
              <w:bottom w:val="nil"/>
              <w:right w:val="nil"/>
            </w:tcBorders>
            <w:vAlign w:val="bottom"/>
          </w:tcPr>
          <w:p w14:paraId="180F632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-3.061657</w:t>
            </w:r>
          </w:p>
        </w:tc>
        <w:tc>
          <w:tcPr>
            <w:tcW w:w="950" w:type="dxa"/>
            <w:tcBorders>
              <w:top w:val="nil"/>
              <w:left w:val="nil"/>
              <w:bottom w:val="nil"/>
              <w:right w:val="nil"/>
            </w:tcBorders>
            <w:vAlign w:val="bottom"/>
          </w:tcPr>
          <w:p w14:paraId="215A8DC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0.0280</w:t>
            </w:r>
          </w:p>
        </w:tc>
      </w:tr>
      <w:tr w:rsidR="00EA38DE" w:rsidRPr="00EA38DE" w14:paraId="5F27573D" w14:textId="77777777" w:rsidTr="009501B5">
        <w:trPr>
          <w:trHeight w:hRule="exact" w:val="88"/>
        </w:trPr>
        <w:tc>
          <w:tcPr>
            <w:tcW w:w="2120" w:type="dxa"/>
            <w:tcBorders>
              <w:top w:val="nil"/>
              <w:left w:val="nil"/>
              <w:bottom w:val="double" w:sz="6" w:space="2" w:color="auto"/>
              <w:right w:val="nil"/>
            </w:tcBorders>
            <w:vAlign w:val="bottom"/>
          </w:tcPr>
          <w:p w14:paraId="0D5D2E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AD6DA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F7D08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ABCF9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EBCE1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2F321A1" w14:textId="77777777" w:rsidTr="009501B5">
        <w:trPr>
          <w:trHeight w:hRule="exact" w:val="132"/>
        </w:trPr>
        <w:tc>
          <w:tcPr>
            <w:tcW w:w="2120" w:type="dxa"/>
            <w:tcBorders>
              <w:top w:val="nil"/>
              <w:left w:val="nil"/>
              <w:bottom w:val="nil"/>
              <w:right w:val="nil"/>
            </w:tcBorders>
            <w:vAlign w:val="bottom"/>
          </w:tcPr>
          <w:p w14:paraId="034AA2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157D5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AA47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C83AA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22BBC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198DDB4" w14:textId="77777777" w:rsidTr="009501B5">
        <w:trPr>
          <w:trHeight w:val="220"/>
        </w:trPr>
        <w:tc>
          <w:tcPr>
            <w:tcW w:w="6420" w:type="dxa"/>
            <w:gridSpan w:val="5"/>
            <w:tcBorders>
              <w:top w:val="nil"/>
              <w:left w:val="nil"/>
              <w:bottom w:val="nil"/>
              <w:right w:val="nil"/>
            </w:tcBorders>
            <w:vAlign w:val="bottom"/>
          </w:tcPr>
          <w:p w14:paraId="045DE7F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 p-value incompatible with t-Bounds distribution.</w:t>
            </w:r>
          </w:p>
        </w:tc>
      </w:tr>
      <w:tr w:rsidR="00EA38DE" w:rsidRPr="00EA38DE" w14:paraId="0DC69D3A" w14:textId="77777777" w:rsidTr="009501B5">
        <w:trPr>
          <w:trHeight w:val="220"/>
        </w:trPr>
        <w:tc>
          <w:tcPr>
            <w:tcW w:w="2120" w:type="dxa"/>
            <w:tcBorders>
              <w:top w:val="nil"/>
              <w:left w:val="nil"/>
              <w:bottom w:val="nil"/>
              <w:right w:val="nil"/>
            </w:tcBorders>
            <w:vAlign w:val="bottom"/>
          </w:tcPr>
          <w:p w14:paraId="007DF63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B5C76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5418FA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F3015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2B53B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C2309E3" w14:textId="77777777" w:rsidTr="009501B5">
        <w:trPr>
          <w:trHeight w:hRule="exact" w:val="88"/>
        </w:trPr>
        <w:tc>
          <w:tcPr>
            <w:tcW w:w="2120" w:type="dxa"/>
            <w:tcBorders>
              <w:top w:val="nil"/>
              <w:left w:val="nil"/>
              <w:bottom w:val="double" w:sz="6" w:space="2" w:color="auto"/>
              <w:right w:val="nil"/>
            </w:tcBorders>
            <w:vAlign w:val="bottom"/>
          </w:tcPr>
          <w:p w14:paraId="178A6A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434CA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83871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86BC8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9EDA0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0A0F100" w14:textId="77777777" w:rsidTr="009501B5">
        <w:trPr>
          <w:trHeight w:hRule="exact" w:val="132"/>
        </w:trPr>
        <w:tc>
          <w:tcPr>
            <w:tcW w:w="2120" w:type="dxa"/>
            <w:tcBorders>
              <w:top w:val="nil"/>
              <w:left w:val="nil"/>
              <w:bottom w:val="nil"/>
              <w:right w:val="nil"/>
            </w:tcBorders>
            <w:vAlign w:val="bottom"/>
          </w:tcPr>
          <w:p w14:paraId="173F35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EF4B9B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D861E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D44D1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41F52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64F782B" w14:textId="77777777" w:rsidTr="009501B5">
        <w:trPr>
          <w:trHeight w:val="220"/>
        </w:trPr>
        <w:tc>
          <w:tcPr>
            <w:tcW w:w="6420" w:type="dxa"/>
            <w:gridSpan w:val="5"/>
            <w:tcBorders>
              <w:top w:val="nil"/>
              <w:left w:val="nil"/>
              <w:bottom w:val="nil"/>
              <w:right w:val="nil"/>
            </w:tcBorders>
            <w:vAlign w:val="bottom"/>
          </w:tcPr>
          <w:p w14:paraId="294A66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Levels Equation</w:t>
            </w:r>
          </w:p>
        </w:tc>
      </w:tr>
      <w:tr w:rsidR="00EA38DE" w:rsidRPr="00EA38DE" w14:paraId="12494532" w14:textId="77777777" w:rsidTr="009501B5">
        <w:trPr>
          <w:trHeight w:val="220"/>
        </w:trPr>
        <w:tc>
          <w:tcPr>
            <w:tcW w:w="6420" w:type="dxa"/>
            <w:gridSpan w:val="5"/>
            <w:tcBorders>
              <w:top w:val="nil"/>
              <w:left w:val="nil"/>
              <w:bottom w:val="nil"/>
              <w:right w:val="nil"/>
            </w:tcBorders>
            <w:vAlign w:val="bottom"/>
          </w:tcPr>
          <w:p w14:paraId="51C1C9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046EAE1B" w14:textId="77777777" w:rsidTr="009501B5">
        <w:trPr>
          <w:trHeight w:hRule="exact" w:val="88"/>
        </w:trPr>
        <w:tc>
          <w:tcPr>
            <w:tcW w:w="2120" w:type="dxa"/>
            <w:tcBorders>
              <w:top w:val="nil"/>
              <w:left w:val="nil"/>
              <w:bottom w:val="double" w:sz="6" w:space="2" w:color="auto"/>
              <w:right w:val="nil"/>
            </w:tcBorders>
            <w:vAlign w:val="bottom"/>
          </w:tcPr>
          <w:p w14:paraId="1FF03F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EB245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81A82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C17EF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D4328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8ACC9F5" w14:textId="77777777" w:rsidTr="009501B5">
        <w:trPr>
          <w:trHeight w:hRule="exact" w:val="132"/>
        </w:trPr>
        <w:tc>
          <w:tcPr>
            <w:tcW w:w="2120" w:type="dxa"/>
            <w:tcBorders>
              <w:top w:val="nil"/>
              <w:left w:val="nil"/>
              <w:bottom w:val="nil"/>
              <w:right w:val="nil"/>
            </w:tcBorders>
            <w:vAlign w:val="bottom"/>
          </w:tcPr>
          <w:p w14:paraId="2519EC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EA1D1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0F5B4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D17F7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B7A94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44A742A" w14:textId="77777777" w:rsidTr="009501B5">
        <w:trPr>
          <w:trHeight w:val="220"/>
        </w:trPr>
        <w:tc>
          <w:tcPr>
            <w:tcW w:w="2120" w:type="dxa"/>
            <w:tcBorders>
              <w:top w:val="nil"/>
              <w:left w:val="nil"/>
              <w:bottom w:val="nil"/>
              <w:right w:val="nil"/>
            </w:tcBorders>
            <w:vAlign w:val="bottom"/>
          </w:tcPr>
          <w:p w14:paraId="27CC8B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6D08036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677658E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423CBC3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2F0DED0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3187B3EE" w14:textId="77777777" w:rsidTr="009501B5">
        <w:trPr>
          <w:trHeight w:hRule="exact" w:val="88"/>
        </w:trPr>
        <w:tc>
          <w:tcPr>
            <w:tcW w:w="2120" w:type="dxa"/>
            <w:tcBorders>
              <w:top w:val="nil"/>
              <w:left w:val="nil"/>
              <w:bottom w:val="double" w:sz="6" w:space="2" w:color="auto"/>
              <w:right w:val="nil"/>
            </w:tcBorders>
            <w:vAlign w:val="bottom"/>
          </w:tcPr>
          <w:p w14:paraId="775754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C53E1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910AF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3700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90A0C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AFA3AC7" w14:textId="77777777" w:rsidTr="009501B5">
        <w:trPr>
          <w:trHeight w:hRule="exact" w:val="132"/>
        </w:trPr>
        <w:tc>
          <w:tcPr>
            <w:tcW w:w="2120" w:type="dxa"/>
            <w:tcBorders>
              <w:top w:val="nil"/>
              <w:left w:val="nil"/>
              <w:bottom w:val="nil"/>
              <w:right w:val="nil"/>
            </w:tcBorders>
            <w:vAlign w:val="bottom"/>
          </w:tcPr>
          <w:p w14:paraId="3E0E7AE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C8D56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54E2F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3787F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0C7C5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E81DC33" w14:textId="77777777" w:rsidTr="009501B5">
        <w:trPr>
          <w:trHeight w:val="220"/>
        </w:trPr>
        <w:tc>
          <w:tcPr>
            <w:tcW w:w="2120" w:type="dxa"/>
            <w:tcBorders>
              <w:top w:val="nil"/>
              <w:left w:val="nil"/>
              <w:bottom w:val="nil"/>
              <w:right w:val="nil"/>
            </w:tcBorders>
            <w:vAlign w:val="bottom"/>
          </w:tcPr>
          <w:p w14:paraId="7CADD0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LDLNT</w:t>
            </w:r>
          </w:p>
        </w:tc>
        <w:tc>
          <w:tcPr>
            <w:tcW w:w="1050" w:type="dxa"/>
            <w:tcBorders>
              <w:top w:val="nil"/>
              <w:left w:val="nil"/>
              <w:bottom w:val="nil"/>
              <w:right w:val="nil"/>
            </w:tcBorders>
            <w:vAlign w:val="bottom"/>
          </w:tcPr>
          <w:p w14:paraId="33356F9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-2.110716</w:t>
            </w:r>
          </w:p>
        </w:tc>
        <w:tc>
          <w:tcPr>
            <w:tcW w:w="1150" w:type="dxa"/>
            <w:tcBorders>
              <w:top w:val="nil"/>
              <w:left w:val="nil"/>
              <w:bottom w:val="nil"/>
              <w:right w:val="nil"/>
            </w:tcBorders>
            <w:vAlign w:val="bottom"/>
          </w:tcPr>
          <w:p w14:paraId="2405C234"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1.494127</w:t>
            </w:r>
          </w:p>
        </w:tc>
        <w:tc>
          <w:tcPr>
            <w:tcW w:w="1150" w:type="dxa"/>
            <w:tcBorders>
              <w:top w:val="nil"/>
              <w:left w:val="nil"/>
              <w:bottom w:val="nil"/>
              <w:right w:val="nil"/>
            </w:tcBorders>
            <w:vAlign w:val="bottom"/>
          </w:tcPr>
          <w:p w14:paraId="0BF8050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-1.412675</w:t>
            </w:r>
          </w:p>
        </w:tc>
        <w:tc>
          <w:tcPr>
            <w:tcW w:w="950" w:type="dxa"/>
            <w:tcBorders>
              <w:top w:val="nil"/>
              <w:left w:val="nil"/>
              <w:bottom w:val="nil"/>
              <w:right w:val="nil"/>
            </w:tcBorders>
            <w:vAlign w:val="bottom"/>
          </w:tcPr>
          <w:p w14:paraId="44E5C9F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0.2169</w:t>
            </w:r>
          </w:p>
        </w:tc>
      </w:tr>
      <w:tr w:rsidR="00EA38DE" w:rsidRPr="00EA38DE" w14:paraId="7E8EFB60" w14:textId="77777777" w:rsidTr="009501B5">
        <w:trPr>
          <w:trHeight w:val="220"/>
        </w:trPr>
        <w:tc>
          <w:tcPr>
            <w:tcW w:w="2120" w:type="dxa"/>
            <w:tcBorders>
              <w:top w:val="nil"/>
              <w:left w:val="nil"/>
              <w:bottom w:val="nil"/>
              <w:right w:val="nil"/>
            </w:tcBorders>
            <w:vAlign w:val="bottom"/>
          </w:tcPr>
          <w:p w14:paraId="16E977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050" w:type="dxa"/>
            <w:tcBorders>
              <w:top w:val="nil"/>
              <w:left w:val="nil"/>
              <w:bottom w:val="nil"/>
              <w:right w:val="nil"/>
            </w:tcBorders>
            <w:vAlign w:val="bottom"/>
          </w:tcPr>
          <w:p w14:paraId="15A212C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-0.015939</w:t>
            </w:r>
          </w:p>
        </w:tc>
        <w:tc>
          <w:tcPr>
            <w:tcW w:w="1150" w:type="dxa"/>
            <w:tcBorders>
              <w:top w:val="nil"/>
              <w:left w:val="nil"/>
              <w:bottom w:val="nil"/>
              <w:right w:val="nil"/>
            </w:tcBorders>
            <w:vAlign w:val="bottom"/>
          </w:tcPr>
          <w:p w14:paraId="05B8173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0.010695</w:t>
            </w:r>
          </w:p>
        </w:tc>
        <w:tc>
          <w:tcPr>
            <w:tcW w:w="1150" w:type="dxa"/>
            <w:tcBorders>
              <w:top w:val="nil"/>
              <w:left w:val="nil"/>
              <w:bottom w:val="nil"/>
              <w:right w:val="nil"/>
            </w:tcBorders>
            <w:vAlign w:val="bottom"/>
          </w:tcPr>
          <w:p w14:paraId="025F838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-1.490361</w:t>
            </w:r>
          </w:p>
        </w:tc>
        <w:tc>
          <w:tcPr>
            <w:tcW w:w="950" w:type="dxa"/>
            <w:tcBorders>
              <w:top w:val="nil"/>
              <w:left w:val="nil"/>
              <w:bottom w:val="nil"/>
              <w:right w:val="nil"/>
            </w:tcBorders>
            <w:vAlign w:val="bottom"/>
          </w:tcPr>
          <w:p w14:paraId="2545B72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0.1963</w:t>
            </w:r>
          </w:p>
        </w:tc>
      </w:tr>
      <w:tr w:rsidR="00EA38DE" w:rsidRPr="00EA38DE" w14:paraId="66C5426C" w14:textId="77777777" w:rsidTr="009501B5">
        <w:trPr>
          <w:trHeight w:val="220"/>
        </w:trPr>
        <w:tc>
          <w:tcPr>
            <w:tcW w:w="2120" w:type="dxa"/>
            <w:tcBorders>
              <w:top w:val="nil"/>
              <w:left w:val="nil"/>
              <w:bottom w:val="nil"/>
              <w:right w:val="nil"/>
            </w:tcBorders>
            <w:vAlign w:val="bottom"/>
          </w:tcPr>
          <w:p w14:paraId="4E4E7D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LLAB</w:t>
            </w:r>
          </w:p>
        </w:tc>
        <w:tc>
          <w:tcPr>
            <w:tcW w:w="1050" w:type="dxa"/>
            <w:tcBorders>
              <w:top w:val="nil"/>
              <w:left w:val="nil"/>
              <w:bottom w:val="nil"/>
              <w:right w:val="nil"/>
            </w:tcBorders>
            <w:vAlign w:val="bottom"/>
          </w:tcPr>
          <w:p w14:paraId="34419DE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6.075391</w:t>
            </w:r>
          </w:p>
        </w:tc>
        <w:tc>
          <w:tcPr>
            <w:tcW w:w="1150" w:type="dxa"/>
            <w:tcBorders>
              <w:top w:val="nil"/>
              <w:left w:val="nil"/>
              <w:bottom w:val="nil"/>
              <w:right w:val="nil"/>
            </w:tcBorders>
            <w:vAlign w:val="bottom"/>
          </w:tcPr>
          <w:p w14:paraId="54527DB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1.955159</w:t>
            </w:r>
          </w:p>
        </w:tc>
        <w:tc>
          <w:tcPr>
            <w:tcW w:w="1150" w:type="dxa"/>
            <w:tcBorders>
              <w:top w:val="nil"/>
              <w:left w:val="nil"/>
              <w:bottom w:val="nil"/>
              <w:right w:val="nil"/>
            </w:tcBorders>
            <w:vAlign w:val="bottom"/>
          </w:tcPr>
          <w:p w14:paraId="7BAE433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3.107364</w:t>
            </w:r>
          </w:p>
        </w:tc>
        <w:tc>
          <w:tcPr>
            <w:tcW w:w="950" w:type="dxa"/>
            <w:tcBorders>
              <w:top w:val="nil"/>
              <w:left w:val="nil"/>
              <w:bottom w:val="nil"/>
              <w:right w:val="nil"/>
            </w:tcBorders>
            <w:vAlign w:val="bottom"/>
          </w:tcPr>
          <w:p w14:paraId="6755EF2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0.0266</w:t>
            </w:r>
          </w:p>
        </w:tc>
      </w:tr>
      <w:tr w:rsidR="00EA38DE" w:rsidRPr="00EA38DE" w14:paraId="00092BEA" w14:textId="77777777" w:rsidTr="009501B5">
        <w:trPr>
          <w:trHeight w:val="220"/>
        </w:trPr>
        <w:tc>
          <w:tcPr>
            <w:tcW w:w="2120" w:type="dxa"/>
            <w:tcBorders>
              <w:top w:val="nil"/>
              <w:left w:val="nil"/>
              <w:bottom w:val="nil"/>
              <w:right w:val="nil"/>
            </w:tcBorders>
            <w:vAlign w:val="bottom"/>
          </w:tcPr>
          <w:p w14:paraId="389228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050" w:type="dxa"/>
            <w:tcBorders>
              <w:top w:val="nil"/>
              <w:left w:val="nil"/>
              <w:bottom w:val="nil"/>
              <w:right w:val="nil"/>
            </w:tcBorders>
            <w:vAlign w:val="bottom"/>
          </w:tcPr>
          <w:p w14:paraId="5A27210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0.587528</w:t>
            </w:r>
          </w:p>
        </w:tc>
        <w:tc>
          <w:tcPr>
            <w:tcW w:w="1150" w:type="dxa"/>
            <w:tcBorders>
              <w:top w:val="nil"/>
              <w:left w:val="nil"/>
              <w:bottom w:val="nil"/>
              <w:right w:val="nil"/>
            </w:tcBorders>
            <w:vAlign w:val="bottom"/>
          </w:tcPr>
          <w:p w14:paraId="2A2B653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0.176424</w:t>
            </w:r>
          </w:p>
        </w:tc>
        <w:tc>
          <w:tcPr>
            <w:tcW w:w="1150" w:type="dxa"/>
            <w:tcBorders>
              <w:top w:val="nil"/>
              <w:left w:val="nil"/>
              <w:bottom w:val="nil"/>
              <w:right w:val="nil"/>
            </w:tcBorders>
            <w:vAlign w:val="bottom"/>
          </w:tcPr>
          <w:p w14:paraId="5DD7782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3.330201</w:t>
            </w:r>
          </w:p>
        </w:tc>
        <w:tc>
          <w:tcPr>
            <w:tcW w:w="950" w:type="dxa"/>
            <w:tcBorders>
              <w:top w:val="nil"/>
              <w:left w:val="nil"/>
              <w:bottom w:val="nil"/>
              <w:right w:val="nil"/>
            </w:tcBorders>
            <w:vAlign w:val="bottom"/>
          </w:tcPr>
          <w:p w14:paraId="2E2943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0.0208</w:t>
            </w:r>
          </w:p>
        </w:tc>
      </w:tr>
      <w:tr w:rsidR="00EA38DE" w:rsidRPr="00EA38DE" w14:paraId="658A7E69" w14:textId="77777777" w:rsidTr="009501B5">
        <w:trPr>
          <w:trHeight w:val="220"/>
        </w:trPr>
        <w:tc>
          <w:tcPr>
            <w:tcW w:w="2120" w:type="dxa"/>
            <w:tcBorders>
              <w:top w:val="nil"/>
              <w:left w:val="nil"/>
              <w:bottom w:val="nil"/>
              <w:right w:val="nil"/>
            </w:tcBorders>
            <w:vAlign w:val="bottom"/>
          </w:tcPr>
          <w:p w14:paraId="7AE652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050" w:type="dxa"/>
            <w:tcBorders>
              <w:top w:val="nil"/>
              <w:left w:val="nil"/>
              <w:bottom w:val="nil"/>
              <w:right w:val="nil"/>
            </w:tcBorders>
            <w:vAlign w:val="bottom"/>
          </w:tcPr>
          <w:p w14:paraId="70EB5B9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-31.24378</w:t>
            </w:r>
          </w:p>
        </w:tc>
        <w:tc>
          <w:tcPr>
            <w:tcW w:w="1150" w:type="dxa"/>
            <w:tcBorders>
              <w:top w:val="nil"/>
              <w:left w:val="nil"/>
              <w:bottom w:val="nil"/>
              <w:right w:val="nil"/>
            </w:tcBorders>
            <w:vAlign w:val="bottom"/>
          </w:tcPr>
          <w:p w14:paraId="1025B6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7.904413</w:t>
            </w:r>
          </w:p>
        </w:tc>
        <w:tc>
          <w:tcPr>
            <w:tcW w:w="1150" w:type="dxa"/>
            <w:tcBorders>
              <w:top w:val="nil"/>
              <w:left w:val="nil"/>
              <w:bottom w:val="nil"/>
              <w:right w:val="nil"/>
            </w:tcBorders>
            <w:vAlign w:val="bottom"/>
          </w:tcPr>
          <w:p w14:paraId="11CBB69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-3.952701</w:t>
            </w:r>
          </w:p>
        </w:tc>
        <w:tc>
          <w:tcPr>
            <w:tcW w:w="950" w:type="dxa"/>
            <w:tcBorders>
              <w:top w:val="nil"/>
              <w:left w:val="nil"/>
              <w:bottom w:val="nil"/>
              <w:right w:val="nil"/>
            </w:tcBorders>
            <w:vAlign w:val="bottom"/>
          </w:tcPr>
          <w:p w14:paraId="4F28A68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0.0108</w:t>
            </w:r>
          </w:p>
        </w:tc>
      </w:tr>
      <w:tr w:rsidR="00EA38DE" w:rsidRPr="00EA38DE" w14:paraId="78BA78A6" w14:textId="77777777" w:rsidTr="009501B5">
        <w:trPr>
          <w:trHeight w:hRule="exact" w:val="88"/>
        </w:trPr>
        <w:tc>
          <w:tcPr>
            <w:tcW w:w="2120" w:type="dxa"/>
            <w:tcBorders>
              <w:top w:val="nil"/>
              <w:left w:val="nil"/>
              <w:bottom w:val="double" w:sz="6" w:space="2" w:color="auto"/>
              <w:right w:val="nil"/>
            </w:tcBorders>
            <w:vAlign w:val="bottom"/>
          </w:tcPr>
          <w:p w14:paraId="0D2060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E1F3C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F6439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2F663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1536E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8F6A39C" w14:textId="77777777" w:rsidTr="009501B5">
        <w:trPr>
          <w:trHeight w:hRule="exact" w:val="132"/>
        </w:trPr>
        <w:tc>
          <w:tcPr>
            <w:tcW w:w="2120" w:type="dxa"/>
            <w:tcBorders>
              <w:top w:val="nil"/>
              <w:left w:val="nil"/>
              <w:bottom w:val="nil"/>
              <w:right w:val="nil"/>
            </w:tcBorders>
            <w:vAlign w:val="bottom"/>
          </w:tcPr>
          <w:p w14:paraId="24B376D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3E3B3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6497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0D5E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AF80C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410A9B3" w14:textId="77777777" w:rsidTr="009501B5">
        <w:trPr>
          <w:trHeight w:val="220"/>
        </w:trPr>
        <w:tc>
          <w:tcPr>
            <w:tcW w:w="6420" w:type="dxa"/>
            <w:gridSpan w:val="5"/>
            <w:tcBorders>
              <w:top w:val="nil"/>
              <w:left w:val="nil"/>
              <w:bottom w:val="nil"/>
              <w:right w:val="nil"/>
            </w:tcBorders>
            <w:vAlign w:val="bottom"/>
          </w:tcPr>
          <w:p w14:paraId="08EF6C0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EC = LPOR - (-2.1107*LDLNT  -0.0159*IFR + 6.0754*LLAB  -1.1874*LGR +</w:t>
            </w:r>
          </w:p>
        </w:tc>
      </w:tr>
      <w:tr w:rsidR="00EA38DE" w:rsidRPr="00EA38DE" w14:paraId="187E45CA" w14:textId="77777777" w:rsidTr="009501B5">
        <w:trPr>
          <w:trHeight w:val="220"/>
        </w:trPr>
        <w:tc>
          <w:tcPr>
            <w:tcW w:w="5470" w:type="dxa"/>
            <w:gridSpan w:val="4"/>
            <w:tcBorders>
              <w:top w:val="nil"/>
              <w:left w:val="nil"/>
              <w:bottom w:val="nil"/>
              <w:right w:val="nil"/>
            </w:tcBorders>
            <w:vAlign w:val="bottom"/>
          </w:tcPr>
          <w:p w14:paraId="6E4B31B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0.5875*TRF  -31.2438 )</w:t>
            </w:r>
          </w:p>
        </w:tc>
        <w:tc>
          <w:tcPr>
            <w:tcW w:w="950" w:type="dxa"/>
            <w:tcBorders>
              <w:top w:val="nil"/>
              <w:left w:val="nil"/>
              <w:bottom w:val="nil"/>
              <w:right w:val="nil"/>
            </w:tcBorders>
            <w:vAlign w:val="bottom"/>
          </w:tcPr>
          <w:p w14:paraId="55BEEC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7D0916D" w14:textId="77777777" w:rsidTr="009501B5">
        <w:trPr>
          <w:trHeight w:hRule="exact" w:val="88"/>
        </w:trPr>
        <w:tc>
          <w:tcPr>
            <w:tcW w:w="2120" w:type="dxa"/>
            <w:tcBorders>
              <w:top w:val="nil"/>
              <w:left w:val="nil"/>
              <w:bottom w:val="double" w:sz="6" w:space="0" w:color="auto"/>
              <w:right w:val="nil"/>
            </w:tcBorders>
            <w:vAlign w:val="bottom"/>
          </w:tcPr>
          <w:p w14:paraId="3F480A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49DA2CA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1EFEA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C15FF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73087D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F851B20" w14:textId="77777777" w:rsidTr="009501B5">
        <w:trPr>
          <w:trHeight w:hRule="exact" w:val="132"/>
        </w:trPr>
        <w:tc>
          <w:tcPr>
            <w:tcW w:w="2120" w:type="dxa"/>
            <w:tcBorders>
              <w:top w:val="nil"/>
              <w:left w:val="nil"/>
              <w:bottom w:val="nil"/>
              <w:right w:val="nil"/>
            </w:tcBorders>
            <w:vAlign w:val="bottom"/>
          </w:tcPr>
          <w:p w14:paraId="0767C0D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25EB5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67719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208BF2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49ABE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206E5658" w14:textId="77777777" w:rsidR="003C6B00" w:rsidRPr="00EA38DE" w:rsidRDefault="003C6B00" w:rsidP="003C6B00">
      <w:r w:rsidRPr="00EA38DE">
        <w:rPr>
          <w:rFonts w:ascii="Arial" w:hAnsi="Arial" w:cs="Arial"/>
          <w:sz w:val="18"/>
          <w:szCs w:val="18"/>
        </w:rPr>
        <w:br/>
      </w:r>
    </w:p>
    <w:p w14:paraId="0F769A3C" w14:textId="77777777" w:rsidR="00C26BF7" w:rsidRPr="00EA38DE" w:rsidRDefault="00C26BF7" w:rsidP="003C6B00"/>
    <w:p w14:paraId="46AD47F8" w14:textId="77777777" w:rsidR="00C26BF7" w:rsidRPr="00EA38DE" w:rsidRDefault="00C26BF7" w:rsidP="003C6B00"/>
    <w:p w14:paraId="43F33EE4"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120"/>
        <w:gridCol w:w="1050"/>
        <w:gridCol w:w="1150"/>
        <w:gridCol w:w="1150"/>
        <w:gridCol w:w="950"/>
      </w:tblGrid>
      <w:tr w:rsidR="00EA38DE" w:rsidRPr="00EA38DE" w14:paraId="2791886A" w14:textId="77777777" w:rsidTr="009501B5">
        <w:trPr>
          <w:trHeight w:val="220"/>
        </w:trPr>
        <w:tc>
          <w:tcPr>
            <w:tcW w:w="6420" w:type="dxa"/>
            <w:gridSpan w:val="5"/>
            <w:tcBorders>
              <w:top w:val="nil"/>
              <w:left w:val="nil"/>
              <w:bottom w:val="nil"/>
              <w:right w:val="nil"/>
            </w:tcBorders>
            <w:vAlign w:val="bottom"/>
          </w:tcPr>
          <w:p w14:paraId="65C0914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ARDL Error Correction Regression</w:t>
            </w:r>
          </w:p>
        </w:tc>
      </w:tr>
      <w:tr w:rsidR="00EA38DE" w:rsidRPr="00EA38DE" w14:paraId="247A59C7" w14:textId="77777777" w:rsidTr="009501B5">
        <w:trPr>
          <w:trHeight w:val="220"/>
        </w:trPr>
        <w:tc>
          <w:tcPr>
            <w:tcW w:w="5470" w:type="dxa"/>
            <w:gridSpan w:val="4"/>
            <w:tcBorders>
              <w:top w:val="nil"/>
              <w:left w:val="nil"/>
              <w:bottom w:val="nil"/>
              <w:right w:val="nil"/>
            </w:tcBorders>
            <w:vAlign w:val="bottom"/>
          </w:tcPr>
          <w:p w14:paraId="152B128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Dependent Variable: D(LPOR)</w:t>
            </w:r>
          </w:p>
        </w:tc>
        <w:tc>
          <w:tcPr>
            <w:tcW w:w="950" w:type="dxa"/>
            <w:tcBorders>
              <w:top w:val="nil"/>
              <w:left w:val="nil"/>
              <w:bottom w:val="nil"/>
              <w:right w:val="nil"/>
            </w:tcBorders>
            <w:vAlign w:val="bottom"/>
          </w:tcPr>
          <w:p w14:paraId="30721A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A44908A" w14:textId="77777777" w:rsidTr="009501B5">
        <w:trPr>
          <w:trHeight w:val="220"/>
        </w:trPr>
        <w:tc>
          <w:tcPr>
            <w:tcW w:w="6420" w:type="dxa"/>
            <w:gridSpan w:val="5"/>
            <w:tcBorders>
              <w:top w:val="nil"/>
              <w:left w:val="nil"/>
              <w:bottom w:val="nil"/>
              <w:right w:val="nil"/>
            </w:tcBorders>
            <w:vAlign w:val="bottom"/>
          </w:tcPr>
          <w:p w14:paraId="04D2E91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Selected Model: ARDL(2, 3, 4, 4, 3, 4)</w:t>
            </w:r>
          </w:p>
        </w:tc>
      </w:tr>
      <w:tr w:rsidR="00EA38DE" w:rsidRPr="00EA38DE" w14:paraId="2B84402E" w14:textId="77777777" w:rsidTr="009501B5">
        <w:trPr>
          <w:trHeight w:val="220"/>
        </w:trPr>
        <w:tc>
          <w:tcPr>
            <w:tcW w:w="6420" w:type="dxa"/>
            <w:gridSpan w:val="5"/>
            <w:tcBorders>
              <w:top w:val="nil"/>
              <w:left w:val="nil"/>
              <w:bottom w:val="nil"/>
              <w:right w:val="nil"/>
            </w:tcBorders>
            <w:vAlign w:val="bottom"/>
          </w:tcPr>
          <w:p w14:paraId="2369C3A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Case 2: Restricted Constant and No Trend</w:t>
            </w:r>
          </w:p>
        </w:tc>
      </w:tr>
      <w:tr w:rsidR="00EA38DE" w:rsidRPr="00EA38DE" w14:paraId="6EFED2FC" w14:textId="77777777" w:rsidTr="009501B5">
        <w:trPr>
          <w:trHeight w:val="220"/>
        </w:trPr>
        <w:tc>
          <w:tcPr>
            <w:tcW w:w="5470" w:type="dxa"/>
            <w:gridSpan w:val="4"/>
            <w:tcBorders>
              <w:top w:val="nil"/>
              <w:left w:val="nil"/>
              <w:bottom w:val="nil"/>
              <w:right w:val="nil"/>
            </w:tcBorders>
            <w:vAlign w:val="bottom"/>
          </w:tcPr>
          <w:p w14:paraId="0B9EDC0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08/18/25   Time: 10:39</w:t>
            </w:r>
          </w:p>
        </w:tc>
        <w:tc>
          <w:tcPr>
            <w:tcW w:w="950" w:type="dxa"/>
            <w:tcBorders>
              <w:top w:val="nil"/>
              <w:left w:val="nil"/>
              <w:bottom w:val="nil"/>
              <w:right w:val="nil"/>
            </w:tcBorders>
            <w:vAlign w:val="bottom"/>
          </w:tcPr>
          <w:p w14:paraId="686B14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255D6D9" w14:textId="77777777" w:rsidTr="009501B5">
        <w:trPr>
          <w:trHeight w:val="220"/>
        </w:trPr>
        <w:tc>
          <w:tcPr>
            <w:tcW w:w="4320" w:type="dxa"/>
            <w:gridSpan w:val="3"/>
            <w:tcBorders>
              <w:top w:val="nil"/>
              <w:left w:val="nil"/>
              <w:bottom w:val="nil"/>
              <w:right w:val="nil"/>
            </w:tcBorders>
            <w:vAlign w:val="bottom"/>
          </w:tcPr>
          <w:p w14:paraId="40F0EEE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760905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32F8D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CE303AC" w14:textId="77777777" w:rsidTr="009501B5">
        <w:trPr>
          <w:trHeight w:val="220"/>
        </w:trPr>
        <w:tc>
          <w:tcPr>
            <w:tcW w:w="5470" w:type="dxa"/>
            <w:gridSpan w:val="4"/>
            <w:tcBorders>
              <w:top w:val="nil"/>
              <w:left w:val="nil"/>
              <w:bottom w:val="nil"/>
              <w:right w:val="nil"/>
            </w:tcBorders>
            <w:vAlign w:val="bottom"/>
          </w:tcPr>
          <w:p w14:paraId="12203C5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31</w:t>
            </w:r>
          </w:p>
        </w:tc>
        <w:tc>
          <w:tcPr>
            <w:tcW w:w="950" w:type="dxa"/>
            <w:tcBorders>
              <w:top w:val="nil"/>
              <w:left w:val="nil"/>
              <w:bottom w:val="nil"/>
              <w:right w:val="nil"/>
            </w:tcBorders>
            <w:vAlign w:val="bottom"/>
          </w:tcPr>
          <w:p w14:paraId="79B8AD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052417D" w14:textId="77777777" w:rsidTr="009501B5">
        <w:trPr>
          <w:trHeight w:hRule="exact" w:val="88"/>
        </w:trPr>
        <w:tc>
          <w:tcPr>
            <w:tcW w:w="2120" w:type="dxa"/>
            <w:tcBorders>
              <w:top w:val="nil"/>
              <w:left w:val="nil"/>
              <w:bottom w:val="double" w:sz="6" w:space="2" w:color="auto"/>
              <w:right w:val="nil"/>
            </w:tcBorders>
            <w:vAlign w:val="bottom"/>
          </w:tcPr>
          <w:p w14:paraId="6C10B0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758C8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4055D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CECD6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4DF29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E8B1763" w14:textId="77777777" w:rsidTr="009501B5">
        <w:trPr>
          <w:trHeight w:hRule="exact" w:val="132"/>
        </w:trPr>
        <w:tc>
          <w:tcPr>
            <w:tcW w:w="2120" w:type="dxa"/>
            <w:tcBorders>
              <w:top w:val="nil"/>
              <w:left w:val="nil"/>
              <w:bottom w:val="nil"/>
              <w:right w:val="nil"/>
            </w:tcBorders>
            <w:vAlign w:val="bottom"/>
          </w:tcPr>
          <w:p w14:paraId="6EA700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7CAE8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E51A81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DAB176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7ACE2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0791FA4" w14:textId="77777777" w:rsidTr="009501B5">
        <w:trPr>
          <w:trHeight w:val="220"/>
        </w:trPr>
        <w:tc>
          <w:tcPr>
            <w:tcW w:w="6420" w:type="dxa"/>
            <w:gridSpan w:val="5"/>
            <w:tcBorders>
              <w:top w:val="nil"/>
              <w:left w:val="nil"/>
              <w:bottom w:val="nil"/>
              <w:right w:val="nil"/>
            </w:tcBorders>
            <w:vAlign w:val="bottom"/>
          </w:tcPr>
          <w:p w14:paraId="290CF0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ECM Regression</w:t>
            </w:r>
          </w:p>
        </w:tc>
      </w:tr>
      <w:tr w:rsidR="00EA38DE" w:rsidRPr="00EA38DE" w14:paraId="64A00ADB" w14:textId="77777777" w:rsidTr="009501B5">
        <w:trPr>
          <w:trHeight w:val="220"/>
        </w:trPr>
        <w:tc>
          <w:tcPr>
            <w:tcW w:w="6420" w:type="dxa"/>
            <w:gridSpan w:val="5"/>
            <w:tcBorders>
              <w:top w:val="nil"/>
              <w:left w:val="nil"/>
              <w:bottom w:val="nil"/>
              <w:right w:val="nil"/>
            </w:tcBorders>
            <w:vAlign w:val="bottom"/>
          </w:tcPr>
          <w:p w14:paraId="71BFC2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Case 2: Restricted Constant and No Trend</w:t>
            </w:r>
          </w:p>
        </w:tc>
      </w:tr>
      <w:tr w:rsidR="00EA38DE" w:rsidRPr="00EA38DE" w14:paraId="539A0CA8" w14:textId="77777777" w:rsidTr="009501B5">
        <w:trPr>
          <w:trHeight w:hRule="exact" w:val="88"/>
        </w:trPr>
        <w:tc>
          <w:tcPr>
            <w:tcW w:w="2120" w:type="dxa"/>
            <w:tcBorders>
              <w:top w:val="nil"/>
              <w:left w:val="nil"/>
              <w:bottom w:val="double" w:sz="6" w:space="2" w:color="auto"/>
              <w:right w:val="nil"/>
            </w:tcBorders>
            <w:vAlign w:val="bottom"/>
          </w:tcPr>
          <w:p w14:paraId="6ACD67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4FBE7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EE2EA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24AF4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082C3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BB47D13" w14:textId="77777777" w:rsidTr="009501B5">
        <w:trPr>
          <w:trHeight w:hRule="exact" w:val="132"/>
        </w:trPr>
        <w:tc>
          <w:tcPr>
            <w:tcW w:w="2120" w:type="dxa"/>
            <w:tcBorders>
              <w:top w:val="nil"/>
              <w:left w:val="nil"/>
              <w:bottom w:val="nil"/>
              <w:right w:val="nil"/>
            </w:tcBorders>
            <w:vAlign w:val="bottom"/>
          </w:tcPr>
          <w:p w14:paraId="57E45B1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E86E4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7EACC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5ADCCF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79C214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80D9762" w14:textId="77777777" w:rsidTr="009501B5">
        <w:trPr>
          <w:trHeight w:val="220"/>
        </w:trPr>
        <w:tc>
          <w:tcPr>
            <w:tcW w:w="2120" w:type="dxa"/>
            <w:tcBorders>
              <w:top w:val="nil"/>
              <w:left w:val="nil"/>
              <w:bottom w:val="nil"/>
              <w:right w:val="nil"/>
            </w:tcBorders>
            <w:vAlign w:val="bottom"/>
          </w:tcPr>
          <w:p w14:paraId="662F202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050" w:type="dxa"/>
            <w:tcBorders>
              <w:top w:val="nil"/>
              <w:left w:val="nil"/>
              <w:bottom w:val="nil"/>
              <w:right w:val="nil"/>
            </w:tcBorders>
            <w:vAlign w:val="bottom"/>
          </w:tcPr>
          <w:p w14:paraId="38F1B21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2B49029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Std. Error</w:t>
            </w:r>
          </w:p>
        </w:tc>
        <w:tc>
          <w:tcPr>
            <w:tcW w:w="1150" w:type="dxa"/>
            <w:tcBorders>
              <w:top w:val="nil"/>
              <w:left w:val="nil"/>
              <w:bottom w:val="nil"/>
              <w:right w:val="nil"/>
            </w:tcBorders>
            <w:vAlign w:val="bottom"/>
          </w:tcPr>
          <w:p w14:paraId="2AF5B24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2EC5099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Prob.   </w:t>
            </w:r>
          </w:p>
        </w:tc>
      </w:tr>
      <w:tr w:rsidR="00EA38DE" w:rsidRPr="00EA38DE" w14:paraId="36C98D88" w14:textId="77777777" w:rsidTr="009501B5">
        <w:trPr>
          <w:trHeight w:hRule="exact" w:val="88"/>
        </w:trPr>
        <w:tc>
          <w:tcPr>
            <w:tcW w:w="2120" w:type="dxa"/>
            <w:tcBorders>
              <w:top w:val="nil"/>
              <w:left w:val="nil"/>
              <w:bottom w:val="double" w:sz="6" w:space="2" w:color="auto"/>
              <w:right w:val="nil"/>
            </w:tcBorders>
            <w:vAlign w:val="bottom"/>
          </w:tcPr>
          <w:p w14:paraId="1C7566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EF9F0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58A7C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CE9D0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0F089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50DB65B" w14:textId="77777777" w:rsidTr="009501B5">
        <w:trPr>
          <w:trHeight w:hRule="exact" w:val="132"/>
        </w:trPr>
        <w:tc>
          <w:tcPr>
            <w:tcW w:w="2120" w:type="dxa"/>
            <w:tcBorders>
              <w:top w:val="nil"/>
              <w:left w:val="nil"/>
              <w:bottom w:val="nil"/>
              <w:right w:val="nil"/>
            </w:tcBorders>
            <w:vAlign w:val="bottom"/>
          </w:tcPr>
          <w:p w14:paraId="6D476C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81594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EE0E6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506B3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D1DA3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BFA4F5D" w14:textId="77777777" w:rsidTr="009501B5">
        <w:trPr>
          <w:trHeight w:val="220"/>
        </w:trPr>
        <w:tc>
          <w:tcPr>
            <w:tcW w:w="2120" w:type="dxa"/>
            <w:tcBorders>
              <w:top w:val="nil"/>
              <w:left w:val="nil"/>
              <w:bottom w:val="nil"/>
              <w:right w:val="nil"/>
            </w:tcBorders>
            <w:vAlign w:val="bottom"/>
          </w:tcPr>
          <w:p w14:paraId="0A1999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D(LPOR(-1))</w:t>
            </w:r>
          </w:p>
        </w:tc>
        <w:tc>
          <w:tcPr>
            <w:tcW w:w="1050" w:type="dxa"/>
            <w:tcBorders>
              <w:top w:val="nil"/>
              <w:left w:val="nil"/>
              <w:bottom w:val="nil"/>
              <w:right w:val="nil"/>
            </w:tcBorders>
            <w:vAlign w:val="bottom"/>
          </w:tcPr>
          <w:p w14:paraId="13247D8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-0.369413</w:t>
            </w:r>
          </w:p>
        </w:tc>
        <w:tc>
          <w:tcPr>
            <w:tcW w:w="1150" w:type="dxa"/>
            <w:tcBorders>
              <w:top w:val="nil"/>
              <w:left w:val="nil"/>
              <w:bottom w:val="nil"/>
              <w:right w:val="nil"/>
            </w:tcBorders>
            <w:vAlign w:val="bottom"/>
          </w:tcPr>
          <w:p w14:paraId="79F1876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0.066385</w:t>
            </w:r>
          </w:p>
        </w:tc>
        <w:tc>
          <w:tcPr>
            <w:tcW w:w="1150" w:type="dxa"/>
            <w:tcBorders>
              <w:top w:val="nil"/>
              <w:left w:val="nil"/>
              <w:bottom w:val="nil"/>
              <w:right w:val="nil"/>
            </w:tcBorders>
            <w:vAlign w:val="bottom"/>
          </w:tcPr>
          <w:p w14:paraId="41E54E7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-5.564716</w:t>
            </w:r>
          </w:p>
        </w:tc>
        <w:tc>
          <w:tcPr>
            <w:tcW w:w="950" w:type="dxa"/>
            <w:tcBorders>
              <w:top w:val="nil"/>
              <w:left w:val="nil"/>
              <w:bottom w:val="nil"/>
              <w:right w:val="nil"/>
            </w:tcBorders>
            <w:vAlign w:val="bottom"/>
          </w:tcPr>
          <w:p w14:paraId="14FF29F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0.0026</w:t>
            </w:r>
          </w:p>
        </w:tc>
      </w:tr>
      <w:tr w:rsidR="00EA38DE" w:rsidRPr="00EA38DE" w14:paraId="287BCA79" w14:textId="77777777" w:rsidTr="009501B5">
        <w:trPr>
          <w:trHeight w:val="220"/>
        </w:trPr>
        <w:tc>
          <w:tcPr>
            <w:tcW w:w="2120" w:type="dxa"/>
            <w:tcBorders>
              <w:top w:val="nil"/>
              <w:left w:val="nil"/>
              <w:bottom w:val="nil"/>
              <w:right w:val="nil"/>
            </w:tcBorders>
            <w:vAlign w:val="bottom"/>
          </w:tcPr>
          <w:p w14:paraId="6CC359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w:t>
            </w:r>
          </w:p>
        </w:tc>
        <w:tc>
          <w:tcPr>
            <w:tcW w:w="1050" w:type="dxa"/>
            <w:tcBorders>
              <w:top w:val="nil"/>
              <w:left w:val="nil"/>
              <w:bottom w:val="nil"/>
              <w:right w:val="nil"/>
            </w:tcBorders>
            <w:vAlign w:val="bottom"/>
          </w:tcPr>
          <w:p w14:paraId="1D55541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3.484801</w:t>
            </w:r>
          </w:p>
        </w:tc>
        <w:tc>
          <w:tcPr>
            <w:tcW w:w="1150" w:type="dxa"/>
            <w:tcBorders>
              <w:top w:val="nil"/>
              <w:left w:val="nil"/>
              <w:bottom w:val="nil"/>
              <w:right w:val="nil"/>
            </w:tcBorders>
            <w:vAlign w:val="bottom"/>
          </w:tcPr>
          <w:p w14:paraId="6D86C57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0.467069</w:t>
            </w:r>
          </w:p>
        </w:tc>
        <w:tc>
          <w:tcPr>
            <w:tcW w:w="1150" w:type="dxa"/>
            <w:tcBorders>
              <w:top w:val="nil"/>
              <w:left w:val="nil"/>
              <w:bottom w:val="nil"/>
              <w:right w:val="nil"/>
            </w:tcBorders>
            <w:vAlign w:val="bottom"/>
          </w:tcPr>
          <w:p w14:paraId="6651AC3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7.461001</w:t>
            </w:r>
          </w:p>
        </w:tc>
        <w:tc>
          <w:tcPr>
            <w:tcW w:w="950" w:type="dxa"/>
            <w:tcBorders>
              <w:top w:val="nil"/>
              <w:left w:val="nil"/>
              <w:bottom w:val="nil"/>
              <w:right w:val="nil"/>
            </w:tcBorders>
            <w:vAlign w:val="bottom"/>
          </w:tcPr>
          <w:p w14:paraId="6649638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0.0007</w:t>
            </w:r>
          </w:p>
        </w:tc>
      </w:tr>
      <w:tr w:rsidR="00EA38DE" w:rsidRPr="00EA38DE" w14:paraId="6284F45D" w14:textId="77777777" w:rsidTr="009501B5">
        <w:trPr>
          <w:trHeight w:val="220"/>
        </w:trPr>
        <w:tc>
          <w:tcPr>
            <w:tcW w:w="2120" w:type="dxa"/>
            <w:tcBorders>
              <w:top w:val="nil"/>
              <w:left w:val="nil"/>
              <w:bottom w:val="nil"/>
              <w:right w:val="nil"/>
            </w:tcBorders>
            <w:vAlign w:val="bottom"/>
          </w:tcPr>
          <w:p w14:paraId="30133F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D(LDLNT(-1))</w:t>
            </w:r>
          </w:p>
        </w:tc>
        <w:tc>
          <w:tcPr>
            <w:tcW w:w="1050" w:type="dxa"/>
            <w:tcBorders>
              <w:top w:val="nil"/>
              <w:left w:val="nil"/>
              <w:bottom w:val="nil"/>
              <w:right w:val="nil"/>
            </w:tcBorders>
            <w:vAlign w:val="bottom"/>
          </w:tcPr>
          <w:p w14:paraId="6D7EA0C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3.514216</w:t>
            </w:r>
          </w:p>
        </w:tc>
        <w:tc>
          <w:tcPr>
            <w:tcW w:w="1150" w:type="dxa"/>
            <w:tcBorders>
              <w:top w:val="nil"/>
              <w:left w:val="nil"/>
              <w:bottom w:val="nil"/>
              <w:right w:val="nil"/>
            </w:tcBorders>
            <w:vAlign w:val="bottom"/>
          </w:tcPr>
          <w:p w14:paraId="2DEA860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0.463586</w:t>
            </w:r>
          </w:p>
        </w:tc>
        <w:tc>
          <w:tcPr>
            <w:tcW w:w="1150" w:type="dxa"/>
            <w:tcBorders>
              <w:top w:val="nil"/>
              <w:left w:val="nil"/>
              <w:bottom w:val="nil"/>
              <w:right w:val="nil"/>
            </w:tcBorders>
            <w:vAlign w:val="bottom"/>
          </w:tcPr>
          <w:p w14:paraId="19237F2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7.580501</w:t>
            </w:r>
          </w:p>
        </w:tc>
        <w:tc>
          <w:tcPr>
            <w:tcW w:w="950" w:type="dxa"/>
            <w:tcBorders>
              <w:top w:val="nil"/>
              <w:left w:val="nil"/>
              <w:bottom w:val="nil"/>
              <w:right w:val="nil"/>
            </w:tcBorders>
            <w:vAlign w:val="bottom"/>
          </w:tcPr>
          <w:p w14:paraId="01D1A3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0.0006</w:t>
            </w:r>
          </w:p>
        </w:tc>
      </w:tr>
      <w:tr w:rsidR="00EA38DE" w:rsidRPr="00EA38DE" w14:paraId="51D02A43" w14:textId="77777777" w:rsidTr="009501B5">
        <w:trPr>
          <w:trHeight w:val="220"/>
        </w:trPr>
        <w:tc>
          <w:tcPr>
            <w:tcW w:w="2120" w:type="dxa"/>
            <w:tcBorders>
              <w:top w:val="nil"/>
              <w:left w:val="nil"/>
              <w:bottom w:val="nil"/>
              <w:right w:val="nil"/>
            </w:tcBorders>
            <w:vAlign w:val="bottom"/>
          </w:tcPr>
          <w:p w14:paraId="219F83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D(LDLNT(-2))</w:t>
            </w:r>
          </w:p>
        </w:tc>
        <w:tc>
          <w:tcPr>
            <w:tcW w:w="1050" w:type="dxa"/>
            <w:tcBorders>
              <w:top w:val="nil"/>
              <w:left w:val="nil"/>
              <w:bottom w:val="nil"/>
              <w:right w:val="nil"/>
            </w:tcBorders>
            <w:vAlign w:val="bottom"/>
          </w:tcPr>
          <w:p w14:paraId="7F7C366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4.032599</w:t>
            </w:r>
          </w:p>
        </w:tc>
        <w:tc>
          <w:tcPr>
            <w:tcW w:w="1150" w:type="dxa"/>
            <w:tcBorders>
              <w:top w:val="nil"/>
              <w:left w:val="nil"/>
              <w:bottom w:val="nil"/>
              <w:right w:val="nil"/>
            </w:tcBorders>
            <w:vAlign w:val="bottom"/>
          </w:tcPr>
          <w:p w14:paraId="5B40C23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0.528524</w:t>
            </w:r>
          </w:p>
        </w:tc>
        <w:tc>
          <w:tcPr>
            <w:tcW w:w="1150" w:type="dxa"/>
            <w:tcBorders>
              <w:top w:val="nil"/>
              <w:left w:val="nil"/>
              <w:bottom w:val="nil"/>
              <w:right w:val="nil"/>
            </w:tcBorders>
            <w:vAlign w:val="bottom"/>
          </w:tcPr>
          <w:p w14:paraId="5E66E6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7.629930</w:t>
            </w:r>
          </w:p>
        </w:tc>
        <w:tc>
          <w:tcPr>
            <w:tcW w:w="950" w:type="dxa"/>
            <w:tcBorders>
              <w:top w:val="nil"/>
              <w:left w:val="nil"/>
              <w:bottom w:val="nil"/>
              <w:right w:val="nil"/>
            </w:tcBorders>
            <w:vAlign w:val="bottom"/>
          </w:tcPr>
          <w:p w14:paraId="2CB25E1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0.0006</w:t>
            </w:r>
          </w:p>
        </w:tc>
      </w:tr>
      <w:tr w:rsidR="00EA38DE" w:rsidRPr="00EA38DE" w14:paraId="24203B00" w14:textId="77777777" w:rsidTr="009501B5">
        <w:trPr>
          <w:trHeight w:val="220"/>
        </w:trPr>
        <w:tc>
          <w:tcPr>
            <w:tcW w:w="2120" w:type="dxa"/>
            <w:tcBorders>
              <w:top w:val="nil"/>
              <w:left w:val="nil"/>
              <w:bottom w:val="nil"/>
              <w:right w:val="nil"/>
            </w:tcBorders>
            <w:vAlign w:val="bottom"/>
          </w:tcPr>
          <w:p w14:paraId="39F235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w:t>
            </w:r>
          </w:p>
        </w:tc>
        <w:tc>
          <w:tcPr>
            <w:tcW w:w="1050" w:type="dxa"/>
            <w:tcBorders>
              <w:top w:val="nil"/>
              <w:left w:val="nil"/>
              <w:bottom w:val="nil"/>
              <w:right w:val="nil"/>
            </w:tcBorders>
            <w:vAlign w:val="bottom"/>
          </w:tcPr>
          <w:p w14:paraId="1C0E091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-0.000774</w:t>
            </w:r>
          </w:p>
        </w:tc>
        <w:tc>
          <w:tcPr>
            <w:tcW w:w="1150" w:type="dxa"/>
            <w:tcBorders>
              <w:top w:val="nil"/>
              <w:left w:val="nil"/>
              <w:bottom w:val="nil"/>
              <w:right w:val="nil"/>
            </w:tcBorders>
            <w:vAlign w:val="bottom"/>
          </w:tcPr>
          <w:p w14:paraId="617FC3E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0.003740</w:t>
            </w:r>
          </w:p>
        </w:tc>
        <w:tc>
          <w:tcPr>
            <w:tcW w:w="1150" w:type="dxa"/>
            <w:tcBorders>
              <w:top w:val="nil"/>
              <w:left w:val="nil"/>
              <w:bottom w:val="nil"/>
              <w:right w:val="nil"/>
            </w:tcBorders>
            <w:vAlign w:val="bottom"/>
          </w:tcPr>
          <w:p w14:paraId="7D8C054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-0.206977</w:t>
            </w:r>
          </w:p>
        </w:tc>
        <w:tc>
          <w:tcPr>
            <w:tcW w:w="950" w:type="dxa"/>
            <w:tcBorders>
              <w:top w:val="nil"/>
              <w:left w:val="nil"/>
              <w:bottom w:val="nil"/>
              <w:right w:val="nil"/>
            </w:tcBorders>
            <w:vAlign w:val="bottom"/>
          </w:tcPr>
          <w:p w14:paraId="7FB37F1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0.8442</w:t>
            </w:r>
          </w:p>
        </w:tc>
      </w:tr>
      <w:tr w:rsidR="00EA38DE" w:rsidRPr="00EA38DE" w14:paraId="5F176B28" w14:textId="77777777" w:rsidTr="009501B5">
        <w:trPr>
          <w:trHeight w:val="220"/>
        </w:trPr>
        <w:tc>
          <w:tcPr>
            <w:tcW w:w="2120" w:type="dxa"/>
            <w:tcBorders>
              <w:top w:val="nil"/>
              <w:left w:val="nil"/>
              <w:bottom w:val="nil"/>
              <w:right w:val="nil"/>
            </w:tcBorders>
            <w:vAlign w:val="bottom"/>
          </w:tcPr>
          <w:p w14:paraId="038443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D(IFR(-1))</w:t>
            </w:r>
          </w:p>
        </w:tc>
        <w:tc>
          <w:tcPr>
            <w:tcW w:w="1050" w:type="dxa"/>
            <w:tcBorders>
              <w:top w:val="nil"/>
              <w:left w:val="nil"/>
              <w:bottom w:val="nil"/>
              <w:right w:val="nil"/>
            </w:tcBorders>
            <w:vAlign w:val="bottom"/>
          </w:tcPr>
          <w:p w14:paraId="0410BB9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0.012737</w:t>
            </w:r>
          </w:p>
        </w:tc>
        <w:tc>
          <w:tcPr>
            <w:tcW w:w="1150" w:type="dxa"/>
            <w:tcBorders>
              <w:top w:val="nil"/>
              <w:left w:val="nil"/>
              <w:bottom w:val="nil"/>
              <w:right w:val="nil"/>
            </w:tcBorders>
            <w:vAlign w:val="bottom"/>
          </w:tcPr>
          <w:p w14:paraId="10FA08F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0.003435</w:t>
            </w:r>
          </w:p>
        </w:tc>
        <w:tc>
          <w:tcPr>
            <w:tcW w:w="1150" w:type="dxa"/>
            <w:tcBorders>
              <w:top w:val="nil"/>
              <w:left w:val="nil"/>
              <w:bottom w:val="nil"/>
              <w:right w:val="nil"/>
            </w:tcBorders>
            <w:vAlign w:val="bottom"/>
          </w:tcPr>
          <w:p w14:paraId="6337D06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3.707648</w:t>
            </w:r>
          </w:p>
        </w:tc>
        <w:tc>
          <w:tcPr>
            <w:tcW w:w="950" w:type="dxa"/>
            <w:tcBorders>
              <w:top w:val="nil"/>
              <w:left w:val="nil"/>
              <w:bottom w:val="nil"/>
              <w:right w:val="nil"/>
            </w:tcBorders>
            <w:vAlign w:val="bottom"/>
          </w:tcPr>
          <w:p w14:paraId="6F42572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0.0139</w:t>
            </w:r>
          </w:p>
        </w:tc>
      </w:tr>
      <w:tr w:rsidR="00EA38DE" w:rsidRPr="00EA38DE" w14:paraId="5CF74133" w14:textId="77777777" w:rsidTr="009501B5">
        <w:trPr>
          <w:trHeight w:val="220"/>
        </w:trPr>
        <w:tc>
          <w:tcPr>
            <w:tcW w:w="2120" w:type="dxa"/>
            <w:tcBorders>
              <w:top w:val="nil"/>
              <w:left w:val="nil"/>
              <w:bottom w:val="nil"/>
              <w:right w:val="nil"/>
            </w:tcBorders>
            <w:vAlign w:val="bottom"/>
          </w:tcPr>
          <w:p w14:paraId="2076C9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D(IFR(-2))</w:t>
            </w:r>
          </w:p>
        </w:tc>
        <w:tc>
          <w:tcPr>
            <w:tcW w:w="1050" w:type="dxa"/>
            <w:tcBorders>
              <w:top w:val="nil"/>
              <w:left w:val="nil"/>
              <w:bottom w:val="nil"/>
              <w:right w:val="nil"/>
            </w:tcBorders>
            <w:vAlign w:val="bottom"/>
          </w:tcPr>
          <w:p w14:paraId="0822E9A2"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0.005542</w:t>
            </w:r>
          </w:p>
        </w:tc>
        <w:tc>
          <w:tcPr>
            <w:tcW w:w="1150" w:type="dxa"/>
            <w:tcBorders>
              <w:top w:val="nil"/>
              <w:left w:val="nil"/>
              <w:bottom w:val="nil"/>
              <w:right w:val="nil"/>
            </w:tcBorders>
            <w:vAlign w:val="bottom"/>
          </w:tcPr>
          <w:p w14:paraId="3E6996C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0.003104</w:t>
            </w:r>
          </w:p>
        </w:tc>
        <w:tc>
          <w:tcPr>
            <w:tcW w:w="1150" w:type="dxa"/>
            <w:tcBorders>
              <w:top w:val="nil"/>
              <w:left w:val="nil"/>
              <w:bottom w:val="nil"/>
              <w:right w:val="nil"/>
            </w:tcBorders>
            <w:vAlign w:val="bottom"/>
          </w:tcPr>
          <w:p w14:paraId="73CA79E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1.785324</w:t>
            </w:r>
          </w:p>
        </w:tc>
        <w:tc>
          <w:tcPr>
            <w:tcW w:w="950" w:type="dxa"/>
            <w:tcBorders>
              <w:top w:val="nil"/>
              <w:left w:val="nil"/>
              <w:bottom w:val="nil"/>
              <w:right w:val="nil"/>
            </w:tcBorders>
            <w:vAlign w:val="bottom"/>
          </w:tcPr>
          <w:p w14:paraId="39B4824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0.1343</w:t>
            </w:r>
          </w:p>
        </w:tc>
      </w:tr>
      <w:tr w:rsidR="00EA38DE" w:rsidRPr="00EA38DE" w14:paraId="6D1AC108" w14:textId="77777777" w:rsidTr="009501B5">
        <w:trPr>
          <w:trHeight w:val="220"/>
        </w:trPr>
        <w:tc>
          <w:tcPr>
            <w:tcW w:w="2120" w:type="dxa"/>
            <w:tcBorders>
              <w:top w:val="nil"/>
              <w:left w:val="nil"/>
              <w:bottom w:val="nil"/>
              <w:right w:val="nil"/>
            </w:tcBorders>
            <w:vAlign w:val="bottom"/>
          </w:tcPr>
          <w:p w14:paraId="148D261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D(IFR(-3))</w:t>
            </w:r>
          </w:p>
        </w:tc>
        <w:tc>
          <w:tcPr>
            <w:tcW w:w="1050" w:type="dxa"/>
            <w:tcBorders>
              <w:top w:val="nil"/>
              <w:left w:val="nil"/>
              <w:bottom w:val="nil"/>
              <w:right w:val="nil"/>
            </w:tcBorders>
            <w:vAlign w:val="bottom"/>
          </w:tcPr>
          <w:p w14:paraId="05FAC4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-0.009886</w:t>
            </w:r>
          </w:p>
        </w:tc>
        <w:tc>
          <w:tcPr>
            <w:tcW w:w="1150" w:type="dxa"/>
            <w:tcBorders>
              <w:top w:val="nil"/>
              <w:left w:val="nil"/>
              <w:bottom w:val="nil"/>
              <w:right w:val="nil"/>
            </w:tcBorders>
            <w:vAlign w:val="bottom"/>
          </w:tcPr>
          <w:p w14:paraId="004A96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0.002577</w:t>
            </w:r>
          </w:p>
        </w:tc>
        <w:tc>
          <w:tcPr>
            <w:tcW w:w="1150" w:type="dxa"/>
            <w:tcBorders>
              <w:top w:val="nil"/>
              <w:left w:val="nil"/>
              <w:bottom w:val="nil"/>
              <w:right w:val="nil"/>
            </w:tcBorders>
            <w:vAlign w:val="bottom"/>
          </w:tcPr>
          <w:p w14:paraId="486B016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-3.836030</w:t>
            </w:r>
          </w:p>
        </w:tc>
        <w:tc>
          <w:tcPr>
            <w:tcW w:w="950" w:type="dxa"/>
            <w:tcBorders>
              <w:top w:val="nil"/>
              <w:left w:val="nil"/>
              <w:bottom w:val="nil"/>
              <w:right w:val="nil"/>
            </w:tcBorders>
            <w:vAlign w:val="bottom"/>
          </w:tcPr>
          <w:p w14:paraId="4C22C63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0.0122</w:t>
            </w:r>
          </w:p>
        </w:tc>
      </w:tr>
      <w:tr w:rsidR="00EA38DE" w:rsidRPr="00EA38DE" w14:paraId="266EFFBF" w14:textId="77777777" w:rsidTr="009501B5">
        <w:trPr>
          <w:trHeight w:val="220"/>
        </w:trPr>
        <w:tc>
          <w:tcPr>
            <w:tcW w:w="2120" w:type="dxa"/>
            <w:tcBorders>
              <w:top w:val="nil"/>
              <w:left w:val="nil"/>
              <w:bottom w:val="nil"/>
              <w:right w:val="nil"/>
            </w:tcBorders>
            <w:vAlign w:val="bottom"/>
          </w:tcPr>
          <w:p w14:paraId="366C51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w:t>
            </w:r>
          </w:p>
        </w:tc>
        <w:tc>
          <w:tcPr>
            <w:tcW w:w="1050" w:type="dxa"/>
            <w:tcBorders>
              <w:top w:val="nil"/>
              <w:left w:val="nil"/>
              <w:bottom w:val="nil"/>
              <w:right w:val="nil"/>
            </w:tcBorders>
            <w:vAlign w:val="bottom"/>
          </w:tcPr>
          <w:p w14:paraId="7486712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14.13689</w:t>
            </w:r>
          </w:p>
        </w:tc>
        <w:tc>
          <w:tcPr>
            <w:tcW w:w="1150" w:type="dxa"/>
            <w:tcBorders>
              <w:top w:val="nil"/>
              <w:left w:val="nil"/>
              <w:bottom w:val="nil"/>
              <w:right w:val="nil"/>
            </w:tcBorders>
            <w:vAlign w:val="bottom"/>
          </w:tcPr>
          <w:p w14:paraId="64AECE8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2.658635</w:t>
            </w:r>
          </w:p>
        </w:tc>
        <w:tc>
          <w:tcPr>
            <w:tcW w:w="1150" w:type="dxa"/>
            <w:tcBorders>
              <w:top w:val="nil"/>
              <w:left w:val="nil"/>
              <w:bottom w:val="nil"/>
              <w:right w:val="nil"/>
            </w:tcBorders>
            <w:vAlign w:val="bottom"/>
          </w:tcPr>
          <w:p w14:paraId="2137408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5.317350</w:t>
            </w:r>
          </w:p>
        </w:tc>
        <w:tc>
          <w:tcPr>
            <w:tcW w:w="950" w:type="dxa"/>
            <w:tcBorders>
              <w:top w:val="nil"/>
              <w:left w:val="nil"/>
              <w:bottom w:val="nil"/>
              <w:right w:val="nil"/>
            </w:tcBorders>
            <w:vAlign w:val="bottom"/>
          </w:tcPr>
          <w:p w14:paraId="5FB4640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0.0031</w:t>
            </w:r>
          </w:p>
        </w:tc>
      </w:tr>
      <w:tr w:rsidR="00EA38DE" w:rsidRPr="00EA38DE" w14:paraId="28FE4670" w14:textId="77777777" w:rsidTr="009501B5">
        <w:trPr>
          <w:trHeight w:val="220"/>
        </w:trPr>
        <w:tc>
          <w:tcPr>
            <w:tcW w:w="2120" w:type="dxa"/>
            <w:tcBorders>
              <w:top w:val="nil"/>
              <w:left w:val="nil"/>
              <w:bottom w:val="nil"/>
              <w:right w:val="nil"/>
            </w:tcBorders>
            <w:vAlign w:val="bottom"/>
          </w:tcPr>
          <w:p w14:paraId="0B55FE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D(LLAB(-1))</w:t>
            </w:r>
          </w:p>
        </w:tc>
        <w:tc>
          <w:tcPr>
            <w:tcW w:w="1050" w:type="dxa"/>
            <w:tcBorders>
              <w:top w:val="nil"/>
              <w:left w:val="nil"/>
              <w:bottom w:val="nil"/>
              <w:right w:val="nil"/>
            </w:tcBorders>
            <w:vAlign w:val="bottom"/>
          </w:tcPr>
          <w:p w14:paraId="7D1641D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49.59806</w:t>
            </w:r>
          </w:p>
        </w:tc>
        <w:tc>
          <w:tcPr>
            <w:tcW w:w="1150" w:type="dxa"/>
            <w:tcBorders>
              <w:top w:val="nil"/>
              <w:left w:val="nil"/>
              <w:bottom w:val="nil"/>
              <w:right w:val="nil"/>
            </w:tcBorders>
            <w:vAlign w:val="bottom"/>
          </w:tcPr>
          <w:p w14:paraId="59E8259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15.14730</w:t>
            </w:r>
          </w:p>
        </w:tc>
        <w:tc>
          <w:tcPr>
            <w:tcW w:w="1150" w:type="dxa"/>
            <w:tcBorders>
              <w:top w:val="nil"/>
              <w:left w:val="nil"/>
              <w:bottom w:val="nil"/>
              <w:right w:val="nil"/>
            </w:tcBorders>
            <w:vAlign w:val="bottom"/>
          </w:tcPr>
          <w:p w14:paraId="39F758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3.274383</w:t>
            </w:r>
          </w:p>
        </w:tc>
        <w:tc>
          <w:tcPr>
            <w:tcW w:w="950" w:type="dxa"/>
            <w:tcBorders>
              <w:top w:val="nil"/>
              <w:left w:val="nil"/>
              <w:bottom w:val="nil"/>
              <w:right w:val="nil"/>
            </w:tcBorders>
            <w:vAlign w:val="bottom"/>
          </w:tcPr>
          <w:p w14:paraId="6116210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0.0221</w:t>
            </w:r>
          </w:p>
        </w:tc>
      </w:tr>
      <w:tr w:rsidR="00EA38DE" w:rsidRPr="00EA38DE" w14:paraId="24FCFCCB" w14:textId="77777777" w:rsidTr="009501B5">
        <w:trPr>
          <w:trHeight w:val="220"/>
        </w:trPr>
        <w:tc>
          <w:tcPr>
            <w:tcW w:w="2120" w:type="dxa"/>
            <w:tcBorders>
              <w:top w:val="nil"/>
              <w:left w:val="nil"/>
              <w:bottom w:val="nil"/>
              <w:right w:val="nil"/>
            </w:tcBorders>
            <w:vAlign w:val="bottom"/>
          </w:tcPr>
          <w:p w14:paraId="3DE10D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D(LLAB(-2))</w:t>
            </w:r>
          </w:p>
        </w:tc>
        <w:tc>
          <w:tcPr>
            <w:tcW w:w="1050" w:type="dxa"/>
            <w:tcBorders>
              <w:top w:val="nil"/>
              <w:left w:val="nil"/>
              <w:bottom w:val="nil"/>
              <w:right w:val="nil"/>
            </w:tcBorders>
            <w:vAlign w:val="bottom"/>
          </w:tcPr>
          <w:p w14:paraId="7DC8424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24.95757</w:t>
            </w:r>
          </w:p>
        </w:tc>
        <w:tc>
          <w:tcPr>
            <w:tcW w:w="1150" w:type="dxa"/>
            <w:tcBorders>
              <w:top w:val="nil"/>
              <w:left w:val="nil"/>
              <w:bottom w:val="nil"/>
              <w:right w:val="nil"/>
            </w:tcBorders>
            <w:vAlign w:val="bottom"/>
          </w:tcPr>
          <w:p w14:paraId="06A3689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26.21549</w:t>
            </w:r>
          </w:p>
        </w:tc>
        <w:tc>
          <w:tcPr>
            <w:tcW w:w="1150" w:type="dxa"/>
            <w:tcBorders>
              <w:top w:val="nil"/>
              <w:left w:val="nil"/>
              <w:bottom w:val="nil"/>
              <w:right w:val="nil"/>
            </w:tcBorders>
            <w:vAlign w:val="bottom"/>
          </w:tcPr>
          <w:p w14:paraId="45EF8DA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0.952016</w:t>
            </w:r>
          </w:p>
        </w:tc>
        <w:tc>
          <w:tcPr>
            <w:tcW w:w="950" w:type="dxa"/>
            <w:tcBorders>
              <w:top w:val="nil"/>
              <w:left w:val="nil"/>
              <w:bottom w:val="nil"/>
              <w:right w:val="nil"/>
            </w:tcBorders>
            <w:vAlign w:val="bottom"/>
          </w:tcPr>
          <w:p w14:paraId="121AB0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0.3848</w:t>
            </w:r>
          </w:p>
        </w:tc>
      </w:tr>
      <w:tr w:rsidR="00EA38DE" w:rsidRPr="00EA38DE" w14:paraId="73942ED0" w14:textId="77777777" w:rsidTr="009501B5">
        <w:trPr>
          <w:trHeight w:val="220"/>
        </w:trPr>
        <w:tc>
          <w:tcPr>
            <w:tcW w:w="2120" w:type="dxa"/>
            <w:tcBorders>
              <w:top w:val="nil"/>
              <w:left w:val="nil"/>
              <w:bottom w:val="nil"/>
              <w:right w:val="nil"/>
            </w:tcBorders>
            <w:vAlign w:val="bottom"/>
          </w:tcPr>
          <w:p w14:paraId="187AAF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D(LLAB(-3))</w:t>
            </w:r>
          </w:p>
        </w:tc>
        <w:tc>
          <w:tcPr>
            <w:tcW w:w="1050" w:type="dxa"/>
            <w:tcBorders>
              <w:top w:val="nil"/>
              <w:left w:val="nil"/>
              <w:bottom w:val="nil"/>
              <w:right w:val="nil"/>
            </w:tcBorders>
            <w:vAlign w:val="bottom"/>
          </w:tcPr>
          <w:p w14:paraId="359FD48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138.7644</w:t>
            </w:r>
          </w:p>
        </w:tc>
        <w:tc>
          <w:tcPr>
            <w:tcW w:w="1150" w:type="dxa"/>
            <w:tcBorders>
              <w:top w:val="nil"/>
              <w:left w:val="nil"/>
              <w:bottom w:val="nil"/>
              <w:right w:val="nil"/>
            </w:tcBorders>
            <w:vAlign w:val="bottom"/>
          </w:tcPr>
          <w:p w14:paraId="4FA8FDD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17.21477</w:t>
            </w:r>
          </w:p>
        </w:tc>
        <w:tc>
          <w:tcPr>
            <w:tcW w:w="1150" w:type="dxa"/>
            <w:tcBorders>
              <w:top w:val="nil"/>
              <w:left w:val="nil"/>
              <w:bottom w:val="nil"/>
              <w:right w:val="nil"/>
            </w:tcBorders>
            <w:vAlign w:val="bottom"/>
          </w:tcPr>
          <w:p w14:paraId="211EB67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8.060775</w:t>
            </w:r>
          </w:p>
        </w:tc>
        <w:tc>
          <w:tcPr>
            <w:tcW w:w="950" w:type="dxa"/>
            <w:tcBorders>
              <w:top w:val="nil"/>
              <w:left w:val="nil"/>
              <w:bottom w:val="nil"/>
              <w:right w:val="nil"/>
            </w:tcBorders>
            <w:vAlign w:val="bottom"/>
          </w:tcPr>
          <w:p w14:paraId="324A9DC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0.0005</w:t>
            </w:r>
          </w:p>
        </w:tc>
      </w:tr>
      <w:tr w:rsidR="00EA38DE" w:rsidRPr="00EA38DE" w14:paraId="6086D5EC" w14:textId="77777777" w:rsidTr="009501B5">
        <w:trPr>
          <w:trHeight w:val="220"/>
        </w:trPr>
        <w:tc>
          <w:tcPr>
            <w:tcW w:w="2120" w:type="dxa"/>
            <w:tcBorders>
              <w:top w:val="nil"/>
              <w:left w:val="nil"/>
              <w:bottom w:val="nil"/>
              <w:right w:val="nil"/>
            </w:tcBorders>
            <w:vAlign w:val="bottom"/>
          </w:tcPr>
          <w:p w14:paraId="16D4D9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D(LGR)</w:t>
            </w:r>
          </w:p>
        </w:tc>
        <w:tc>
          <w:tcPr>
            <w:tcW w:w="1050" w:type="dxa"/>
            <w:tcBorders>
              <w:top w:val="nil"/>
              <w:left w:val="nil"/>
              <w:bottom w:val="nil"/>
              <w:right w:val="nil"/>
            </w:tcBorders>
            <w:vAlign w:val="bottom"/>
          </w:tcPr>
          <w:p w14:paraId="7E959D2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-2.579886</w:t>
            </w:r>
          </w:p>
        </w:tc>
        <w:tc>
          <w:tcPr>
            <w:tcW w:w="1150" w:type="dxa"/>
            <w:tcBorders>
              <w:top w:val="nil"/>
              <w:left w:val="nil"/>
              <w:bottom w:val="nil"/>
              <w:right w:val="nil"/>
            </w:tcBorders>
            <w:vAlign w:val="bottom"/>
          </w:tcPr>
          <w:p w14:paraId="4CBADE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0.296077</w:t>
            </w:r>
          </w:p>
        </w:tc>
        <w:tc>
          <w:tcPr>
            <w:tcW w:w="1150" w:type="dxa"/>
            <w:tcBorders>
              <w:top w:val="nil"/>
              <w:left w:val="nil"/>
              <w:bottom w:val="nil"/>
              <w:right w:val="nil"/>
            </w:tcBorders>
            <w:vAlign w:val="bottom"/>
          </w:tcPr>
          <w:p w14:paraId="37EEF0A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-8.713568</w:t>
            </w:r>
          </w:p>
        </w:tc>
        <w:tc>
          <w:tcPr>
            <w:tcW w:w="950" w:type="dxa"/>
            <w:tcBorders>
              <w:top w:val="nil"/>
              <w:left w:val="nil"/>
              <w:bottom w:val="nil"/>
              <w:right w:val="nil"/>
            </w:tcBorders>
            <w:vAlign w:val="bottom"/>
          </w:tcPr>
          <w:p w14:paraId="64926D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0.0003</w:t>
            </w:r>
          </w:p>
        </w:tc>
      </w:tr>
      <w:tr w:rsidR="00EA38DE" w:rsidRPr="00EA38DE" w14:paraId="6B09D42A" w14:textId="77777777" w:rsidTr="009501B5">
        <w:trPr>
          <w:trHeight w:val="220"/>
        </w:trPr>
        <w:tc>
          <w:tcPr>
            <w:tcW w:w="2120" w:type="dxa"/>
            <w:tcBorders>
              <w:top w:val="nil"/>
              <w:left w:val="nil"/>
              <w:bottom w:val="nil"/>
              <w:right w:val="nil"/>
            </w:tcBorders>
            <w:vAlign w:val="bottom"/>
          </w:tcPr>
          <w:p w14:paraId="2FC9A88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w:t>
            </w:r>
          </w:p>
        </w:tc>
        <w:tc>
          <w:tcPr>
            <w:tcW w:w="1050" w:type="dxa"/>
            <w:tcBorders>
              <w:top w:val="nil"/>
              <w:left w:val="nil"/>
              <w:bottom w:val="nil"/>
              <w:right w:val="nil"/>
            </w:tcBorders>
            <w:vAlign w:val="bottom"/>
          </w:tcPr>
          <w:p w14:paraId="6653558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0.037118</w:t>
            </w:r>
          </w:p>
        </w:tc>
        <w:tc>
          <w:tcPr>
            <w:tcW w:w="1150" w:type="dxa"/>
            <w:tcBorders>
              <w:top w:val="nil"/>
              <w:left w:val="nil"/>
              <w:bottom w:val="nil"/>
              <w:right w:val="nil"/>
            </w:tcBorders>
            <w:vAlign w:val="bottom"/>
          </w:tcPr>
          <w:p w14:paraId="2604FA0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0.044743</w:t>
            </w:r>
          </w:p>
        </w:tc>
        <w:tc>
          <w:tcPr>
            <w:tcW w:w="1150" w:type="dxa"/>
            <w:tcBorders>
              <w:top w:val="nil"/>
              <w:left w:val="nil"/>
              <w:bottom w:val="nil"/>
              <w:right w:val="nil"/>
            </w:tcBorders>
            <w:vAlign w:val="bottom"/>
          </w:tcPr>
          <w:p w14:paraId="27F7C9AA"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0.829601</w:t>
            </w:r>
          </w:p>
        </w:tc>
        <w:tc>
          <w:tcPr>
            <w:tcW w:w="950" w:type="dxa"/>
            <w:tcBorders>
              <w:top w:val="nil"/>
              <w:left w:val="nil"/>
              <w:bottom w:val="nil"/>
              <w:right w:val="nil"/>
            </w:tcBorders>
            <w:vAlign w:val="bottom"/>
          </w:tcPr>
          <w:p w14:paraId="6800354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0.4446</w:t>
            </w:r>
          </w:p>
        </w:tc>
      </w:tr>
      <w:tr w:rsidR="00EA38DE" w:rsidRPr="00EA38DE" w14:paraId="4185811E" w14:textId="77777777" w:rsidTr="009501B5">
        <w:trPr>
          <w:trHeight w:val="220"/>
        </w:trPr>
        <w:tc>
          <w:tcPr>
            <w:tcW w:w="2120" w:type="dxa"/>
            <w:tcBorders>
              <w:top w:val="nil"/>
              <w:left w:val="nil"/>
              <w:bottom w:val="nil"/>
              <w:right w:val="nil"/>
            </w:tcBorders>
            <w:vAlign w:val="bottom"/>
          </w:tcPr>
          <w:p w14:paraId="731D3F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D(TRF(-1))</w:t>
            </w:r>
          </w:p>
        </w:tc>
        <w:tc>
          <w:tcPr>
            <w:tcW w:w="1050" w:type="dxa"/>
            <w:tcBorders>
              <w:top w:val="nil"/>
              <w:left w:val="nil"/>
              <w:bottom w:val="nil"/>
              <w:right w:val="nil"/>
            </w:tcBorders>
            <w:vAlign w:val="bottom"/>
          </w:tcPr>
          <w:p w14:paraId="4419EF3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-1.057240</w:t>
            </w:r>
          </w:p>
        </w:tc>
        <w:tc>
          <w:tcPr>
            <w:tcW w:w="1150" w:type="dxa"/>
            <w:tcBorders>
              <w:top w:val="nil"/>
              <w:left w:val="nil"/>
              <w:bottom w:val="nil"/>
              <w:right w:val="nil"/>
            </w:tcBorders>
            <w:vAlign w:val="bottom"/>
          </w:tcPr>
          <w:p w14:paraId="31FBB3A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0.111050</w:t>
            </w:r>
          </w:p>
        </w:tc>
        <w:tc>
          <w:tcPr>
            <w:tcW w:w="1150" w:type="dxa"/>
            <w:tcBorders>
              <w:top w:val="nil"/>
              <w:left w:val="nil"/>
              <w:bottom w:val="nil"/>
              <w:right w:val="nil"/>
            </w:tcBorders>
            <w:vAlign w:val="bottom"/>
          </w:tcPr>
          <w:p w14:paraId="2026F15F"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-9.520365</w:t>
            </w:r>
          </w:p>
        </w:tc>
        <w:tc>
          <w:tcPr>
            <w:tcW w:w="950" w:type="dxa"/>
            <w:tcBorders>
              <w:top w:val="nil"/>
              <w:left w:val="nil"/>
              <w:bottom w:val="nil"/>
              <w:right w:val="nil"/>
            </w:tcBorders>
            <w:vAlign w:val="bottom"/>
          </w:tcPr>
          <w:p w14:paraId="110680B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6C9A4750" w14:textId="77777777" w:rsidTr="009501B5">
        <w:trPr>
          <w:trHeight w:val="220"/>
        </w:trPr>
        <w:tc>
          <w:tcPr>
            <w:tcW w:w="2120" w:type="dxa"/>
            <w:tcBorders>
              <w:top w:val="nil"/>
              <w:left w:val="nil"/>
              <w:bottom w:val="nil"/>
              <w:right w:val="nil"/>
            </w:tcBorders>
            <w:vAlign w:val="bottom"/>
          </w:tcPr>
          <w:p w14:paraId="39B727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D(TRF(-2))</w:t>
            </w:r>
          </w:p>
        </w:tc>
        <w:tc>
          <w:tcPr>
            <w:tcW w:w="1050" w:type="dxa"/>
            <w:tcBorders>
              <w:top w:val="nil"/>
              <w:left w:val="nil"/>
              <w:bottom w:val="nil"/>
              <w:right w:val="nil"/>
            </w:tcBorders>
            <w:vAlign w:val="bottom"/>
          </w:tcPr>
          <w:p w14:paraId="4261FEA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-0.804689</w:t>
            </w:r>
          </w:p>
        </w:tc>
        <w:tc>
          <w:tcPr>
            <w:tcW w:w="1150" w:type="dxa"/>
            <w:tcBorders>
              <w:top w:val="nil"/>
              <w:left w:val="nil"/>
              <w:bottom w:val="nil"/>
              <w:right w:val="nil"/>
            </w:tcBorders>
            <w:vAlign w:val="bottom"/>
          </w:tcPr>
          <w:p w14:paraId="447434B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0.080826</w:t>
            </w:r>
          </w:p>
        </w:tc>
        <w:tc>
          <w:tcPr>
            <w:tcW w:w="1150" w:type="dxa"/>
            <w:tcBorders>
              <w:top w:val="nil"/>
              <w:left w:val="nil"/>
              <w:bottom w:val="nil"/>
              <w:right w:val="nil"/>
            </w:tcBorders>
            <w:vAlign w:val="bottom"/>
          </w:tcPr>
          <w:p w14:paraId="3916888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-9.955809</w:t>
            </w:r>
          </w:p>
        </w:tc>
        <w:tc>
          <w:tcPr>
            <w:tcW w:w="950" w:type="dxa"/>
            <w:tcBorders>
              <w:top w:val="nil"/>
              <w:left w:val="nil"/>
              <w:bottom w:val="nil"/>
              <w:right w:val="nil"/>
            </w:tcBorders>
            <w:vAlign w:val="bottom"/>
          </w:tcPr>
          <w:p w14:paraId="308154A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184AB40F" w14:textId="77777777" w:rsidTr="009501B5">
        <w:trPr>
          <w:trHeight w:val="220"/>
        </w:trPr>
        <w:tc>
          <w:tcPr>
            <w:tcW w:w="2120" w:type="dxa"/>
            <w:tcBorders>
              <w:top w:val="nil"/>
              <w:left w:val="nil"/>
              <w:bottom w:val="nil"/>
              <w:right w:val="nil"/>
            </w:tcBorders>
            <w:vAlign w:val="bottom"/>
          </w:tcPr>
          <w:p w14:paraId="75AEB9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D(TRF(-3))</w:t>
            </w:r>
          </w:p>
        </w:tc>
        <w:tc>
          <w:tcPr>
            <w:tcW w:w="1050" w:type="dxa"/>
            <w:tcBorders>
              <w:top w:val="nil"/>
              <w:left w:val="nil"/>
              <w:bottom w:val="nil"/>
              <w:right w:val="nil"/>
            </w:tcBorders>
            <w:vAlign w:val="bottom"/>
          </w:tcPr>
          <w:p w14:paraId="4B0C840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-0.582882</w:t>
            </w:r>
          </w:p>
        </w:tc>
        <w:tc>
          <w:tcPr>
            <w:tcW w:w="1150" w:type="dxa"/>
            <w:tcBorders>
              <w:top w:val="nil"/>
              <w:left w:val="nil"/>
              <w:bottom w:val="nil"/>
              <w:right w:val="nil"/>
            </w:tcBorders>
            <w:vAlign w:val="bottom"/>
          </w:tcPr>
          <w:p w14:paraId="3A32F7D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0.057835</w:t>
            </w:r>
          </w:p>
        </w:tc>
        <w:tc>
          <w:tcPr>
            <w:tcW w:w="1150" w:type="dxa"/>
            <w:tcBorders>
              <w:top w:val="nil"/>
              <w:left w:val="nil"/>
              <w:bottom w:val="nil"/>
              <w:right w:val="nil"/>
            </w:tcBorders>
            <w:vAlign w:val="bottom"/>
          </w:tcPr>
          <w:p w14:paraId="505B868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-10.07843</w:t>
            </w:r>
          </w:p>
        </w:tc>
        <w:tc>
          <w:tcPr>
            <w:tcW w:w="950" w:type="dxa"/>
            <w:tcBorders>
              <w:top w:val="nil"/>
              <w:left w:val="nil"/>
              <w:bottom w:val="nil"/>
              <w:right w:val="nil"/>
            </w:tcBorders>
            <w:vAlign w:val="bottom"/>
          </w:tcPr>
          <w:p w14:paraId="6245513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0.0002</w:t>
            </w:r>
          </w:p>
        </w:tc>
      </w:tr>
      <w:tr w:rsidR="00EA38DE" w:rsidRPr="00EA38DE" w14:paraId="5D0F51D7" w14:textId="77777777" w:rsidTr="009501B5">
        <w:trPr>
          <w:trHeight w:val="220"/>
        </w:trPr>
        <w:tc>
          <w:tcPr>
            <w:tcW w:w="2120" w:type="dxa"/>
            <w:tcBorders>
              <w:top w:val="nil"/>
              <w:left w:val="nil"/>
              <w:bottom w:val="nil"/>
              <w:right w:val="nil"/>
            </w:tcBorders>
            <w:vAlign w:val="bottom"/>
          </w:tcPr>
          <w:p w14:paraId="04EA52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CointEq(-1)*</w:t>
            </w:r>
          </w:p>
        </w:tc>
        <w:tc>
          <w:tcPr>
            <w:tcW w:w="1050" w:type="dxa"/>
            <w:tcBorders>
              <w:top w:val="nil"/>
              <w:left w:val="nil"/>
              <w:bottom w:val="nil"/>
              <w:right w:val="nil"/>
            </w:tcBorders>
            <w:vAlign w:val="bottom"/>
          </w:tcPr>
          <w:p w14:paraId="2C6EDB4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-1.627055</w:t>
            </w:r>
          </w:p>
        </w:tc>
        <w:tc>
          <w:tcPr>
            <w:tcW w:w="1150" w:type="dxa"/>
            <w:tcBorders>
              <w:top w:val="nil"/>
              <w:left w:val="nil"/>
              <w:bottom w:val="nil"/>
              <w:right w:val="nil"/>
            </w:tcBorders>
            <w:vAlign w:val="bottom"/>
          </w:tcPr>
          <w:p w14:paraId="33DEC84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0.119900</w:t>
            </w:r>
          </w:p>
        </w:tc>
        <w:tc>
          <w:tcPr>
            <w:tcW w:w="1150" w:type="dxa"/>
            <w:tcBorders>
              <w:top w:val="nil"/>
              <w:left w:val="nil"/>
              <w:bottom w:val="nil"/>
              <w:right w:val="nil"/>
            </w:tcBorders>
            <w:vAlign w:val="bottom"/>
          </w:tcPr>
          <w:p w14:paraId="04B6EA7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-13.57015</w:t>
            </w:r>
          </w:p>
        </w:tc>
        <w:tc>
          <w:tcPr>
            <w:tcW w:w="950" w:type="dxa"/>
            <w:tcBorders>
              <w:top w:val="nil"/>
              <w:left w:val="nil"/>
              <w:bottom w:val="nil"/>
              <w:right w:val="nil"/>
            </w:tcBorders>
            <w:vAlign w:val="bottom"/>
          </w:tcPr>
          <w:p w14:paraId="784DD5C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0.0000</w:t>
            </w:r>
          </w:p>
        </w:tc>
      </w:tr>
      <w:tr w:rsidR="00EA38DE" w:rsidRPr="00EA38DE" w14:paraId="373BA818" w14:textId="77777777" w:rsidTr="009501B5">
        <w:trPr>
          <w:trHeight w:hRule="exact" w:val="88"/>
        </w:trPr>
        <w:tc>
          <w:tcPr>
            <w:tcW w:w="2120" w:type="dxa"/>
            <w:tcBorders>
              <w:top w:val="nil"/>
              <w:left w:val="nil"/>
              <w:bottom w:val="double" w:sz="6" w:space="2" w:color="auto"/>
              <w:right w:val="nil"/>
            </w:tcBorders>
            <w:vAlign w:val="bottom"/>
          </w:tcPr>
          <w:p w14:paraId="2FC38C6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BEF44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51C57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B4A2A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775C9E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E0A5825" w14:textId="77777777" w:rsidTr="009501B5">
        <w:trPr>
          <w:trHeight w:hRule="exact" w:val="132"/>
        </w:trPr>
        <w:tc>
          <w:tcPr>
            <w:tcW w:w="2120" w:type="dxa"/>
            <w:tcBorders>
              <w:top w:val="nil"/>
              <w:left w:val="nil"/>
              <w:bottom w:val="nil"/>
              <w:right w:val="nil"/>
            </w:tcBorders>
            <w:vAlign w:val="bottom"/>
          </w:tcPr>
          <w:p w14:paraId="06AC79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1CF92A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33A0B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4C5D6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4CD2B7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6076450" w14:textId="77777777" w:rsidTr="009501B5">
        <w:trPr>
          <w:trHeight w:val="220"/>
        </w:trPr>
        <w:tc>
          <w:tcPr>
            <w:tcW w:w="2120" w:type="dxa"/>
            <w:tcBorders>
              <w:top w:val="nil"/>
              <w:left w:val="nil"/>
              <w:bottom w:val="nil"/>
              <w:right w:val="nil"/>
            </w:tcBorders>
            <w:vAlign w:val="bottom"/>
          </w:tcPr>
          <w:p w14:paraId="3DE42EF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R-squared</w:t>
            </w:r>
          </w:p>
        </w:tc>
        <w:tc>
          <w:tcPr>
            <w:tcW w:w="1050" w:type="dxa"/>
            <w:tcBorders>
              <w:top w:val="nil"/>
              <w:left w:val="nil"/>
              <w:bottom w:val="nil"/>
              <w:right w:val="nil"/>
            </w:tcBorders>
            <w:vAlign w:val="bottom"/>
          </w:tcPr>
          <w:p w14:paraId="75EAF4C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0.973028</w:t>
            </w:r>
          </w:p>
        </w:tc>
        <w:tc>
          <w:tcPr>
            <w:tcW w:w="2300" w:type="dxa"/>
            <w:gridSpan w:val="2"/>
            <w:tcBorders>
              <w:top w:val="nil"/>
              <w:left w:val="nil"/>
              <w:bottom w:val="nil"/>
              <w:right w:val="nil"/>
            </w:tcBorders>
            <w:vAlign w:val="bottom"/>
          </w:tcPr>
          <w:p w14:paraId="51BC51F9"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Mean dependent var</w:t>
            </w:r>
          </w:p>
        </w:tc>
        <w:tc>
          <w:tcPr>
            <w:tcW w:w="950" w:type="dxa"/>
            <w:tcBorders>
              <w:top w:val="nil"/>
              <w:left w:val="nil"/>
              <w:bottom w:val="nil"/>
              <w:right w:val="nil"/>
            </w:tcBorders>
            <w:vAlign w:val="bottom"/>
          </w:tcPr>
          <w:p w14:paraId="40A1B0C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0.183720</w:t>
            </w:r>
          </w:p>
        </w:tc>
      </w:tr>
      <w:tr w:rsidR="00EA38DE" w:rsidRPr="00EA38DE" w14:paraId="6896A30D" w14:textId="77777777" w:rsidTr="009501B5">
        <w:trPr>
          <w:trHeight w:val="220"/>
        </w:trPr>
        <w:tc>
          <w:tcPr>
            <w:tcW w:w="2120" w:type="dxa"/>
            <w:tcBorders>
              <w:top w:val="nil"/>
              <w:left w:val="nil"/>
              <w:bottom w:val="nil"/>
              <w:right w:val="nil"/>
            </w:tcBorders>
            <w:vAlign w:val="bottom"/>
          </w:tcPr>
          <w:p w14:paraId="34A0165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Adjusted R-squared</w:t>
            </w:r>
          </w:p>
        </w:tc>
        <w:tc>
          <w:tcPr>
            <w:tcW w:w="1050" w:type="dxa"/>
            <w:tcBorders>
              <w:top w:val="nil"/>
              <w:left w:val="nil"/>
              <w:bottom w:val="nil"/>
              <w:right w:val="nil"/>
            </w:tcBorders>
            <w:vAlign w:val="bottom"/>
          </w:tcPr>
          <w:p w14:paraId="7C87150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0.926440</w:t>
            </w:r>
          </w:p>
        </w:tc>
        <w:tc>
          <w:tcPr>
            <w:tcW w:w="2300" w:type="dxa"/>
            <w:gridSpan w:val="2"/>
            <w:tcBorders>
              <w:top w:val="nil"/>
              <w:left w:val="nil"/>
              <w:bottom w:val="nil"/>
              <w:right w:val="nil"/>
            </w:tcBorders>
            <w:vAlign w:val="bottom"/>
          </w:tcPr>
          <w:p w14:paraId="653E7134"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S.D. dependent var</w:t>
            </w:r>
          </w:p>
        </w:tc>
        <w:tc>
          <w:tcPr>
            <w:tcW w:w="950" w:type="dxa"/>
            <w:tcBorders>
              <w:top w:val="nil"/>
              <w:left w:val="nil"/>
              <w:bottom w:val="nil"/>
              <w:right w:val="nil"/>
            </w:tcBorders>
            <w:vAlign w:val="bottom"/>
          </w:tcPr>
          <w:p w14:paraId="2789B2A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0.406684</w:t>
            </w:r>
          </w:p>
        </w:tc>
      </w:tr>
      <w:tr w:rsidR="00EA38DE" w:rsidRPr="00EA38DE" w14:paraId="07CD555D" w14:textId="77777777" w:rsidTr="009501B5">
        <w:trPr>
          <w:trHeight w:val="220"/>
        </w:trPr>
        <w:tc>
          <w:tcPr>
            <w:tcW w:w="2120" w:type="dxa"/>
            <w:tcBorders>
              <w:top w:val="nil"/>
              <w:left w:val="nil"/>
              <w:bottom w:val="nil"/>
              <w:right w:val="nil"/>
            </w:tcBorders>
            <w:vAlign w:val="bottom"/>
          </w:tcPr>
          <w:p w14:paraId="75FA1E6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S.E. of regression</w:t>
            </w:r>
          </w:p>
        </w:tc>
        <w:tc>
          <w:tcPr>
            <w:tcW w:w="1050" w:type="dxa"/>
            <w:tcBorders>
              <w:top w:val="nil"/>
              <w:left w:val="nil"/>
              <w:bottom w:val="nil"/>
              <w:right w:val="nil"/>
            </w:tcBorders>
            <w:vAlign w:val="bottom"/>
          </w:tcPr>
          <w:p w14:paraId="176C8EB0"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0.110300</w:t>
            </w:r>
          </w:p>
        </w:tc>
        <w:tc>
          <w:tcPr>
            <w:tcW w:w="2300" w:type="dxa"/>
            <w:gridSpan w:val="2"/>
            <w:tcBorders>
              <w:top w:val="nil"/>
              <w:left w:val="nil"/>
              <w:bottom w:val="nil"/>
              <w:right w:val="nil"/>
            </w:tcBorders>
            <w:vAlign w:val="bottom"/>
          </w:tcPr>
          <w:p w14:paraId="3AAABDCB"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Akaike info criterion</w:t>
            </w:r>
          </w:p>
        </w:tc>
        <w:tc>
          <w:tcPr>
            <w:tcW w:w="950" w:type="dxa"/>
            <w:tcBorders>
              <w:top w:val="nil"/>
              <w:left w:val="nil"/>
              <w:bottom w:val="nil"/>
              <w:right w:val="nil"/>
            </w:tcBorders>
            <w:vAlign w:val="bottom"/>
          </w:tcPr>
          <w:p w14:paraId="433FF601"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-1.316992</w:t>
            </w:r>
          </w:p>
        </w:tc>
      </w:tr>
      <w:tr w:rsidR="00EA38DE" w:rsidRPr="00EA38DE" w14:paraId="3225EE3A" w14:textId="77777777" w:rsidTr="009501B5">
        <w:trPr>
          <w:trHeight w:val="220"/>
        </w:trPr>
        <w:tc>
          <w:tcPr>
            <w:tcW w:w="2120" w:type="dxa"/>
            <w:tcBorders>
              <w:top w:val="nil"/>
              <w:left w:val="nil"/>
              <w:bottom w:val="nil"/>
              <w:right w:val="nil"/>
            </w:tcBorders>
            <w:vAlign w:val="bottom"/>
          </w:tcPr>
          <w:p w14:paraId="6B5091D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Sum squared resid</w:t>
            </w:r>
          </w:p>
        </w:tc>
        <w:tc>
          <w:tcPr>
            <w:tcW w:w="1050" w:type="dxa"/>
            <w:tcBorders>
              <w:top w:val="nil"/>
              <w:left w:val="nil"/>
              <w:bottom w:val="nil"/>
              <w:right w:val="nil"/>
            </w:tcBorders>
            <w:vAlign w:val="bottom"/>
          </w:tcPr>
          <w:p w14:paraId="0CF7189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0.133827</w:t>
            </w:r>
          </w:p>
        </w:tc>
        <w:tc>
          <w:tcPr>
            <w:tcW w:w="2300" w:type="dxa"/>
            <w:gridSpan w:val="2"/>
            <w:tcBorders>
              <w:top w:val="nil"/>
              <w:left w:val="nil"/>
              <w:bottom w:val="nil"/>
              <w:right w:val="nil"/>
            </w:tcBorders>
            <w:vAlign w:val="bottom"/>
          </w:tcPr>
          <w:p w14:paraId="7E77BAC3"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Schwarz criterion</w:t>
            </w:r>
          </w:p>
        </w:tc>
        <w:tc>
          <w:tcPr>
            <w:tcW w:w="950" w:type="dxa"/>
            <w:tcBorders>
              <w:top w:val="nil"/>
              <w:left w:val="nil"/>
              <w:bottom w:val="nil"/>
              <w:right w:val="nil"/>
            </w:tcBorders>
            <w:vAlign w:val="bottom"/>
          </w:tcPr>
          <w:p w14:paraId="5244BD7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-0.391839</w:t>
            </w:r>
          </w:p>
        </w:tc>
      </w:tr>
      <w:tr w:rsidR="00EA38DE" w:rsidRPr="00EA38DE" w14:paraId="53A1E011" w14:textId="77777777" w:rsidTr="009501B5">
        <w:trPr>
          <w:trHeight w:val="220"/>
        </w:trPr>
        <w:tc>
          <w:tcPr>
            <w:tcW w:w="2120" w:type="dxa"/>
            <w:tcBorders>
              <w:top w:val="nil"/>
              <w:left w:val="nil"/>
              <w:bottom w:val="nil"/>
              <w:right w:val="nil"/>
            </w:tcBorders>
            <w:vAlign w:val="bottom"/>
          </w:tcPr>
          <w:p w14:paraId="7430F90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Log likelihood</w:t>
            </w:r>
          </w:p>
        </w:tc>
        <w:tc>
          <w:tcPr>
            <w:tcW w:w="1050" w:type="dxa"/>
            <w:tcBorders>
              <w:top w:val="nil"/>
              <w:left w:val="nil"/>
              <w:bottom w:val="nil"/>
              <w:right w:val="nil"/>
            </w:tcBorders>
            <w:vAlign w:val="bottom"/>
          </w:tcPr>
          <w:p w14:paraId="15CEE9E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40.41338</w:t>
            </w:r>
          </w:p>
        </w:tc>
        <w:tc>
          <w:tcPr>
            <w:tcW w:w="2300" w:type="dxa"/>
            <w:gridSpan w:val="2"/>
            <w:tcBorders>
              <w:top w:val="nil"/>
              <w:left w:val="nil"/>
              <w:bottom w:val="nil"/>
              <w:right w:val="nil"/>
            </w:tcBorders>
            <w:vAlign w:val="bottom"/>
          </w:tcPr>
          <w:p w14:paraId="3DEFDA5F" w14:textId="77777777" w:rsidR="003C6B00" w:rsidRPr="00EA38DE" w:rsidRDefault="003C6B00" w:rsidP="009501B5">
            <w:pPr>
              <w:autoSpaceDE w:val="0"/>
              <w:autoSpaceDN w:val="0"/>
              <w:adjustRightInd w:val="0"/>
              <w:spacing w:after="0" w:line="240" w:lineRule="auto"/>
              <w:ind w:right="20"/>
              <w:rPr>
                <w:rFonts w:ascii="Arial" w:hAnsi="Arial" w:cs="Arial"/>
                <w:sz w:val="18"/>
                <w:szCs w:val="18"/>
              </w:rPr>
            </w:pPr>
            <w:r w:rsidRPr="00EA38DE">
              <w:rPr>
                <w:rFonts w:ascii="Arial" w:hAnsi="Arial" w:cs="Arial"/>
                <w:sz w:val="18"/>
                <w:szCs w:val="18"/>
              </w:rPr>
              <w:t>    Hannan-Quinn criter.</w:t>
            </w:r>
          </w:p>
        </w:tc>
        <w:tc>
          <w:tcPr>
            <w:tcW w:w="950" w:type="dxa"/>
            <w:tcBorders>
              <w:top w:val="nil"/>
              <w:left w:val="nil"/>
              <w:bottom w:val="nil"/>
              <w:right w:val="nil"/>
            </w:tcBorders>
            <w:vAlign w:val="bottom"/>
          </w:tcPr>
          <w:p w14:paraId="359942B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-1.015415</w:t>
            </w:r>
          </w:p>
        </w:tc>
      </w:tr>
      <w:tr w:rsidR="00EA38DE" w:rsidRPr="00EA38DE" w14:paraId="263F398F" w14:textId="77777777" w:rsidTr="009501B5">
        <w:trPr>
          <w:trHeight w:val="220"/>
        </w:trPr>
        <w:tc>
          <w:tcPr>
            <w:tcW w:w="2120" w:type="dxa"/>
            <w:tcBorders>
              <w:top w:val="nil"/>
              <w:left w:val="nil"/>
              <w:bottom w:val="nil"/>
              <w:right w:val="nil"/>
            </w:tcBorders>
            <w:vAlign w:val="bottom"/>
          </w:tcPr>
          <w:p w14:paraId="041DC7B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Durbin-Watson stat</w:t>
            </w:r>
          </w:p>
        </w:tc>
        <w:tc>
          <w:tcPr>
            <w:tcW w:w="1050" w:type="dxa"/>
            <w:tcBorders>
              <w:top w:val="nil"/>
              <w:left w:val="nil"/>
              <w:bottom w:val="nil"/>
              <w:right w:val="nil"/>
            </w:tcBorders>
            <w:vAlign w:val="bottom"/>
          </w:tcPr>
          <w:p w14:paraId="0584762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2.947937</w:t>
            </w:r>
          </w:p>
        </w:tc>
        <w:tc>
          <w:tcPr>
            <w:tcW w:w="1150" w:type="dxa"/>
            <w:tcBorders>
              <w:top w:val="nil"/>
              <w:left w:val="nil"/>
              <w:bottom w:val="nil"/>
              <w:right w:val="nil"/>
            </w:tcBorders>
            <w:vAlign w:val="bottom"/>
          </w:tcPr>
          <w:p w14:paraId="45B57D80"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1150" w:type="dxa"/>
            <w:tcBorders>
              <w:top w:val="nil"/>
              <w:left w:val="nil"/>
              <w:bottom w:val="nil"/>
              <w:right w:val="nil"/>
            </w:tcBorders>
            <w:vAlign w:val="bottom"/>
          </w:tcPr>
          <w:p w14:paraId="5E9C6E57"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c>
          <w:tcPr>
            <w:tcW w:w="950" w:type="dxa"/>
            <w:tcBorders>
              <w:top w:val="nil"/>
              <w:left w:val="nil"/>
              <w:bottom w:val="nil"/>
              <w:right w:val="nil"/>
            </w:tcBorders>
            <w:vAlign w:val="bottom"/>
          </w:tcPr>
          <w:p w14:paraId="3241ED74" w14:textId="77777777" w:rsidR="003C6B00" w:rsidRPr="00EA38DE" w:rsidRDefault="003C6B00" w:rsidP="009501B5">
            <w:pPr>
              <w:autoSpaceDE w:val="0"/>
              <w:autoSpaceDN w:val="0"/>
              <w:adjustRightInd w:val="0"/>
              <w:spacing w:after="0" w:line="240" w:lineRule="auto"/>
              <w:ind w:right="20"/>
              <w:jc w:val="center"/>
              <w:rPr>
                <w:rFonts w:ascii="Arial" w:hAnsi="Arial" w:cs="Arial"/>
                <w:sz w:val="18"/>
                <w:szCs w:val="18"/>
              </w:rPr>
            </w:pPr>
          </w:p>
        </w:tc>
      </w:tr>
      <w:tr w:rsidR="00EA38DE" w:rsidRPr="00EA38DE" w14:paraId="0FCA8C3B" w14:textId="77777777" w:rsidTr="009501B5">
        <w:trPr>
          <w:trHeight w:hRule="exact" w:val="88"/>
        </w:trPr>
        <w:tc>
          <w:tcPr>
            <w:tcW w:w="2120" w:type="dxa"/>
            <w:tcBorders>
              <w:top w:val="nil"/>
              <w:left w:val="nil"/>
              <w:bottom w:val="double" w:sz="6" w:space="2" w:color="auto"/>
              <w:right w:val="nil"/>
            </w:tcBorders>
            <w:vAlign w:val="bottom"/>
          </w:tcPr>
          <w:p w14:paraId="628FE2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4E530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79452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25C3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3CC4D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426651A" w14:textId="77777777" w:rsidTr="009501B5">
        <w:trPr>
          <w:trHeight w:hRule="exact" w:val="132"/>
        </w:trPr>
        <w:tc>
          <w:tcPr>
            <w:tcW w:w="2120" w:type="dxa"/>
            <w:tcBorders>
              <w:top w:val="nil"/>
              <w:left w:val="nil"/>
              <w:bottom w:val="nil"/>
              <w:right w:val="nil"/>
            </w:tcBorders>
            <w:vAlign w:val="bottom"/>
          </w:tcPr>
          <w:p w14:paraId="68726F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92D5B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C19F0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A224D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102D1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32C0776" w14:textId="77777777" w:rsidTr="009501B5">
        <w:trPr>
          <w:trHeight w:val="220"/>
        </w:trPr>
        <w:tc>
          <w:tcPr>
            <w:tcW w:w="6420" w:type="dxa"/>
            <w:gridSpan w:val="5"/>
            <w:tcBorders>
              <w:top w:val="nil"/>
              <w:left w:val="nil"/>
              <w:bottom w:val="nil"/>
              <w:right w:val="nil"/>
            </w:tcBorders>
            <w:vAlign w:val="bottom"/>
          </w:tcPr>
          <w:p w14:paraId="4001768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 p-value incompatible with t-Bounds distribution.</w:t>
            </w:r>
          </w:p>
        </w:tc>
      </w:tr>
      <w:tr w:rsidR="00EA38DE" w:rsidRPr="00EA38DE" w14:paraId="3749FB04" w14:textId="77777777" w:rsidTr="009501B5">
        <w:trPr>
          <w:trHeight w:val="220"/>
        </w:trPr>
        <w:tc>
          <w:tcPr>
            <w:tcW w:w="2120" w:type="dxa"/>
            <w:tcBorders>
              <w:top w:val="nil"/>
              <w:left w:val="nil"/>
              <w:bottom w:val="nil"/>
              <w:right w:val="nil"/>
            </w:tcBorders>
            <w:vAlign w:val="bottom"/>
          </w:tcPr>
          <w:p w14:paraId="1B26F0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FD675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742C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0EC35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0D99C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DD86D59" w14:textId="77777777" w:rsidTr="009501B5">
        <w:trPr>
          <w:trHeight w:val="220"/>
        </w:trPr>
        <w:tc>
          <w:tcPr>
            <w:tcW w:w="2120" w:type="dxa"/>
            <w:tcBorders>
              <w:top w:val="nil"/>
              <w:left w:val="nil"/>
              <w:bottom w:val="nil"/>
              <w:right w:val="nil"/>
            </w:tcBorders>
            <w:vAlign w:val="bottom"/>
          </w:tcPr>
          <w:p w14:paraId="2C2F87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65CF0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694F5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B8D55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82426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3D54927" w14:textId="77777777" w:rsidTr="009501B5">
        <w:trPr>
          <w:trHeight w:val="220"/>
        </w:trPr>
        <w:tc>
          <w:tcPr>
            <w:tcW w:w="3170" w:type="dxa"/>
            <w:gridSpan w:val="2"/>
            <w:tcBorders>
              <w:top w:val="nil"/>
              <w:left w:val="nil"/>
              <w:bottom w:val="nil"/>
              <w:right w:val="nil"/>
            </w:tcBorders>
            <w:vAlign w:val="bottom"/>
          </w:tcPr>
          <w:p w14:paraId="52E7DE9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F-Bounds Test</w:t>
            </w:r>
          </w:p>
        </w:tc>
        <w:tc>
          <w:tcPr>
            <w:tcW w:w="3250" w:type="dxa"/>
            <w:gridSpan w:val="3"/>
            <w:tcBorders>
              <w:top w:val="nil"/>
              <w:left w:val="nil"/>
              <w:bottom w:val="nil"/>
              <w:right w:val="nil"/>
            </w:tcBorders>
            <w:vAlign w:val="bottom"/>
          </w:tcPr>
          <w:p w14:paraId="245389A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Null Hypothesis: No levels relationship</w:t>
            </w:r>
          </w:p>
        </w:tc>
      </w:tr>
      <w:tr w:rsidR="00EA38DE" w:rsidRPr="00EA38DE" w14:paraId="1FA22347" w14:textId="77777777" w:rsidTr="009501B5">
        <w:trPr>
          <w:trHeight w:hRule="exact" w:val="88"/>
        </w:trPr>
        <w:tc>
          <w:tcPr>
            <w:tcW w:w="2120" w:type="dxa"/>
            <w:tcBorders>
              <w:top w:val="nil"/>
              <w:left w:val="nil"/>
              <w:bottom w:val="double" w:sz="6" w:space="2" w:color="auto"/>
              <w:right w:val="nil"/>
            </w:tcBorders>
            <w:vAlign w:val="bottom"/>
          </w:tcPr>
          <w:p w14:paraId="186423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54B0DB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FD441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CF419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B8B72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01AA4D6" w14:textId="77777777" w:rsidTr="009501B5">
        <w:trPr>
          <w:trHeight w:hRule="exact" w:val="132"/>
        </w:trPr>
        <w:tc>
          <w:tcPr>
            <w:tcW w:w="2120" w:type="dxa"/>
            <w:tcBorders>
              <w:top w:val="nil"/>
              <w:left w:val="nil"/>
              <w:bottom w:val="nil"/>
              <w:right w:val="nil"/>
            </w:tcBorders>
            <w:vAlign w:val="bottom"/>
          </w:tcPr>
          <w:p w14:paraId="2A301F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32701A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A76C3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934E8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DCB02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14E6AB6" w14:textId="77777777" w:rsidTr="009501B5">
        <w:trPr>
          <w:trHeight w:val="220"/>
        </w:trPr>
        <w:tc>
          <w:tcPr>
            <w:tcW w:w="2120" w:type="dxa"/>
            <w:tcBorders>
              <w:top w:val="nil"/>
              <w:left w:val="nil"/>
              <w:bottom w:val="nil"/>
              <w:right w:val="nil"/>
            </w:tcBorders>
            <w:vAlign w:val="bottom"/>
          </w:tcPr>
          <w:p w14:paraId="69325FB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Statistic</w:t>
            </w:r>
          </w:p>
        </w:tc>
        <w:tc>
          <w:tcPr>
            <w:tcW w:w="1050" w:type="dxa"/>
            <w:tcBorders>
              <w:top w:val="nil"/>
              <w:left w:val="nil"/>
              <w:bottom w:val="nil"/>
              <w:right w:val="nil"/>
            </w:tcBorders>
            <w:vAlign w:val="bottom"/>
          </w:tcPr>
          <w:p w14:paraId="4C8F9F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Value</w:t>
            </w:r>
          </w:p>
        </w:tc>
        <w:tc>
          <w:tcPr>
            <w:tcW w:w="1150" w:type="dxa"/>
            <w:tcBorders>
              <w:top w:val="nil"/>
              <w:left w:val="nil"/>
              <w:bottom w:val="nil"/>
              <w:right w:val="nil"/>
            </w:tcBorders>
            <w:vAlign w:val="bottom"/>
          </w:tcPr>
          <w:p w14:paraId="3CF0EE55"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Signif.</w:t>
            </w:r>
          </w:p>
        </w:tc>
        <w:tc>
          <w:tcPr>
            <w:tcW w:w="1150" w:type="dxa"/>
            <w:tcBorders>
              <w:top w:val="nil"/>
              <w:left w:val="nil"/>
              <w:bottom w:val="nil"/>
              <w:right w:val="nil"/>
            </w:tcBorders>
            <w:vAlign w:val="bottom"/>
          </w:tcPr>
          <w:p w14:paraId="01F3FB5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I(0)</w:t>
            </w:r>
          </w:p>
        </w:tc>
        <w:tc>
          <w:tcPr>
            <w:tcW w:w="950" w:type="dxa"/>
            <w:tcBorders>
              <w:top w:val="nil"/>
              <w:left w:val="nil"/>
              <w:bottom w:val="nil"/>
              <w:right w:val="nil"/>
            </w:tcBorders>
            <w:vAlign w:val="bottom"/>
          </w:tcPr>
          <w:p w14:paraId="07FDDE86"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I(1)</w:t>
            </w:r>
          </w:p>
        </w:tc>
      </w:tr>
      <w:tr w:rsidR="00EA38DE" w:rsidRPr="00EA38DE" w14:paraId="3D74C1D1" w14:textId="77777777" w:rsidTr="009501B5">
        <w:trPr>
          <w:trHeight w:hRule="exact" w:val="88"/>
        </w:trPr>
        <w:tc>
          <w:tcPr>
            <w:tcW w:w="2120" w:type="dxa"/>
            <w:tcBorders>
              <w:top w:val="nil"/>
              <w:left w:val="nil"/>
              <w:bottom w:val="double" w:sz="6" w:space="2" w:color="auto"/>
              <w:right w:val="nil"/>
            </w:tcBorders>
            <w:vAlign w:val="bottom"/>
          </w:tcPr>
          <w:p w14:paraId="2860A3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1E5FA7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6AEC4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9AB13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324FF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F866F6E" w14:textId="77777777" w:rsidTr="009501B5">
        <w:trPr>
          <w:trHeight w:hRule="exact" w:val="132"/>
        </w:trPr>
        <w:tc>
          <w:tcPr>
            <w:tcW w:w="2120" w:type="dxa"/>
            <w:tcBorders>
              <w:top w:val="nil"/>
              <w:left w:val="nil"/>
              <w:bottom w:val="nil"/>
              <w:right w:val="nil"/>
            </w:tcBorders>
            <w:vAlign w:val="bottom"/>
          </w:tcPr>
          <w:p w14:paraId="433C50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BF9C1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78BF1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EAEEA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75554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4E77626" w14:textId="77777777" w:rsidTr="009501B5">
        <w:trPr>
          <w:trHeight w:val="220"/>
        </w:trPr>
        <w:tc>
          <w:tcPr>
            <w:tcW w:w="2120" w:type="dxa"/>
            <w:tcBorders>
              <w:top w:val="nil"/>
              <w:left w:val="nil"/>
              <w:bottom w:val="nil"/>
              <w:right w:val="nil"/>
            </w:tcBorders>
            <w:vAlign w:val="bottom"/>
          </w:tcPr>
          <w:p w14:paraId="736DC0B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F-statistic</w:t>
            </w:r>
          </w:p>
        </w:tc>
        <w:tc>
          <w:tcPr>
            <w:tcW w:w="1050" w:type="dxa"/>
            <w:tcBorders>
              <w:top w:val="nil"/>
              <w:left w:val="nil"/>
              <w:bottom w:val="nil"/>
              <w:right w:val="nil"/>
            </w:tcBorders>
            <w:vAlign w:val="bottom"/>
          </w:tcPr>
          <w:p w14:paraId="548688E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11.95772</w:t>
            </w:r>
          </w:p>
        </w:tc>
        <w:tc>
          <w:tcPr>
            <w:tcW w:w="1150" w:type="dxa"/>
            <w:tcBorders>
              <w:top w:val="nil"/>
              <w:left w:val="nil"/>
              <w:bottom w:val="nil"/>
              <w:right w:val="nil"/>
            </w:tcBorders>
            <w:vAlign w:val="bottom"/>
          </w:tcPr>
          <w:p w14:paraId="483E6207"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10%  </w:t>
            </w:r>
          </w:p>
        </w:tc>
        <w:tc>
          <w:tcPr>
            <w:tcW w:w="1150" w:type="dxa"/>
            <w:tcBorders>
              <w:top w:val="nil"/>
              <w:left w:val="nil"/>
              <w:bottom w:val="nil"/>
              <w:right w:val="nil"/>
            </w:tcBorders>
            <w:vAlign w:val="bottom"/>
          </w:tcPr>
          <w:p w14:paraId="1C43802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2.08</w:t>
            </w:r>
          </w:p>
        </w:tc>
        <w:tc>
          <w:tcPr>
            <w:tcW w:w="950" w:type="dxa"/>
            <w:tcBorders>
              <w:top w:val="nil"/>
              <w:left w:val="nil"/>
              <w:bottom w:val="nil"/>
              <w:right w:val="nil"/>
            </w:tcBorders>
            <w:vAlign w:val="bottom"/>
          </w:tcPr>
          <w:p w14:paraId="649861A9"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w:t>
            </w:r>
          </w:p>
        </w:tc>
      </w:tr>
      <w:tr w:rsidR="00EA38DE" w:rsidRPr="00EA38DE" w14:paraId="5FCC80A9" w14:textId="77777777" w:rsidTr="009501B5">
        <w:trPr>
          <w:trHeight w:val="220"/>
        </w:trPr>
        <w:tc>
          <w:tcPr>
            <w:tcW w:w="2120" w:type="dxa"/>
            <w:tcBorders>
              <w:top w:val="nil"/>
              <w:left w:val="nil"/>
              <w:bottom w:val="nil"/>
              <w:right w:val="nil"/>
            </w:tcBorders>
            <w:vAlign w:val="bottom"/>
          </w:tcPr>
          <w:p w14:paraId="7EAC5CE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t>
            </w:r>
          </w:p>
        </w:tc>
        <w:tc>
          <w:tcPr>
            <w:tcW w:w="1050" w:type="dxa"/>
            <w:tcBorders>
              <w:top w:val="nil"/>
              <w:left w:val="nil"/>
              <w:bottom w:val="nil"/>
              <w:right w:val="nil"/>
            </w:tcBorders>
            <w:vAlign w:val="bottom"/>
          </w:tcPr>
          <w:p w14:paraId="357506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w:t>
            </w:r>
          </w:p>
        </w:tc>
        <w:tc>
          <w:tcPr>
            <w:tcW w:w="1150" w:type="dxa"/>
            <w:tcBorders>
              <w:top w:val="nil"/>
              <w:left w:val="nil"/>
              <w:bottom w:val="nil"/>
              <w:right w:val="nil"/>
            </w:tcBorders>
            <w:vAlign w:val="bottom"/>
          </w:tcPr>
          <w:p w14:paraId="658AFF03"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5%  </w:t>
            </w:r>
          </w:p>
        </w:tc>
        <w:tc>
          <w:tcPr>
            <w:tcW w:w="1150" w:type="dxa"/>
            <w:tcBorders>
              <w:top w:val="nil"/>
              <w:left w:val="nil"/>
              <w:bottom w:val="nil"/>
              <w:right w:val="nil"/>
            </w:tcBorders>
            <w:vAlign w:val="bottom"/>
          </w:tcPr>
          <w:p w14:paraId="2065F15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2.39</w:t>
            </w:r>
          </w:p>
        </w:tc>
        <w:tc>
          <w:tcPr>
            <w:tcW w:w="950" w:type="dxa"/>
            <w:tcBorders>
              <w:top w:val="nil"/>
              <w:left w:val="nil"/>
              <w:bottom w:val="nil"/>
              <w:right w:val="nil"/>
            </w:tcBorders>
            <w:vAlign w:val="bottom"/>
          </w:tcPr>
          <w:p w14:paraId="01E8ECAE"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3.38</w:t>
            </w:r>
          </w:p>
        </w:tc>
      </w:tr>
      <w:tr w:rsidR="00EA38DE" w:rsidRPr="00EA38DE" w14:paraId="4E1CCD8B" w14:textId="77777777" w:rsidTr="009501B5">
        <w:trPr>
          <w:trHeight w:val="220"/>
        </w:trPr>
        <w:tc>
          <w:tcPr>
            <w:tcW w:w="2120" w:type="dxa"/>
            <w:tcBorders>
              <w:top w:val="nil"/>
              <w:left w:val="nil"/>
              <w:bottom w:val="nil"/>
              <w:right w:val="nil"/>
            </w:tcBorders>
            <w:vAlign w:val="bottom"/>
          </w:tcPr>
          <w:p w14:paraId="4370CF1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9C605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CBB4BDD"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2.5%  </w:t>
            </w:r>
          </w:p>
        </w:tc>
        <w:tc>
          <w:tcPr>
            <w:tcW w:w="1150" w:type="dxa"/>
            <w:tcBorders>
              <w:top w:val="nil"/>
              <w:left w:val="nil"/>
              <w:bottom w:val="nil"/>
              <w:right w:val="nil"/>
            </w:tcBorders>
            <w:vAlign w:val="bottom"/>
          </w:tcPr>
          <w:p w14:paraId="585A15D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2.7</w:t>
            </w:r>
          </w:p>
        </w:tc>
        <w:tc>
          <w:tcPr>
            <w:tcW w:w="950" w:type="dxa"/>
            <w:tcBorders>
              <w:top w:val="nil"/>
              <w:left w:val="nil"/>
              <w:bottom w:val="nil"/>
              <w:right w:val="nil"/>
            </w:tcBorders>
            <w:vAlign w:val="bottom"/>
          </w:tcPr>
          <w:p w14:paraId="130551B8"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3.73</w:t>
            </w:r>
          </w:p>
        </w:tc>
      </w:tr>
      <w:tr w:rsidR="00EA38DE" w:rsidRPr="00EA38DE" w14:paraId="69BE599C" w14:textId="77777777" w:rsidTr="009501B5">
        <w:trPr>
          <w:trHeight w:val="220"/>
        </w:trPr>
        <w:tc>
          <w:tcPr>
            <w:tcW w:w="2120" w:type="dxa"/>
            <w:tcBorders>
              <w:top w:val="nil"/>
              <w:left w:val="nil"/>
              <w:bottom w:val="nil"/>
              <w:right w:val="nil"/>
            </w:tcBorders>
            <w:vAlign w:val="bottom"/>
          </w:tcPr>
          <w:p w14:paraId="420635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333A7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FC0732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1%  </w:t>
            </w:r>
          </w:p>
        </w:tc>
        <w:tc>
          <w:tcPr>
            <w:tcW w:w="1150" w:type="dxa"/>
            <w:tcBorders>
              <w:top w:val="nil"/>
              <w:left w:val="nil"/>
              <w:bottom w:val="nil"/>
              <w:right w:val="nil"/>
            </w:tcBorders>
            <w:vAlign w:val="bottom"/>
          </w:tcPr>
          <w:p w14:paraId="450F25CB"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3.06</w:t>
            </w:r>
          </w:p>
        </w:tc>
        <w:tc>
          <w:tcPr>
            <w:tcW w:w="950" w:type="dxa"/>
            <w:tcBorders>
              <w:top w:val="nil"/>
              <w:left w:val="nil"/>
              <w:bottom w:val="nil"/>
              <w:right w:val="nil"/>
            </w:tcBorders>
            <w:vAlign w:val="bottom"/>
          </w:tcPr>
          <w:p w14:paraId="7129C02C" w14:textId="77777777" w:rsidR="003C6B00" w:rsidRPr="00EA38DE" w:rsidRDefault="003C6B00" w:rsidP="009501B5">
            <w:pPr>
              <w:autoSpaceDE w:val="0"/>
              <w:autoSpaceDN w:val="0"/>
              <w:adjustRightInd w:val="0"/>
              <w:spacing w:after="0" w:line="240" w:lineRule="auto"/>
              <w:ind w:right="20"/>
              <w:jc w:val="right"/>
              <w:rPr>
                <w:rFonts w:ascii="Arial" w:hAnsi="Arial" w:cs="Arial"/>
                <w:sz w:val="18"/>
                <w:szCs w:val="18"/>
              </w:rPr>
            </w:pPr>
            <w:r w:rsidRPr="00EA38DE">
              <w:rPr>
                <w:rFonts w:ascii="Arial" w:hAnsi="Arial" w:cs="Arial"/>
                <w:sz w:val="18"/>
                <w:szCs w:val="18"/>
              </w:rPr>
              <w:t>4.15</w:t>
            </w:r>
          </w:p>
        </w:tc>
      </w:tr>
      <w:tr w:rsidR="00EA38DE" w:rsidRPr="00EA38DE" w14:paraId="6B576DAE" w14:textId="77777777" w:rsidTr="009501B5">
        <w:trPr>
          <w:trHeight w:hRule="exact" w:val="88"/>
        </w:trPr>
        <w:tc>
          <w:tcPr>
            <w:tcW w:w="2120" w:type="dxa"/>
            <w:tcBorders>
              <w:top w:val="nil"/>
              <w:left w:val="nil"/>
              <w:bottom w:val="double" w:sz="6" w:space="0" w:color="auto"/>
              <w:right w:val="nil"/>
            </w:tcBorders>
            <w:vAlign w:val="bottom"/>
          </w:tcPr>
          <w:p w14:paraId="468098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4E72D6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6913C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CBE3A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18CF7F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EC754FF" w14:textId="77777777" w:rsidTr="009501B5">
        <w:trPr>
          <w:trHeight w:hRule="exact" w:val="132"/>
        </w:trPr>
        <w:tc>
          <w:tcPr>
            <w:tcW w:w="2120" w:type="dxa"/>
            <w:tcBorders>
              <w:top w:val="nil"/>
              <w:left w:val="nil"/>
              <w:bottom w:val="nil"/>
              <w:right w:val="nil"/>
            </w:tcBorders>
            <w:vAlign w:val="bottom"/>
          </w:tcPr>
          <w:p w14:paraId="14178F3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6DD22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C88BC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4B8A4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A8AED8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30148544" w14:textId="77777777" w:rsidR="003C6B00" w:rsidRPr="00EA38DE" w:rsidRDefault="003C6B00" w:rsidP="003C6B00">
      <w:r w:rsidRPr="00EA38DE">
        <w:rPr>
          <w:rFonts w:ascii="Arial" w:hAnsi="Arial" w:cs="Arial"/>
          <w:sz w:val="18"/>
          <w:szCs w:val="18"/>
        </w:rPr>
        <w:br/>
      </w:r>
    </w:p>
    <w:p w14:paraId="1E49583F" w14:textId="77777777" w:rsidR="003C6B00" w:rsidRPr="00EA38DE" w:rsidRDefault="003C6B00" w:rsidP="003C6B00"/>
    <w:p w14:paraId="7ECB3ADB"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2393D478" w14:textId="77777777" w:rsidTr="009501B5">
        <w:trPr>
          <w:trHeight w:val="220"/>
        </w:trPr>
        <w:tc>
          <w:tcPr>
            <w:tcW w:w="6220" w:type="dxa"/>
            <w:gridSpan w:val="5"/>
            <w:tcBorders>
              <w:top w:val="nil"/>
              <w:left w:val="nil"/>
              <w:bottom w:val="nil"/>
              <w:right w:val="nil"/>
            </w:tcBorders>
            <w:vAlign w:val="bottom"/>
          </w:tcPr>
          <w:p w14:paraId="559DD8D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Null Hypothesis: CTP has a unit root</w:t>
            </w:r>
          </w:p>
        </w:tc>
      </w:tr>
      <w:tr w:rsidR="00EA38DE" w:rsidRPr="00EA38DE" w14:paraId="21A6936F" w14:textId="77777777" w:rsidTr="009501B5">
        <w:trPr>
          <w:trHeight w:val="220"/>
        </w:trPr>
        <w:tc>
          <w:tcPr>
            <w:tcW w:w="4120" w:type="dxa"/>
            <w:gridSpan w:val="3"/>
            <w:tcBorders>
              <w:top w:val="nil"/>
              <w:left w:val="nil"/>
              <w:bottom w:val="nil"/>
              <w:right w:val="nil"/>
            </w:tcBorders>
            <w:vAlign w:val="bottom"/>
          </w:tcPr>
          <w:p w14:paraId="794AD3C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46ACB2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A50324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1D7AFC" w14:textId="77777777" w:rsidTr="009501B5">
        <w:trPr>
          <w:trHeight w:val="220"/>
        </w:trPr>
        <w:tc>
          <w:tcPr>
            <w:tcW w:w="6220" w:type="dxa"/>
            <w:gridSpan w:val="5"/>
            <w:tcBorders>
              <w:top w:val="nil"/>
              <w:left w:val="nil"/>
              <w:bottom w:val="nil"/>
              <w:right w:val="nil"/>
            </w:tcBorders>
            <w:vAlign w:val="bottom"/>
          </w:tcPr>
          <w:p w14:paraId="0E72CC8A"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Lag Length: 0 (Automatic - based on SIC, maxlag=8)</w:t>
            </w:r>
          </w:p>
        </w:tc>
      </w:tr>
      <w:tr w:rsidR="00EA38DE" w:rsidRPr="00EA38DE" w14:paraId="3FF8C713" w14:textId="77777777" w:rsidTr="009501B5">
        <w:trPr>
          <w:trHeight w:hRule="exact" w:val="88"/>
        </w:trPr>
        <w:tc>
          <w:tcPr>
            <w:tcW w:w="1920" w:type="dxa"/>
            <w:tcBorders>
              <w:top w:val="nil"/>
              <w:left w:val="nil"/>
              <w:bottom w:val="double" w:sz="6" w:space="2" w:color="auto"/>
              <w:right w:val="nil"/>
            </w:tcBorders>
            <w:vAlign w:val="bottom"/>
          </w:tcPr>
          <w:p w14:paraId="3703FF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F7BDE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E0798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4742D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7F4A8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21F3733" w14:textId="77777777" w:rsidTr="009501B5">
        <w:trPr>
          <w:trHeight w:hRule="exact" w:val="132"/>
        </w:trPr>
        <w:tc>
          <w:tcPr>
            <w:tcW w:w="1920" w:type="dxa"/>
            <w:tcBorders>
              <w:top w:val="nil"/>
              <w:left w:val="nil"/>
              <w:bottom w:val="nil"/>
              <w:right w:val="nil"/>
            </w:tcBorders>
            <w:vAlign w:val="bottom"/>
          </w:tcPr>
          <w:p w14:paraId="45F9FA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21AF8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FC0553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091B8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163F0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833EB7D" w14:textId="77777777" w:rsidTr="009501B5">
        <w:trPr>
          <w:trHeight w:val="220"/>
        </w:trPr>
        <w:tc>
          <w:tcPr>
            <w:tcW w:w="1920" w:type="dxa"/>
            <w:tcBorders>
              <w:top w:val="nil"/>
              <w:left w:val="nil"/>
              <w:bottom w:val="nil"/>
              <w:right w:val="nil"/>
            </w:tcBorders>
            <w:vAlign w:val="bottom"/>
          </w:tcPr>
          <w:p w14:paraId="72957D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C0495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6E13B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9AE36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7B64E1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Prob.*</w:t>
            </w:r>
          </w:p>
        </w:tc>
      </w:tr>
      <w:tr w:rsidR="00EA38DE" w:rsidRPr="00EA38DE" w14:paraId="11D94CC9" w14:textId="77777777" w:rsidTr="009501B5">
        <w:trPr>
          <w:trHeight w:hRule="exact" w:val="88"/>
        </w:trPr>
        <w:tc>
          <w:tcPr>
            <w:tcW w:w="1920" w:type="dxa"/>
            <w:tcBorders>
              <w:top w:val="nil"/>
              <w:left w:val="nil"/>
              <w:bottom w:val="double" w:sz="6" w:space="2" w:color="auto"/>
              <w:right w:val="nil"/>
            </w:tcBorders>
            <w:vAlign w:val="bottom"/>
          </w:tcPr>
          <w:p w14:paraId="2ADE1B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25D808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BDA25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AE1CB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348FB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3951917" w14:textId="77777777" w:rsidTr="009501B5">
        <w:trPr>
          <w:trHeight w:hRule="exact" w:val="132"/>
        </w:trPr>
        <w:tc>
          <w:tcPr>
            <w:tcW w:w="1920" w:type="dxa"/>
            <w:tcBorders>
              <w:top w:val="nil"/>
              <w:left w:val="nil"/>
              <w:bottom w:val="nil"/>
              <w:right w:val="nil"/>
            </w:tcBorders>
            <w:vAlign w:val="bottom"/>
          </w:tcPr>
          <w:p w14:paraId="586387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D52E4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01939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2AF3F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8327A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081E46D" w14:textId="77777777" w:rsidTr="009501B5">
        <w:trPr>
          <w:trHeight w:val="220"/>
        </w:trPr>
        <w:tc>
          <w:tcPr>
            <w:tcW w:w="4120" w:type="dxa"/>
            <w:gridSpan w:val="3"/>
            <w:tcBorders>
              <w:top w:val="nil"/>
              <w:left w:val="nil"/>
              <w:bottom w:val="single" w:sz="6" w:space="0" w:color="auto"/>
              <w:right w:val="nil"/>
            </w:tcBorders>
            <w:vAlign w:val="bottom"/>
          </w:tcPr>
          <w:p w14:paraId="39F0705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Augmented Dickey-Fuller test statistic</w:t>
            </w:r>
          </w:p>
        </w:tc>
        <w:tc>
          <w:tcPr>
            <w:tcW w:w="1150" w:type="dxa"/>
            <w:tcBorders>
              <w:top w:val="nil"/>
              <w:left w:val="nil"/>
              <w:bottom w:val="single" w:sz="6" w:space="0" w:color="auto"/>
              <w:right w:val="nil"/>
            </w:tcBorders>
            <w:vAlign w:val="bottom"/>
          </w:tcPr>
          <w:p w14:paraId="581232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-1.649388</w:t>
            </w:r>
          </w:p>
        </w:tc>
        <w:tc>
          <w:tcPr>
            <w:tcW w:w="950" w:type="dxa"/>
            <w:tcBorders>
              <w:top w:val="nil"/>
              <w:left w:val="nil"/>
              <w:bottom w:val="single" w:sz="6" w:space="0" w:color="auto"/>
              <w:right w:val="nil"/>
            </w:tcBorders>
            <w:vAlign w:val="bottom"/>
          </w:tcPr>
          <w:p w14:paraId="4D3334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0.4471</w:t>
            </w:r>
          </w:p>
        </w:tc>
      </w:tr>
      <w:tr w:rsidR="00EA38DE" w:rsidRPr="00EA38DE" w14:paraId="4AA5B7EC" w14:textId="77777777" w:rsidTr="009501B5">
        <w:trPr>
          <w:trHeight w:val="220"/>
        </w:trPr>
        <w:tc>
          <w:tcPr>
            <w:tcW w:w="1920" w:type="dxa"/>
            <w:tcBorders>
              <w:top w:val="nil"/>
              <w:left w:val="nil"/>
              <w:bottom w:val="nil"/>
              <w:right w:val="nil"/>
            </w:tcBorders>
            <w:vAlign w:val="bottom"/>
          </w:tcPr>
          <w:p w14:paraId="5225074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critical values:</w:t>
            </w:r>
          </w:p>
        </w:tc>
        <w:tc>
          <w:tcPr>
            <w:tcW w:w="1050" w:type="dxa"/>
            <w:tcBorders>
              <w:top w:val="nil"/>
              <w:left w:val="nil"/>
              <w:bottom w:val="nil"/>
              <w:right w:val="nil"/>
            </w:tcBorders>
            <w:vAlign w:val="bottom"/>
          </w:tcPr>
          <w:p w14:paraId="71944A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610508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919C7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-3.639407</w:t>
            </w:r>
          </w:p>
        </w:tc>
        <w:tc>
          <w:tcPr>
            <w:tcW w:w="950" w:type="dxa"/>
            <w:tcBorders>
              <w:top w:val="nil"/>
              <w:left w:val="nil"/>
              <w:bottom w:val="nil"/>
              <w:right w:val="nil"/>
            </w:tcBorders>
            <w:vAlign w:val="bottom"/>
          </w:tcPr>
          <w:p w14:paraId="0CF914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1E57597" w14:textId="77777777" w:rsidTr="009501B5">
        <w:trPr>
          <w:trHeight w:val="220"/>
        </w:trPr>
        <w:tc>
          <w:tcPr>
            <w:tcW w:w="1920" w:type="dxa"/>
            <w:tcBorders>
              <w:top w:val="nil"/>
              <w:left w:val="nil"/>
              <w:bottom w:val="nil"/>
              <w:right w:val="nil"/>
            </w:tcBorders>
            <w:vAlign w:val="bottom"/>
          </w:tcPr>
          <w:p w14:paraId="528DA6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F2878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6EAA35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2D53E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-2.951125</w:t>
            </w:r>
          </w:p>
        </w:tc>
        <w:tc>
          <w:tcPr>
            <w:tcW w:w="950" w:type="dxa"/>
            <w:tcBorders>
              <w:top w:val="nil"/>
              <w:left w:val="nil"/>
              <w:bottom w:val="nil"/>
              <w:right w:val="nil"/>
            </w:tcBorders>
            <w:vAlign w:val="bottom"/>
          </w:tcPr>
          <w:p w14:paraId="19CFBF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0679CB0" w14:textId="77777777" w:rsidTr="009501B5">
        <w:trPr>
          <w:trHeight w:val="220"/>
        </w:trPr>
        <w:tc>
          <w:tcPr>
            <w:tcW w:w="1920" w:type="dxa"/>
            <w:tcBorders>
              <w:top w:val="nil"/>
              <w:left w:val="nil"/>
              <w:bottom w:val="nil"/>
              <w:right w:val="nil"/>
            </w:tcBorders>
            <w:vAlign w:val="bottom"/>
          </w:tcPr>
          <w:p w14:paraId="6ADCF8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A3DB2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6BF60A2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8F06D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-2.614300</w:t>
            </w:r>
          </w:p>
        </w:tc>
        <w:tc>
          <w:tcPr>
            <w:tcW w:w="950" w:type="dxa"/>
            <w:tcBorders>
              <w:top w:val="nil"/>
              <w:left w:val="nil"/>
              <w:bottom w:val="nil"/>
              <w:right w:val="nil"/>
            </w:tcBorders>
            <w:vAlign w:val="bottom"/>
          </w:tcPr>
          <w:p w14:paraId="1AAD963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15A882F" w14:textId="77777777" w:rsidTr="009501B5">
        <w:trPr>
          <w:trHeight w:hRule="exact" w:val="88"/>
        </w:trPr>
        <w:tc>
          <w:tcPr>
            <w:tcW w:w="1920" w:type="dxa"/>
            <w:tcBorders>
              <w:top w:val="nil"/>
              <w:left w:val="nil"/>
              <w:bottom w:val="double" w:sz="6" w:space="0" w:color="auto"/>
              <w:right w:val="nil"/>
            </w:tcBorders>
            <w:vAlign w:val="bottom"/>
          </w:tcPr>
          <w:p w14:paraId="71F2B8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07AEE2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B2C86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630D7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2ABDE08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113EA62" w14:textId="77777777" w:rsidTr="009501B5">
        <w:trPr>
          <w:trHeight w:hRule="exact" w:val="132"/>
        </w:trPr>
        <w:tc>
          <w:tcPr>
            <w:tcW w:w="1920" w:type="dxa"/>
            <w:tcBorders>
              <w:top w:val="nil"/>
              <w:left w:val="nil"/>
              <w:bottom w:val="nil"/>
              <w:right w:val="nil"/>
            </w:tcBorders>
            <w:vAlign w:val="bottom"/>
          </w:tcPr>
          <w:p w14:paraId="19274C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3A77F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BDB63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A840A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69584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1684B4B" w14:textId="77777777" w:rsidTr="009501B5">
        <w:trPr>
          <w:trHeight w:val="220"/>
        </w:trPr>
        <w:tc>
          <w:tcPr>
            <w:tcW w:w="6220" w:type="dxa"/>
            <w:gridSpan w:val="5"/>
            <w:tcBorders>
              <w:top w:val="nil"/>
              <w:left w:val="nil"/>
              <w:bottom w:val="nil"/>
              <w:right w:val="nil"/>
            </w:tcBorders>
            <w:vAlign w:val="bottom"/>
          </w:tcPr>
          <w:p w14:paraId="2413A9D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*MacKinnon (1996) one-sided p-values.</w:t>
            </w:r>
          </w:p>
        </w:tc>
      </w:tr>
    </w:tbl>
    <w:p w14:paraId="391D4514" w14:textId="77777777" w:rsidR="003C6B00" w:rsidRPr="00EA38DE" w:rsidRDefault="003C6B00" w:rsidP="003C6B00">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36657CF8" w14:textId="77777777" w:rsidTr="009501B5">
        <w:trPr>
          <w:trHeight w:val="220"/>
        </w:trPr>
        <w:tc>
          <w:tcPr>
            <w:tcW w:w="6220" w:type="dxa"/>
            <w:gridSpan w:val="5"/>
            <w:tcBorders>
              <w:top w:val="nil"/>
              <w:left w:val="nil"/>
              <w:bottom w:val="nil"/>
              <w:right w:val="nil"/>
            </w:tcBorders>
            <w:vAlign w:val="bottom"/>
          </w:tcPr>
          <w:p w14:paraId="32EFD90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Null Hypothesis: D(CTP) has a unit root</w:t>
            </w:r>
          </w:p>
        </w:tc>
      </w:tr>
      <w:tr w:rsidR="00EA38DE" w:rsidRPr="00EA38DE" w14:paraId="33A9ED55" w14:textId="77777777" w:rsidTr="009501B5">
        <w:trPr>
          <w:trHeight w:val="220"/>
        </w:trPr>
        <w:tc>
          <w:tcPr>
            <w:tcW w:w="4120" w:type="dxa"/>
            <w:gridSpan w:val="3"/>
            <w:tcBorders>
              <w:top w:val="nil"/>
              <w:left w:val="nil"/>
              <w:bottom w:val="nil"/>
              <w:right w:val="nil"/>
            </w:tcBorders>
            <w:vAlign w:val="bottom"/>
          </w:tcPr>
          <w:p w14:paraId="6E77FC0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0C0B77E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F037B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766B428" w14:textId="77777777" w:rsidTr="009501B5">
        <w:trPr>
          <w:trHeight w:val="220"/>
        </w:trPr>
        <w:tc>
          <w:tcPr>
            <w:tcW w:w="6220" w:type="dxa"/>
            <w:gridSpan w:val="5"/>
            <w:tcBorders>
              <w:top w:val="nil"/>
              <w:left w:val="nil"/>
              <w:bottom w:val="nil"/>
              <w:right w:val="nil"/>
            </w:tcBorders>
            <w:vAlign w:val="bottom"/>
          </w:tcPr>
          <w:p w14:paraId="1902B1A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Lag Length: 0 (Automatic - based on SIC, maxlag=8)</w:t>
            </w:r>
          </w:p>
        </w:tc>
      </w:tr>
      <w:tr w:rsidR="00EA38DE" w:rsidRPr="00EA38DE" w14:paraId="2EF9EF94" w14:textId="77777777" w:rsidTr="009501B5">
        <w:trPr>
          <w:trHeight w:hRule="exact" w:val="88"/>
        </w:trPr>
        <w:tc>
          <w:tcPr>
            <w:tcW w:w="1920" w:type="dxa"/>
            <w:tcBorders>
              <w:top w:val="nil"/>
              <w:left w:val="nil"/>
              <w:bottom w:val="double" w:sz="6" w:space="2" w:color="auto"/>
              <w:right w:val="nil"/>
            </w:tcBorders>
            <w:vAlign w:val="bottom"/>
          </w:tcPr>
          <w:p w14:paraId="5A1A1D8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6EA8F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F8EAB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F568D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68F35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E878B86" w14:textId="77777777" w:rsidTr="009501B5">
        <w:trPr>
          <w:trHeight w:hRule="exact" w:val="132"/>
        </w:trPr>
        <w:tc>
          <w:tcPr>
            <w:tcW w:w="1920" w:type="dxa"/>
            <w:tcBorders>
              <w:top w:val="nil"/>
              <w:left w:val="nil"/>
              <w:bottom w:val="nil"/>
              <w:right w:val="nil"/>
            </w:tcBorders>
            <w:vAlign w:val="bottom"/>
          </w:tcPr>
          <w:p w14:paraId="4568BD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E448F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74C5F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7FEFA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BDF3F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AC0B19A" w14:textId="77777777" w:rsidTr="009501B5">
        <w:trPr>
          <w:trHeight w:val="220"/>
        </w:trPr>
        <w:tc>
          <w:tcPr>
            <w:tcW w:w="1920" w:type="dxa"/>
            <w:tcBorders>
              <w:top w:val="nil"/>
              <w:left w:val="nil"/>
              <w:bottom w:val="nil"/>
              <w:right w:val="nil"/>
            </w:tcBorders>
            <w:vAlign w:val="bottom"/>
          </w:tcPr>
          <w:p w14:paraId="210055E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4ECE1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E9C6F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27797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00F53A0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Prob.*</w:t>
            </w:r>
          </w:p>
        </w:tc>
      </w:tr>
      <w:tr w:rsidR="00EA38DE" w:rsidRPr="00EA38DE" w14:paraId="1BCC1F18" w14:textId="77777777" w:rsidTr="009501B5">
        <w:trPr>
          <w:trHeight w:hRule="exact" w:val="88"/>
        </w:trPr>
        <w:tc>
          <w:tcPr>
            <w:tcW w:w="1920" w:type="dxa"/>
            <w:tcBorders>
              <w:top w:val="nil"/>
              <w:left w:val="nil"/>
              <w:bottom w:val="double" w:sz="6" w:space="2" w:color="auto"/>
              <w:right w:val="nil"/>
            </w:tcBorders>
            <w:vAlign w:val="bottom"/>
          </w:tcPr>
          <w:p w14:paraId="2D6A599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3FB79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15DE6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A7276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242ADF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77A2BE" w14:textId="77777777" w:rsidTr="009501B5">
        <w:trPr>
          <w:trHeight w:hRule="exact" w:val="132"/>
        </w:trPr>
        <w:tc>
          <w:tcPr>
            <w:tcW w:w="1920" w:type="dxa"/>
            <w:tcBorders>
              <w:top w:val="nil"/>
              <w:left w:val="nil"/>
              <w:bottom w:val="nil"/>
              <w:right w:val="nil"/>
            </w:tcBorders>
            <w:vAlign w:val="bottom"/>
          </w:tcPr>
          <w:p w14:paraId="00D1920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2DC7D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FD79C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DAE0A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8E071B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E8115C8" w14:textId="77777777" w:rsidTr="009501B5">
        <w:trPr>
          <w:trHeight w:val="220"/>
        </w:trPr>
        <w:tc>
          <w:tcPr>
            <w:tcW w:w="4120" w:type="dxa"/>
            <w:gridSpan w:val="3"/>
            <w:tcBorders>
              <w:top w:val="nil"/>
              <w:left w:val="nil"/>
              <w:bottom w:val="single" w:sz="6" w:space="0" w:color="auto"/>
              <w:right w:val="nil"/>
            </w:tcBorders>
            <w:vAlign w:val="bottom"/>
          </w:tcPr>
          <w:p w14:paraId="39AB396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Augmented Dickey-Fuller test statistic</w:t>
            </w:r>
          </w:p>
        </w:tc>
        <w:tc>
          <w:tcPr>
            <w:tcW w:w="1150" w:type="dxa"/>
            <w:tcBorders>
              <w:top w:val="nil"/>
              <w:left w:val="nil"/>
              <w:bottom w:val="single" w:sz="6" w:space="0" w:color="auto"/>
              <w:right w:val="nil"/>
            </w:tcBorders>
            <w:vAlign w:val="bottom"/>
          </w:tcPr>
          <w:p w14:paraId="78C4F6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-4.791706</w:t>
            </w:r>
          </w:p>
        </w:tc>
        <w:tc>
          <w:tcPr>
            <w:tcW w:w="950" w:type="dxa"/>
            <w:tcBorders>
              <w:top w:val="nil"/>
              <w:left w:val="nil"/>
              <w:bottom w:val="single" w:sz="6" w:space="0" w:color="auto"/>
              <w:right w:val="nil"/>
            </w:tcBorders>
            <w:vAlign w:val="bottom"/>
          </w:tcPr>
          <w:p w14:paraId="372C03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0.0005</w:t>
            </w:r>
          </w:p>
        </w:tc>
      </w:tr>
      <w:tr w:rsidR="00EA38DE" w:rsidRPr="00EA38DE" w14:paraId="25F7D7FB" w14:textId="77777777" w:rsidTr="009501B5">
        <w:trPr>
          <w:trHeight w:val="220"/>
        </w:trPr>
        <w:tc>
          <w:tcPr>
            <w:tcW w:w="1920" w:type="dxa"/>
            <w:tcBorders>
              <w:top w:val="nil"/>
              <w:left w:val="nil"/>
              <w:bottom w:val="nil"/>
              <w:right w:val="nil"/>
            </w:tcBorders>
            <w:vAlign w:val="bottom"/>
          </w:tcPr>
          <w:p w14:paraId="292D58B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critical values:</w:t>
            </w:r>
          </w:p>
        </w:tc>
        <w:tc>
          <w:tcPr>
            <w:tcW w:w="1050" w:type="dxa"/>
            <w:tcBorders>
              <w:top w:val="nil"/>
              <w:left w:val="nil"/>
              <w:bottom w:val="nil"/>
              <w:right w:val="nil"/>
            </w:tcBorders>
            <w:vAlign w:val="bottom"/>
          </w:tcPr>
          <w:p w14:paraId="4BB26E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175853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8CDCB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-3.646342</w:t>
            </w:r>
          </w:p>
        </w:tc>
        <w:tc>
          <w:tcPr>
            <w:tcW w:w="950" w:type="dxa"/>
            <w:tcBorders>
              <w:top w:val="nil"/>
              <w:left w:val="nil"/>
              <w:bottom w:val="nil"/>
              <w:right w:val="nil"/>
            </w:tcBorders>
            <w:vAlign w:val="bottom"/>
          </w:tcPr>
          <w:p w14:paraId="60FB5B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2B95B71" w14:textId="77777777" w:rsidTr="009501B5">
        <w:trPr>
          <w:trHeight w:val="220"/>
        </w:trPr>
        <w:tc>
          <w:tcPr>
            <w:tcW w:w="1920" w:type="dxa"/>
            <w:tcBorders>
              <w:top w:val="nil"/>
              <w:left w:val="nil"/>
              <w:bottom w:val="nil"/>
              <w:right w:val="nil"/>
            </w:tcBorders>
            <w:vAlign w:val="bottom"/>
          </w:tcPr>
          <w:p w14:paraId="302588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AF2B2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3BAE197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13FB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-2.954021</w:t>
            </w:r>
          </w:p>
        </w:tc>
        <w:tc>
          <w:tcPr>
            <w:tcW w:w="950" w:type="dxa"/>
            <w:tcBorders>
              <w:top w:val="nil"/>
              <w:left w:val="nil"/>
              <w:bottom w:val="nil"/>
              <w:right w:val="nil"/>
            </w:tcBorders>
            <w:vAlign w:val="bottom"/>
          </w:tcPr>
          <w:p w14:paraId="16B617B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32C3921" w14:textId="77777777" w:rsidTr="009501B5">
        <w:trPr>
          <w:trHeight w:val="220"/>
        </w:trPr>
        <w:tc>
          <w:tcPr>
            <w:tcW w:w="1920" w:type="dxa"/>
            <w:tcBorders>
              <w:top w:val="nil"/>
              <w:left w:val="nil"/>
              <w:bottom w:val="nil"/>
              <w:right w:val="nil"/>
            </w:tcBorders>
            <w:vAlign w:val="bottom"/>
          </w:tcPr>
          <w:p w14:paraId="7BF5D73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14E38A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50E0A9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5E4A11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-2.615817</w:t>
            </w:r>
          </w:p>
        </w:tc>
        <w:tc>
          <w:tcPr>
            <w:tcW w:w="950" w:type="dxa"/>
            <w:tcBorders>
              <w:top w:val="nil"/>
              <w:left w:val="nil"/>
              <w:bottom w:val="nil"/>
              <w:right w:val="nil"/>
            </w:tcBorders>
            <w:vAlign w:val="bottom"/>
          </w:tcPr>
          <w:p w14:paraId="3F0523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E6ACDD1" w14:textId="77777777" w:rsidTr="009501B5">
        <w:trPr>
          <w:trHeight w:hRule="exact" w:val="88"/>
        </w:trPr>
        <w:tc>
          <w:tcPr>
            <w:tcW w:w="1920" w:type="dxa"/>
            <w:tcBorders>
              <w:top w:val="nil"/>
              <w:left w:val="nil"/>
              <w:bottom w:val="double" w:sz="6" w:space="0" w:color="auto"/>
              <w:right w:val="nil"/>
            </w:tcBorders>
            <w:vAlign w:val="bottom"/>
          </w:tcPr>
          <w:p w14:paraId="1298737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7D936D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BE496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B799B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7357E7F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3240C39" w14:textId="77777777" w:rsidTr="009501B5">
        <w:trPr>
          <w:trHeight w:hRule="exact" w:val="132"/>
        </w:trPr>
        <w:tc>
          <w:tcPr>
            <w:tcW w:w="1920" w:type="dxa"/>
            <w:tcBorders>
              <w:top w:val="nil"/>
              <w:left w:val="nil"/>
              <w:bottom w:val="nil"/>
              <w:right w:val="nil"/>
            </w:tcBorders>
            <w:vAlign w:val="bottom"/>
          </w:tcPr>
          <w:p w14:paraId="326691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3F1A5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86F8E8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ABBFF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955FEF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28F5B828" w14:textId="77777777" w:rsidR="003C6B00" w:rsidRPr="00EA38DE" w:rsidRDefault="003C6B00" w:rsidP="003C6B00">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1395C30B" w14:textId="77777777" w:rsidTr="009501B5">
        <w:trPr>
          <w:trHeight w:val="220"/>
        </w:trPr>
        <w:tc>
          <w:tcPr>
            <w:tcW w:w="6220" w:type="dxa"/>
            <w:gridSpan w:val="5"/>
            <w:tcBorders>
              <w:top w:val="nil"/>
              <w:left w:val="nil"/>
              <w:bottom w:val="nil"/>
              <w:right w:val="nil"/>
            </w:tcBorders>
            <w:vAlign w:val="bottom"/>
          </w:tcPr>
          <w:p w14:paraId="75A69B0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Null Hypothesis: SHPC has a unit root</w:t>
            </w:r>
          </w:p>
        </w:tc>
      </w:tr>
      <w:tr w:rsidR="00EA38DE" w:rsidRPr="00EA38DE" w14:paraId="1B38D4D3" w14:textId="77777777" w:rsidTr="009501B5">
        <w:trPr>
          <w:trHeight w:val="220"/>
        </w:trPr>
        <w:tc>
          <w:tcPr>
            <w:tcW w:w="4120" w:type="dxa"/>
            <w:gridSpan w:val="3"/>
            <w:tcBorders>
              <w:top w:val="nil"/>
              <w:left w:val="nil"/>
              <w:bottom w:val="nil"/>
              <w:right w:val="nil"/>
            </w:tcBorders>
            <w:vAlign w:val="bottom"/>
          </w:tcPr>
          <w:p w14:paraId="736847B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02937B8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EF72A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2F20E31" w14:textId="77777777" w:rsidTr="009501B5">
        <w:trPr>
          <w:trHeight w:val="220"/>
        </w:trPr>
        <w:tc>
          <w:tcPr>
            <w:tcW w:w="6220" w:type="dxa"/>
            <w:gridSpan w:val="5"/>
            <w:tcBorders>
              <w:top w:val="nil"/>
              <w:left w:val="nil"/>
              <w:bottom w:val="nil"/>
              <w:right w:val="nil"/>
            </w:tcBorders>
            <w:vAlign w:val="bottom"/>
          </w:tcPr>
          <w:p w14:paraId="6E4973F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Lag Length: 0 (Automatic - based on SIC, maxlag=8)</w:t>
            </w:r>
          </w:p>
        </w:tc>
      </w:tr>
      <w:tr w:rsidR="00EA38DE" w:rsidRPr="00EA38DE" w14:paraId="08464ECF" w14:textId="77777777" w:rsidTr="009501B5">
        <w:trPr>
          <w:trHeight w:hRule="exact" w:val="88"/>
        </w:trPr>
        <w:tc>
          <w:tcPr>
            <w:tcW w:w="1920" w:type="dxa"/>
            <w:tcBorders>
              <w:top w:val="nil"/>
              <w:left w:val="nil"/>
              <w:bottom w:val="double" w:sz="6" w:space="2" w:color="auto"/>
              <w:right w:val="nil"/>
            </w:tcBorders>
            <w:vAlign w:val="bottom"/>
          </w:tcPr>
          <w:p w14:paraId="6B172A4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2BD62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689BB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CF0B2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8EEB2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4851470" w14:textId="77777777" w:rsidTr="009501B5">
        <w:trPr>
          <w:trHeight w:hRule="exact" w:val="132"/>
        </w:trPr>
        <w:tc>
          <w:tcPr>
            <w:tcW w:w="1920" w:type="dxa"/>
            <w:tcBorders>
              <w:top w:val="nil"/>
              <w:left w:val="nil"/>
              <w:bottom w:val="nil"/>
              <w:right w:val="nil"/>
            </w:tcBorders>
            <w:vAlign w:val="bottom"/>
          </w:tcPr>
          <w:p w14:paraId="0C4A09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F613D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075150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6B4AF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CB987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8A7F13F" w14:textId="77777777" w:rsidTr="009501B5">
        <w:trPr>
          <w:trHeight w:val="220"/>
        </w:trPr>
        <w:tc>
          <w:tcPr>
            <w:tcW w:w="1920" w:type="dxa"/>
            <w:tcBorders>
              <w:top w:val="nil"/>
              <w:left w:val="nil"/>
              <w:bottom w:val="nil"/>
              <w:right w:val="nil"/>
            </w:tcBorders>
            <w:vAlign w:val="bottom"/>
          </w:tcPr>
          <w:p w14:paraId="506DBC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CF082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1D4D2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CA6B3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52393B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Prob.*</w:t>
            </w:r>
          </w:p>
        </w:tc>
      </w:tr>
      <w:tr w:rsidR="00EA38DE" w:rsidRPr="00EA38DE" w14:paraId="7244BB30" w14:textId="77777777" w:rsidTr="009501B5">
        <w:trPr>
          <w:trHeight w:hRule="exact" w:val="88"/>
        </w:trPr>
        <w:tc>
          <w:tcPr>
            <w:tcW w:w="1920" w:type="dxa"/>
            <w:tcBorders>
              <w:top w:val="nil"/>
              <w:left w:val="nil"/>
              <w:bottom w:val="double" w:sz="6" w:space="2" w:color="auto"/>
              <w:right w:val="nil"/>
            </w:tcBorders>
            <w:vAlign w:val="bottom"/>
          </w:tcPr>
          <w:p w14:paraId="5DDEE5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B0955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180A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547AA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95D7B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FACFFB4" w14:textId="77777777" w:rsidTr="009501B5">
        <w:trPr>
          <w:trHeight w:hRule="exact" w:val="132"/>
        </w:trPr>
        <w:tc>
          <w:tcPr>
            <w:tcW w:w="1920" w:type="dxa"/>
            <w:tcBorders>
              <w:top w:val="nil"/>
              <w:left w:val="nil"/>
              <w:bottom w:val="nil"/>
              <w:right w:val="nil"/>
            </w:tcBorders>
            <w:vAlign w:val="bottom"/>
          </w:tcPr>
          <w:p w14:paraId="51CE1AD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AE9AF5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F927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E78B3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77C89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0C6F293" w14:textId="77777777" w:rsidTr="009501B5">
        <w:trPr>
          <w:trHeight w:val="220"/>
        </w:trPr>
        <w:tc>
          <w:tcPr>
            <w:tcW w:w="4120" w:type="dxa"/>
            <w:gridSpan w:val="3"/>
            <w:tcBorders>
              <w:top w:val="nil"/>
              <w:left w:val="nil"/>
              <w:bottom w:val="single" w:sz="6" w:space="0" w:color="auto"/>
              <w:right w:val="nil"/>
            </w:tcBorders>
            <w:vAlign w:val="bottom"/>
          </w:tcPr>
          <w:p w14:paraId="5ADA925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Augmented Dickey-Fuller test statistic</w:t>
            </w:r>
          </w:p>
        </w:tc>
        <w:tc>
          <w:tcPr>
            <w:tcW w:w="1150" w:type="dxa"/>
            <w:tcBorders>
              <w:top w:val="nil"/>
              <w:left w:val="nil"/>
              <w:bottom w:val="single" w:sz="6" w:space="0" w:color="auto"/>
              <w:right w:val="nil"/>
            </w:tcBorders>
            <w:vAlign w:val="bottom"/>
          </w:tcPr>
          <w:p w14:paraId="0E2C76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0.020309</w:t>
            </w:r>
          </w:p>
        </w:tc>
        <w:tc>
          <w:tcPr>
            <w:tcW w:w="950" w:type="dxa"/>
            <w:tcBorders>
              <w:top w:val="nil"/>
              <w:left w:val="nil"/>
              <w:bottom w:val="single" w:sz="6" w:space="0" w:color="auto"/>
              <w:right w:val="nil"/>
            </w:tcBorders>
            <w:vAlign w:val="bottom"/>
          </w:tcPr>
          <w:p w14:paraId="5AD4CCF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0.9541</w:t>
            </w:r>
          </w:p>
        </w:tc>
      </w:tr>
      <w:tr w:rsidR="00EA38DE" w:rsidRPr="00EA38DE" w14:paraId="5C78695C" w14:textId="77777777" w:rsidTr="009501B5">
        <w:trPr>
          <w:trHeight w:val="220"/>
        </w:trPr>
        <w:tc>
          <w:tcPr>
            <w:tcW w:w="1920" w:type="dxa"/>
            <w:tcBorders>
              <w:top w:val="nil"/>
              <w:left w:val="nil"/>
              <w:bottom w:val="nil"/>
              <w:right w:val="nil"/>
            </w:tcBorders>
            <w:vAlign w:val="bottom"/>
          </w:tcPr>
          <w:p w14:paraId="5B54ADA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critical values:</w:t>
            </w:r>
          </w:p>
        </w:tc>
        <w:tc>
          <w:tcPr>
            <w:tcW w:w="1050" w:type="dxa"/>
            <w:tcBorders>
              <w:top w:val="nil"/>
              <w:left w:val="nil"/>
              <w:bottom w:val="nil"/>
              <w:right w:val="nil"/>
            </w:tcBorders>
            <w:vAlign w:val="bottom"/>
          </w:tcPr>
          <w:p w14:paraId="5A966E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581183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2F7E3B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-3.639407</w:t>
            </w:r>
          </w:p>
        </w:tc>
        <w:tc>
          <w:tcPr>
            <w:tcW w:w="950" w:type="dxa"/>
            <w:tcBorders>
              <w:top w:val="nil"/>
              <w:left w:val="nil"/>
              <w:bottom w:val="nil"/>
              <w:right w:val="nil"/>
            </w:tcBorders>
            <w:vAlign w:val="bottom"/>
          </w:tcPr>
          <w:p w14:paraId="6AE7DF8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4C0F7E6" w14:textId="77777777" w:rsidTr="009501B5">
        <w:trPr>
          <w:trHeight w:val="220"/>
        </w:trPr>
        <w:tc>
          <w:tcPr>
            <w:tcW w:w="1920" w:type="dxa"/>
            <w:tcBorders>
              <w:top w:val="nil"/>
              <w:left w:val="nil"/>
              <w:bottom w:val="nil"/>
              <w:right w:val="nil"/>
            </w:tcBorders>
            <w:vAlign w:val="bottom"/>
          </w:tcPr>
          <w:p w14:paraId="126EC4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E700AB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6B58BE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68432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-2.951125</w:t>
            </w:r>
          </w:p>
        </w:tc>
        <w:tc>
          <w:tcPr>
            <w:tcW w:w="950" w:type="dxa"/>
            <w:tcBorders>
              <w:top w:val="nil"/>
              <w:left w:val="nil"/>
              <w:bottom w:val="nil"/>
              <w:right w:val="nil"/>
            </w:tcBorders>
            <w:vAlign w:val="bottom"/>
          </w:tcPr>
          <w:p w14:paraId="588D03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96B098A" w14:textId="77777777" w:rsidTr="009501B5">
        <w:trPr>
          <w:trHeight w:val="220"/>
        </w:trPr>
        <w:tc>
          <w:tcPr>
            <w:tcW w:w="1920" w:type="dxa"/>
            <w:tcBorders>
              <w:top w:val="nil"/>
              <w:left w:val="nil"/>
              <w:bottom w:val="nil"/>
              <w:right w:val="nil"/>
            </w:tcBorders>
            <w:vAlign w:val="bottom"/>
          </w:tcPr>
          <w:p w14:paraId="69F2FEC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A2427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481B91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4995CA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-2.614300</w:t>
            </w:r>
          </w:p>
        </w:tc>
        <w:tc>
          <w:tcPr>
            <w:tcW w:w="950" w:type="dxa"/>
            <w:tcBorders>
              <w:top w:val="nil"/>
              <w:left w:val="nil"/>
              <w:bottom w:val="nil"/>
              <w:right w:val="nil"/>
            </w:tcBorders>
            <w:vAlign w:val="bottom"/>
          </w:tcPr>
          <w:p w14:paraId="6A84F2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F757D34" w14:textId="77777777" w:rsidTr="009501B5">
        <w:trPr>
          <w:trHeight w:hRule="exact" w:val="88"/>
        </w:trPr>
        <w:tc>
          <w:tcPr>
            <w:tcW w:w="1920" w:type="dxa"/>
            <w:tcBorders>
              <w:top w:val="nil"/>
              <w:left w:val="nil"/>
              <w:bottom w:val="double" w:sz="6" w:space="0" w:color="auto"/>
              <w:right w:val="nil"/>
            </w:tcBorders>
            <w:vAlign w:val="bottom"/>
          </w:tcPr>
          <w:p w14:paraId="6A59B1F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0E0E6C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A6C68B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BFAFB7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368DF82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60ADB7F" w14:textId="77777777" w:rsidTr="009501B5">
        <w:trPr>
          <w:trHeight w:hRule="exact" w:val="132"/>
        </w:trPr>
        <w:tc>
          <w:tcPr>
            <w:tcW w:w="1920" w:type="dxa"/>
            <w:tcBorders>
              <w:top w:val="nil"/>
              <w:left w:val="nil"/>
              <w:bottom w:val="nil"/>
              <w:right w:val="nil"/>
            </w:tcBorders>
            <w:vAlign w:val="bottom"/>
          </w:tcPr>
          <w:p w14:paraId="595124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903A89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C677D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94D21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EF7DD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3993424C" w14:textId="77777777" w:rsidR="003C6B00" w:rsidRPr="00EA38DE" w:rsidRDefault="003C6B00" w:rsidP="003C6B00">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342B2148" w14:textId="77777777" w:rsidTr="009501B5">
        <w:trPr>
          <w:trHeight w:val="220"/>
        </w:trPr>
        <w:tc>
          <w:tcPr>
            <w:tcW w:w="6220" w:type="dxa"/>
            <w:gridSpan w:val="5"/>
            <w:tcBorders>
              <w:top w:val="nil"/>
              <w:left w:val="nil"/>
              <w:bottom w:val="nil"/>
              <w:right w:val="nil"/>
            </w:tcBorders>
            <w:vAlign w:val="bottom"/>
          </w:tcPr>
          <w:p w14:paraId="6163290F"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Null Hypothesis: D(SHPC) has a unit root</w:t>
            </w:r>
          </w:p>
        </w:tc>
      </w:tr>
      <w:tr w:rsidR="00EA38DE" w:rsidRPr="00EA38DE" w14:paraId="7966906E" w14:textId="77777777" w:rsidTr="009501B5">
        <w:trPr>
          <w:trHeight w:val="220"/>
        </w:trPr>
        <w:tc>
          <w:tcPr>
            <w:tcW w:w="4120" w:type="dxa"/>
            <w:gridSpan w:val="3"/>
            <w:tcBorders>
              <w:top w:val="nil"/>
              <w:left w:val="nil"/>
              <w:bottom w:val="nil"/>
              <w:right w:val="nil"/>
            </w:tcBorders>
            <w:vAlign w:val="bottom"/>
          </w:tcPr>
          <w:p w14:paraId="75A8922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5EFC01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4E251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DEE85AE" w14:textId="77777777" w:rsidTr="009501B5">
        <w:trPr>
          <w:trHeight w:val="220"/>
        </w:trPr>
        <w:tc>
          <w:tcPr>
            <w:tcW w:w="6220" w:type="dxa"/>
            <w:gridSpan w:val="5"/>
            <w:tcBorders>
              <w:top w:val="nil"/>
              <w:left w:val="nil"/>
              <w:bottom w:val="nil"/>
              <w:right w:val="nil"/>
            </w:tcBorders>
            <w:vAlign w:val="bottom"/>
          </w:tcPr>
          <w:p w14:paraId="6EBFC4D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Lag Length: 0 (Automatic - based on SIC, maxlag=8)</w:t>
            </w:r>
          </w:p>
        </w:tc>
      </w:tr>
      <w:tr w:rsidR="00EA38DE" w:rsidRPr="00EA38DE" w14:paraId="7627B372" w14:textId="77777777" w:rsidTr="009501B5">
        <w:trPr>
          <w:trHeight w:hRule="exact" w:val="88"/>
        </w:trPr>
        <w:tc>
          <w:tcPr>
            <w:tcW w:w="1920" w:type="dxa"/>
            <w:tcBorders>
              <w:top w:val="nil"/>
              <w:left w:val="nil"/>
              <w:bottom w:val="double" w:sz="6" w:space="2" w:color="auto"/>
              <w:right w:val="nil"/>
            </w:tcBorders>
            <w:vAlign w:val="bottom"/>
          </w:tcPr>
          <w:p w14:paraId="528B32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11D9E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84F2A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02E5AA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0D57A3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0318399" w14:textId="77777777" w:rsidTr="009501B5">
        <w:trPr>
          <w:trHeight w:hRule="exact" w:val="132"/>
        </w:trPr>
        <w:tc>
          <w:tcPr>
            <w:tcW w:w="1920" w:type="dxa"/>
            <w:tcBorders>
              <w:top w:val="nil"/>
              <w:left w:val="nil"/>
              <w:bottom w:val="nil"/>
              <w:right w:val="nil"/>
            </w:tcBorders>
            <w:vAlign w:val="bottom"/>
          </w:tcPr>
          <w:p w14:paraId="6C1C1E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DBBCC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8A2EF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DCAD6C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99E12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5EBB664" w14:textId="77777777" w:rsidTr="009501B5">
        <w:trPr>
          <w:trHeight w:val="220"/>
        </w:trPr>
        <w:tc>
          <w:tcPr>
            <w:tcW w:w="1920" w:type="dxa"/>
            <w:tcBorders>
              <w:top w:val="nil"/>
              <w:left w:val="nil"/>
              <w:bottom w:val="nil"/>
              <w:right w:val="nil"/>
            </w:tcBorders>
            <w:vAlign w:val="bottom"/>
          </w:tcPr>
          <w:p w14:paraId="569233B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1D6B0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442A5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BE6E0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t-Statistic</w:t>
            </w:r>
          </w:p>
        </w:tc>
        <w:tc>
          <w:tcPr>
            <w:tcW w:w="950" w:type="dxa"/>
            <w:tcBorders>
              <w:top w:val="nil"/>
              <w:left w:val="nil"/>
              <w:bottom w:val="nil"/>
              <w:right w:val="nil"/>
            </w:tcBorders>
            <w:vAlign w:val="bottom"/>
          </w:tcPr>
          <w:p w14:paraId="133150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Prob.*</w:t>
            </w:r>
          </w:p>
        </w:tc>
      </w:tr>
      <w:tr w:rsidR="00EA38DE" w:rsidRPr="00EA38DE" w14:paraId="7B21C233" w14:textId="77777777" w:rsidTr="009501B5">
        <w:trPr>
          <w:trHeight w:hRule="exact" w:val="88"/>
        </w:trPr>
        <w:tc>
          <w:tcPr>
            <w:tcW w:w="1920" w:type="dxa"/>
            <w:tcBorders>
              <w:top w:val="nil"/>
              <w:left w:val="nil"/>
              <w:bottom w:val="double" w:sz="6" w:space="2" w:color="auto"/>
              <w:right w:val="nil"/>
            </w:tcBorders>
            <w:vAlign w:val="bottom"/>
          </w:tcPr>
          <w:p w14:paraId="1EC108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6E74A3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BC3EDC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6861F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12845E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88D90D2" w14:textId="77777777" w:rsidTr="009501B5">
        <w:trPr>
          <w:trHeight w:hRule="exact" w:val="132"/>
        </w:trPr>
        <w:tc>
          <w:tcPr>
            <w:tcW w:w="1920" w:type="dxa"/>
            <w:tcBorders>
              <w:top w:val="nil"/>
              <w:left w:val="nil"/>
              <w:bottom w:val="nil"/>
              <w:right w:val="nil"/>
            </w:tcBorders>
            <w:vAlign w:val="bottom"/>
          </w:tcPr>
          <w:p w14:paraId="59241AC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592364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DD7903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1C526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35AAC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C81D462" w14:textId="77777777" w:rsidTr="009501B5">
        <w:trPr>
          <w:trHeight w:val="220"/>
        </w:trPr>
        <w:tc>
          <w:tcPr>
            <w:tcW w:w="4120" w:type="dxa"/>
            <w:gridSpan w:val="3"/>
            <w:tcBorders>
              <w:top w:val="nil"/>
              <w:left w:val="nil"/>
              <w:bottom w:val="single" w:sz="6" w:space="0" w:color="auto"/>
              <w:right w:val="nil"/>
            </w:tcBorders>
            <w:vAlign w:val="bottom"/>
          </w:tcPr>
          <w:p w14:paraId="49F9B62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Augmented Dickey-Fuller test statistic</w:t>
            </w:r>
          </w:p>
        </w:tc>
        <w:tc>
          <w:tcPr>
            <w:tcW w:w="1150" w:type="dxa"/>
            <w:tcBorders>
              <w:top w:val="nil"/>
              <w:left w:val="nil"/>
              <w:bottom w:val="single" w:sz="6" w:space="0" w:color="auto"/>
              <w:right w:val="nil"/>
            </w:tcBorders>
            <w:vAlign w:val="bottom"/>
          </w:tcPr>
          <w:p w14:paraId="0BCD1B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-3.429365</w:t>
            </w:r>
          </w:p>
        </w:tc>
        <w:tc>
          <w:tcPr>
            <w:tcW w:w="950" w:type="dxa"/>
            <w:tcBorders>
              <w:top w:val="nil"/>
              <w:left w:val="nil"/>
              <w:bottom w:val="single" w:sz="6" w:space="0" w:color="auto"/>
              <w:right w:val="nil"/>
            </w:tcBorders>
            <w:vAlign w:val="bottom"/>
          </w:tcPr>
          <w:p w14:paraId="5696A6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0.0170</w:t>
            </w:r>
          </w:p>
        </w:tc>
      </w:tr>
      <w:tr w:rsidR="00EA38DE" w:rsidRPr="00EA38DE" w14:paraId="61F10876" w14:textId="77777777" w:rsidTr="009501B5">
        <w:trPr>
          <w:trHeight w:val="220"/>
        </w:trPr>
        <w:tc>
          <w:tcPr>
            <w:tcW w:w="1920" w:type="dxa"/>
            <w:tcBorders>
              <w:top w:val="nil"/>
              <w:left w:val="nil"/>
              <w:bottom w:val="nil"/>
              <w:right w:val="nil"/>
            </w:tcBorders>
            <w:vAlign w:val="bottom"/>
          </w:tcPr>
          <w:p w14:paraId="4BBD922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Test critical values:</w:t>
            </w:r>
          </w:p>
        </w:tc>
        <w:tc>
          <w:tcPr>
            <w:tcW w:w="1050" w:type="dxa"/>
            <w:tcBorders>
              <w:top w:val="nil"/>
              <w:left w:val="nil"/>
              <w:bottom w:val="nil"/>
              <w:right w:val="nil"/>
            </w:tcBorders>
            <w:vAlign w:val="bottom"/>
          </w:tcPr>
          <w:p w14:paraId="429D11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1EBDD6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3D8D75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-3.646342</w:t>
            </w:r>
          </w:p>
        </w:tc>
        <w:tc>
          <w:tcPr>
            <w:tcW w:w="950" w:type="dxa"/>
            <w:tcBorders>
              <w:top w:val="nil"/>
              <w:left w:val="nil"/>
              <w:bottom w:val="nil"/>
              <w:right w:val="nil"/>
            </w:tcBorders>
            <w:vAlign w:val="bottom"/>
          </w:tcPr>
          <w:p w14:paraId="60CADF9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5545CE3" w14:textId="77777777" w:rsidTr="009501B5">
        <w:trPr>
          <w:trHeight w:val="220"/>
        </w:trPr>
        <w:tc>
          <w:tcPr>
            <w:tcW w:w="1920" w:type="dxa"/>
            <w:tcBorders>
              <w:top w:val="nil"/>
              <w:left w:val="nil"/>
              <w:bottom w:val="nil"/>
              <w:right w:val="nil"/>
            </w:tcBorders>
            <w:vAlign w:val="bottom"/>
          </w:tcPr>
          <w:p w14:paraId="76DE77D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FA7B5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6FDCF7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B167A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-2.954021</w:t>
            </w:r>
          </w:p>
        </w:tc>
        <w:tc>
          <w:tcPr>
            <w:tcW w:w="950" w:type="dxa"/>
            <w:tcBorders>
              <w:top w:val="nil"/>
              <w:left w:val="nil"/>
              <w:bottom w:val="nil"/>
              <w:right w:val="nil"/>
            </w:tcBorders>
            <w:vAlign w:val="bottom"/>
          </w:tcPr>
          <w:p w14:paraId="785D7B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7C3C536" w14:textId="77777777" w:rsidTr="009501B5">
        <w:trPr>
          <w:trHeight w:val="220"/>
        </w:trPr>
        <w:tc>
          <w:tcPr>
            <w:tcW w:w="1920" w:type="dxa"/>
            <w:tcBorders>
              <w:top w:val="nil"/>
              <w:left w:val="nil"/>
              <w:bottom w:val="nil"/>
              <w:right w:val="nil"/>
            </w:tcBorders>
            <w:vAlign w:val="bottom"/>
          </w:tcPr>
          <w:p w14:paraId="007C40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9B4759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5B1038F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8670F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-2.615817</w:t>
            </w:r>
          </w:p>
        </w:tc>
        <w:tc>
          <w:tcPr>
            <w:tcW w:w="950" w:type="dxa"/>
            <w:tcBorders>
              <w:top w:val="nil"/>
              <w:left w:val="nil"/>
              <w:bottom w:val="nil"/>
              <w:right w:val="nil"/>
            </w:tcBorders>
            <w:vAlign w:val="bottom"/>
          </w:tcPr>
          <w:p w14:paraId="44B7BC6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E5C9E8A" w14:textId="77777777" w:rsidTr="009501B5">
        <w:trPr>
          <w:trHeight w:hRule="exact" w:val="88"/>
        </w:trPr>
        <w:tc>
          <w:tcPr>
            <w:tcW w:w="1920" w:type="dxa"/>
            <w:tcBorders>
              <w:top w:val="nil"/>
              <w:left w:val="nil"/>
              <w:bottom w:val="double" w:sz="6" w:space="0" w:color="auto"/>
              <w:right w:val="nil"/>
            </w:tcBorders>
            <w:vAlign w:val="bottom"/>
          </w:tcPr>
          <w:p w14:paraId="0C7183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79DD31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5C937A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36923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738CDF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73CF091" w14:textId="77777777" w:rsidTr="009501B5">
        <w:trPr>
          <w:trHeight w:hRule="exact" w:val="132"/>
        </w:trPr>
        <w:tc>
          <w:tcPr>
            <w:tcW w:w="1920" w:type="dxa"/>
            <w:tcBorders>
              <w:top w:val="nil"/>
              <w:left w:val="nil"/>
              <w:bottom w:val="nil"/>
              <w:right w:val="nil"/>
            </w:tcBorders>
            <w:vAlign w:val="bottom"/>
          </w:tcPr>
          <w:p w14:paraId="423B18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02EB1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A5BDF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1AA66E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13B9E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1B15027" w14:textId="77777777" w:rsidTr="009501B5">
        <w:trPr>
          <w:trHeight w:val="220"/>
        </w:trPr>
        <w:tc>
          <w:tcPr>
            <w:tcW w:w="6220" w:type="dxa"/>
            <w:gridSpan w:val="5"/>
            <w:tcBorders>
              <w:top w:val="nil"/>
              <w:left w:val="nil"/>
              <w:bottom w:val="nil"/>
              <w:right w:val="nil"/>
            </w:tcBorders>
            <w:vAlign w:val="bottom"/>
          </w:tcPr>
          <w:p w14:paraId="67E5B08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*MacKinnon (1996) one-sided p-values.</w:t>
            </w:r>
          </w:p>
        </w:tc>
      </w:tr>
    </w:tbl>
    <w:p w14:paraId="3A5CDBB5" w14:textId="77777777" w:rsidR="003C6B00" w:rsidRPr="00EA38DE" w:rsidRDefault="003C6B00" w:rsidP="003C6B00">
      <w:r w:rsidRPr="00EA38DE">
        <w:rPr>
          <w:rFonts w:ascii="Arial" w:hAnsi="Arial" w:cs="Arial"/>
          <w:sz w:val="18"/>
          <w:szCs w:val="18"/>
        </w:rPr>
        <w:br/>
      </w:r>
    </w:p>
    <w:p w14:paraId="17658C31" w14:textId="77777777" w:rsidR="003C6B00" w:rsidRPr="00EA38DE" w:rsidRDefault="003C6B00" w:rsidP="003C6B00"/>
    <w:p w14:paraId="2DBFFAAF"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7176B04D" w14:textId="77777777" w:rsidTr="009501B5">
        <w:trPr>
          <w:trHeight w:val="220"/>
        </w:trPr>
        <w:tc>
          <w:tcPr>
            <w:tcW w:w="6220" w:type="dxa"/>
            <w:gridSpan w:val="5"/>
            <w:tcBorders>
              <w:top w:val="nil"/>
              <w:left w:val="nil"/>
              <w:bottom w:val="nil"/>
              <w:right w:val="nil"/>
            </w:tcBorders>
            <w:vAlign w:val="bottom"/>
          </w:tcPr>
          <w:p w14:paraId="3900DEF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Null Hypothesis: SHPC is stationary</w:t>
            </w:r>
          </w:p>
        </w:tc>
      </w:tr>
      <w:tr w:rsidR="00EA38DE" w:rsidRPr="00EA38DE" w14:paraId="3FA4FFF2" w14:textId="77777777" w:rsidTr="009501B5">
        <w:trPr>
          <w:trHeight w:val="220"/>
        </w:trPr>
        <w:tc>
          <w:tcPr>
            <w:tcW w:w="4120" w:type="dxa"/>
            <w:gridSpan w:val="3"/>
            <w:tcBorders>
              <w:top w:val="nil"/>
              <w:left w:val="nil"/>
              <w:bottom w:val="nil"/>
              <w:right w:val="nil"/>
            </w:tcBorders>
            <w:vAlign w:val="bottom"/>
          </w:tcPr>
          <w:p w14:paraId="71565C8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192795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E97C6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F77C549" w14:textId="77777777" w:rsidTr="009501B5">
        <w:trPr>
          <w:trHeight w:val="220"/>
        </w:trPr>
        <w:tc>
          <w:tcPr>
            <w:tcW w:w="6220" w:type="dxa"/>
            <w:gridSpan w:val="5"/>
            <w:tcBorders>
              <w:top w:val="nil"/>
              <w:left w:val="nil"/>
              <w:bottom w:val="nil"/>
              <w:right w:val="nil"/>
            </w:tcBorders>
            <w:vAlign w:val="bottom"/>
          </w:tcPr>
          <w:p w14:paraId="37FBBC6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Bandwidth: 4 (Newey-West automatic) using Bartlett kernel</w:t>
            </w:r>
          </w:p>
        </w:tc>
      </w:tr>
      <w:tr w:rsidR="00EA38DE" w:rsidRPr="00EA38DE" w14:paraId="6A055EB2" w14:textId="77777777" w:rsidTr="009501B5">
        <w:trPr>
          <w:trHeight w:hRule="exact" w:val="88"/>
        </w:trPr>
        <w:tc>
          <w:tcPr>
            <w:tcW w:w="1920" w:type="dxa"/>
            <w:tcBorders>
              <w:top w:val="nil"/>
              <w:left w:val="nil"/>
              <w:bottom w:val="double" w:sz="6" w:space="2" w:color="auto"/>
              <w:right w:val="nil"/>
            </w:tcBorders>
            <w:vAlign w:val="bottom"/>
          </w:tcPr>
          <w:p w14:paraId="40D863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8779B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F9987D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FFDFB1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D97222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6B9AF42" w14:textId="77777777" w:rsidTr="009501B5">
        <w:trPr>
          <w:trHeight w:hRule="exact" w:val="132"/>
        </w:trPr>
        <w:tc>
          <w:tcPr>
            <w:tcW w:w="1920" w:type="dxa"/>
            <w:tcBorders>
              <w:top w:val="nil"/>
              <w:left w:val="nil"/>
              <w:bottom w:val="nil"/>
              <w:right w:val="nil"/>
            </w:tcBorders>
            <w:vAlign w:val="bottom"/>
          </w:tcPr>
          <w:p w14:paraId="6B0EC5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0BCB7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2D262A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C1F05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D30084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72929C9" w14:textId="77777777" w:rsidTr="009501B5">
        <w:trPr>
          <w:trHeight w:val="220"/>
        </w:trPr>
        <w:tc>
          <w:tcPr>
            <w:tcW w:w="1920" w:type="dxa"/>
            <w:tcBorders>
              <w:top w:val="nil"/>
              <w:left w:val="nil"/>
              <w:bottom w:val="nil"/>
              <w:right w:val="nil"/>
            </w:tcBorders>
            <w:vAlign w:val="bottom"/>
          </w:tcPr>
          <w:p w14:paraId="0C8544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F9D09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671A41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0B216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B06990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LM-Stat.</w:t>
            </w:r>
          </w:p>
        </w:tc>
      </w:tr>
      <w:tr w:rsidR="00EA38DE" w:rsidRPr="00EA38DE" w14:paraId="46E2494C" w14:textId="77777777" w:rsidTr="009501B5">
        <w:trPr>
          <w:trHeight w:hRule="exact" w:val="88"/>
        </w:trPr>
        <w:tc>
          <w:tcPr>
            <w:tcW w:w="1920" w:type="dxa"/>
            <w:tcBorders>
              <w:top w:val="nil"/>
              <w:left w:val="nil"/>
              <w:bottom w:val="double" w:sz="6" w:space="2" w:color="auto"/>
              <w:right w:val="nil"/>
            </w:tcBorders>
            <w:vAlign w:val="bottom"/>
          </w:tcPr>
          <w:p w14:paraId="6134E8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5CB20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1C9B50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D7E3D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F19411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8C0F4CB" w14:textId="77777777" w:rsidTr="009501B5">
        <w:trPr>
          <w:trHeight w:hRule="exact" w:val="132"/>
        </w:trPr>
        <w:tc>
          <w:tcPr>
            <w:tcW w:w="1920" w:type="dxa"/>
            <w:tcBorders>
              <w:top w:val="nil"/>
              <w:left w:val="nil"/>
              <w:bottom w:val="nil"/>
              <w:right w:val="nil"/>
            </w:tcBorders>
            <w:vAlign w:val="bottom"/>
          </w:tcPr>
          <w:p w14:paraId="7222C8D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B7EDC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CDC48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9E760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C7F3F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62C73EC" w14:textId="77777777" w:rsidTr="009501B5">
        <w:trPr>
          <w:trHeight w:val="220"/>
        </w:trPr>
        <w:tc>
          <w:tcPr>
            <w:tcW w:w="5270" w:type="dxa"/>
            <w:gridSpan w:val="4"/>
            <w:tcBorders>
              <w:top w:val="nil"/>
              <w:left w:val="nil"/>
              <w:bottom w:val="single" w:sz="6" w:space="0" w:color="auto"/>
              <w:right w:val="nil"/>
            </w:tcBorders>
            <w:vAlign w:val="bottom"/>
          </w:tcPr>
          <w:p w14:paraId="1D7BF9D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Kwiatkowski-Phillips-Schmidt-Shin test statistic</w:t>
            </w:r>
          </w:p>
        </w:tc>
        <w:tc>
          <w:tcPr>
            <w:tcW w:w="950" w:type="dxa"/>
            <w:tcBorders>
              <w:top w:val="nil"/>
              <w:left w:val="nil"/>
              <w:bottom w:val="single" w:sz="6" w:space="0" w:color="auto"/>
              <w:right w:val="nil"/>
            </w:tcBorders>
            <w:vAlign w:val="bottom"/>
          </w:tcPr>
          <w:p w14:paraId="382CB5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0.205179</w:t>
            </w:r>
          </w:p>
        </w:tc>
      </w:tr>
      <w:tr w:rsidR="00EA38DE" w:rsidRPr="00EA38DE" w14:paraId="73793505" w14:textId="77777777" w:rsidTr="009501B5">
        <w:trPr>
          <w:trHeight w:val="220"/>
        </w:trPr>
        <w:tc>
          <w:tcPr>
            <w:tcW w:w="2970" w:type="dxa"/>
            <w:gridSpan w:val="2"/>
            <w:tcBorders>
              <w:top w:val="nil"/>
              <w:left w:val="nil"/>
              <w:bottom w:val="nil"/>
              <w:right w:val="nil"/>
            </w:tcBorders>
            <w:vAlign w:val="bottom"/>
          </w:tcPr>
          <w:p w14:paraId="1267F78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Asymptotic critical values*:</w:t>
            </w:r>
          </w:p>
        </w:tc>
        <w:tc>
          <w:tcPr>
            <w:tcW w:w="1150" w:type="dxa"/>
            <w:tcBorders>
              <w:top w:val="nil"/>
              <w:left w:val="nil"/>
              <w:bottom w:val="nil"/>
              <w:right w:val="nil"/>
            </w:tcBorders>
            <w:vAlign w:val="bottom"/>
          </w:tcPr>
          <w:p w14:paraId="398FEB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614013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23B996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0.739000</w:t>
            </w:r>
          </w:p>
        </w:tc>
      </w:tr>
      <w:tr w:rsidR="00EA38DE" w:rsidRPr="00EA38DE" w14:paraId="4664A9D4" w14:textId="77777777" w:rsidTr="009501B5">
        <w:trPr>
          <w:trHeight w:val="220"/>
        </w:trPr>
        <w:tc>
          <w:tcPr>
            <w:tcW w:w="1920" w:type="dxa"/>
            <w:tcBorders>
              <w:top w:val="nil"/>
              <w:left w:val="nil"/>
              <w:bottom w:val="nil"/>
              <w:right w:val="nil"/>
            </w:tcBorders>
            <w:vAlign w:val="bottom"/>
          </w:tcPr>
          <w:p w14:paraId="0BF405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B95A6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70F377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0DCF3F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2D5FD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0.463000</w:t>
            </w:r>
          </w:p>
        </w:tc>
      </w:tr>
      <w:tr w:rsidR="00EA38DE" w:rsidRPr="00EA38DE" w14:paraId="618ED804" w14:textId="77777777" w:rsidTr="009501B5">
        <w:trPr>
          <w:trHeight w:val="220"/>
        </w:trPr>
        <w:tc>
          <w:tcPr>
            <w:tcW w:w="1920" w:type="dxa"/>
            <w:tcBorders>
              <w:top w:val="nil"/>
              <w:left w:val="nil"/>
              <w:bottom w:val="nil"/>
              <w:right w:val="nil"/>
            </w:tcBorders>
            <w:vAlign w:val="bottom"/>
          </w:tcPr>
          <w:p w14:paraId="1ED3FED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5E422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C1B8C2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27DC69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DC033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0.347000</w:t>
            </w:r>
          </w:p>
        </w:tc>
      </w:tr>
      <w:tr w:rsidR="00EA38DE" w:rsidRPr="00EA38DE" w14:paraId="1273EAC0" w14:textId="77777777" w:rsidTr="009501B5">
        <w:trPr>
          <w:trHeight w:hRule="exact" w:val="88"/>
        </w:trPr>
        <w:tc>
          <w:tcPr>
            <w:tcW w:w="1920" w:type="dxa"/>
            <w:tcBorders>
              <w:top w:val="nil"/>
              <w:left w:val="nil"/>
              <w:bottom w:val="double" w:sz="6" w:space="0" w:color="auto"/>
              <w:right w:val="nil"/>
            </w:tcBorders>
            <w:vAlign w:val="bottom"/>
          </w:tcPr>
          <w:p w14:paraId="40020E4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29EAD18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074D4B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0D10BAC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55D9754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9D9CD5B" w14:textId="77777777" w:rsidTr="009501B5">
        <w:trPr>
          <w:trHeight w:hRule="exact" w:val="132"/>
        </w:trPr>
        <w:tc>
          <w:tcPr>
            <w:tcW w:w="1920" w:type="dxa"/>
            <w:tcBorders>
              <w:top w:val="nil"/>
              <w:left w:val="nil"/>
              <w:bottom w:val="nil"/>
              <w:right w:val="nil"/>
            </w:tcBorders>
            <w:vAlign w:val="bottom"/>
          </w:tcPr>
          <w:p w14:paraId="04017AB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7CD12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1513A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431C2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3F85B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23A7EFD5" w14:textId="77777777" w:rsidR="003C6B00" w:rsidRPr="00EA38DE" w:rsidRDefault="003C6B00" w:rsidP="003C6B00">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6591EB50" w14:textId="77777777" w:rsidTr="009501B5">
        <w:trPr>
          <w:trHeight w:val="220"/>
        </w:trPr>
        <w:tc>
          <w:tcPr>
            <w:tcW w:w="6220" w:type="dxa"/>
            <w:gridSpan w:val="5"/>
            <w:tcBorders>
              <w:top w:val="nil"/>
              <w:left w:val="nil"/>
              <w:bottom w:val="nil"/>
              <w:right w:val="nil"/>
            </w:tcBorders>
            <w:vAlign w:val="bottom"/>
          </w:tcPr>
          <w:p w14:paraId="7CA874B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Null Hypothesis: D(SHPC) is stationary</w:t>
            </w:r>
          </w:p>
        </w:tc>
      </w:tr>
      <w:tr w:rsidR="00EA38DE" w:rsidRPr="00EA38DE" w14:paraId="35F21F45" w14:textId="77777777" w:rsidTr="009501B5">
        <w:trPr>
          <w:trHeight w:val="220"/>
        </w:trPr>
        <w:tc>
          <w:tcPr>
            <w:tcW w:w="4120" w:type="dxa"/>
            <w:gridSpan w:val="3"/>
            <w:tcBorders>
              <w:top w:val="nil"/>
              <w:left w:val="nil"/>
              <w:bottom w:val="nil"/>
              <w:right w:val="nil"/>
            </w:tcBorders>
            <w:vAlign w:val="bottom"/>
          </w:tcPr>
          <w:p w14:paraId="29FD58AB"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773F749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86857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1FE2E57" w14:textId="77777777" w:rsidTr="009501B5">
        <w:trPr>
          <w:trHeight w:val="220"/>
        </w:trPr>
        <w:tc>
          <w:tcPr>
            <w:tcW w:w="6220" w:type="dxa"/>
            <w:gridSpan w:val="5"/>
            <w:tcBorders>
              <w:top w:val="nil"/>
              <w:left w:val="nil"/>
              <w:bottom w:val="nil"/>
              <w:right w:val="nil"/>
            </w:tcBorders>
            <w:vAlign w:val="bottom"/>
          </w:tcPr>
          <w:p w14:paraId="24A67C6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Bandwidth: 4 (Newey-West automatic) using Bartlett kernel</w:t>
            </w:r>
          </w:p>
        </w:tc>
      </w:tr>
      <w:tr w:rsidR="00EA38DE" w:rsidRPr="00EA38DE" w14:paraId="77479BBF" w14:textId="77777777" w:rsidTr="009501B5">
        <w:trPr>
          <w:trHeight w:hRule="exact" w:val="88"/>
        </w:trPr>
        <w:tc>
          <w:tcPr>
            <w:tcW w:w="1920" w:type="dxa"/>
            <w:tcBorders>
              <w:top w:val="nil"/>
              <w:left w:val="nil"/>
              <w:bottom w:val="double" w:sz="6" w:space="2" w:color="auto"/>
              <w:right w:val="nil"/>
            </w:tcBorders>
            <w:vAlign w:val="bottom"/>
          </w:tcPr>
          <w:p w14:paraId="2F4493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4E2260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2DA57C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D672B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69F1AB5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0D0A166" w14:textId="77777777" w:rsidTr="009501B5">
        <w:trPr>
          <w:trHeight w:hRule="exact" w:val="132"/>
        </w:trPr>
        <w:tc>
          <w:tcPr>
            <w:tcW w:w="1920" w:type="dxa"/>
            <w:tcBorders>
              <w:top w:val="nil"/>
              <w:left w:val="nil"/>
              <w:bottom w:val="nil"/>
              <w:right w:val="nil"/>
            </w:tcBorders>
            <w:vAlign w:val="bottom"/>
          </w:tcPr>
          <w:p w14:paraId="112ED87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D33EEA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C5856A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40270B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CABAB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706EFDC" w14:textId="77777777" w:rsidTr="009501B5">
        <w:trPr>
          <w:trHeight w:val="220"/>
        </w:trPr>
        <w:tc>
          <w:tcPr>
            <w:tcW w:w="1920" w:type="dxa"/>
            <w:tcBorders>
              <w:top w:val="nil"/>
              <w:left w:val="nil"/>
              <w:bottom w:val="nil"/>
              <w:right w:val="nil"/>
            </w:tcBorders>
            <w:vAlign w:val="bottom"/>
          </w:tcPr>
          <w:p w14:paraId="6ECC976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9DA14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E506B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E29BC0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521F54D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LM-Stat.</w:t>
            </w:r>
          </w:p>
        </w:tc>
      </w:tr>
      <w:tr w:rsidR="00EA38DE" w:rsidRPr="00EA38DE" w14:paraId="2A1A713C" w14:textId="77777777" w:rsidTr="009501B5">
        <w:trPr>
          <w:trHeight w:hRule="exact" w:val="88"/>
        </w:trPr>
        <w:tc>
          <w:tcPr>
            <w:tcW w:w="1920" w:type="dxa"/>
            <w:tcBorders>
              <w:top w:val="nil"/>
              <w:left w:val="nil"/>
              <w:bottom w:val="double" w:sz="6" w:space="2" w:color="auto"/>
              <w:right w:val="nil"/>
            </w:tcBorders>
            <w:vAlign w:val="bottom"/>
          </w:tcPr>
          <w:p w14:paraId="002C9B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4A524EA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52A12C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C3AB0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429004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AEF5C90" w14:textId="77777777" w:rsidTr="009501B5">
        <w:trPr>
          <w:trHeight w:hRule="exact" w:val="132"/>
        </w:trPr>
        <w:tc>
          <w:tcPr>
            <w:tcW w:w="1920" w:type="dxa"/>
            <w:tcBorders>
              <w:top w:val="nil"/>
              <w:left w:val="nil"/>
              <w:bottom w:val="nil"/>
              <w:right w:val="nil"/>
            </w:tcBorders>
            <w:vAlign w:val="bottom"/>
          </w:tcPr>
          <w:p w14:paraId="5376E2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2EBF5D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143E46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49CD61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FCF334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04D18C8" w14:textId="77777777" w:rsidTr="009501B5">
        <w:trPr>
          <w:trHeight w:val="220"/>
        </w:trPr>
        <w:tc>
          <w:tcPr>
            <w:tcW w:w="5270" w:type="dxa"/>
            <w:gridSpan w:val="4"/>
            <w:tcBorders>
              <w:top w:val="nil"/>
              <w:left w:val="nil"/>
              <w:bottom w:val="single" w:sz="6" w:space="0" w:color="auto"/>
              <w:right w:val="nil"/>
            </w:tcBorders>
            <w:vAlign w:val="bottom"/>
          </w:tcPr>
          <w:p w14:paraId="0BBEC4C3"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Kwiatkowski-Phillips-Schmidt-Shin test statistic</w:t>
            </w:r>
          </w:p>
        </w:tc>
        <w:tc>
          <w:tcPr>
            <w:tcW w:w="950" w:type="dxa"/>
            <w:tcBorders>
              <w:top w:val="nil"/>
              <w:left w:val="nil"/>
              <w:bottom w:val="single" w:sz="6" w:space="0" w:color="auto"/>
              <w:right w:val="nil"/>
            </w:tcBorders>
            <w:vAlign w:val="bottom"/>
          </w:tcPr>
          <w:p w14:paraId="308F30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0.653725</w:t>
            </w:r>
          </w:p>
        </w:tc>
      </w:tr>
      <w:tr w:rsidR="00EA38DE" w:rsidRPr="00EA38DE" w14:paraId="09B3CCFE" w14:textId="77777777" w:rsidTr="009501B5">
        <w:trPr>
          <w:trHeight w:val="220"/>
        </w:trPr>
        <w:tc>
          <w:tcPr>
            <w:tcW w:w="2970" w:type="dxa"/>
            <w:gridSpan w:val="2"/>
            <w:tcBorders>
              <w:top w:val="nil"/>
              <w:left w:val="nil"/>
              <w:bottom w:val="nil"/>
              <w:right w:val="nil"/>
            </w:tcBorders>
            <w:vAlign w:val="bottom"/>
          </w:tcPr>
          <w:p w14:paraId="28BC4F87"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Asymptotic critical values*:</w:t>
            </w:r>
          </w:p>
        </w:tc>
        <w:tc>
          <w:tcPr>
            <w:tcW w:w="1150" w:type="dxa"/>
            <w:tcBorders>
              <w:top w:val="nil"/>
              <w:left w:val="nil"/>
              <w:bottom w:val="nil"/>
              <w:right w:val="nil"/>
            </w:tcBorders>
            <w:vAlign w:val="bottom"/>
          </w:tcPr>
          <w:p w14:paraId="5B43C1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5166940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7497FA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0.739000</w:t>
            </w:r>
          </w:p>
        </w:tc>
      </w:tr>
      <w:tr w:rsidR="00EA38DE" w:rsidRPr="00EA38DE" w14:paraId="50A87647" w14:textId="77777777" w:rsidTr="009501B5">
        <w:trPr>
          <w:trHeight w:val="220"/>
        </w:trPr>
        <w:tc>
          <w:tcPr>
            <w:tcW w:w="1920" w:type="dxa"/>
            <w:tcBorders>
              <w:top w:val="nil"/>
              <w:left w:val="nil"/>
              <w:bottom w:val="nil"/>
              <w:right w:val="nil"/>
            </w:tcBorders>
            <w:vAlign w:val="bottom"/>
          </w:tcPr>
          <w:p w14:paraId="51CBE82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6958BF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2264E6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1299B1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D2A73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0.463000</w:t>
            </w:r>
          </w:p>
        </w:tc>
      </w:tr>
      <w:tr w:rsidR="00EA38DE" w:rsidRPr="00EA38DE" w14:paraId="03E36D0F" w14:textId="77777777" w:rsidTr="009501B5">
        <w:trPr>
          <w:trHeight w:val="220"/>
        </w:trPr>
        <w:tc>
          <w:tcPr>
            <w:tcW w:w="1920" w:type="dxa"/>
            <w:tcBorders>
              <w:top w:val="nil"/>
              <w:left w:val="nil"/>
              <w:bottom w:val="nil"/>
              <w:right w:val="nil"/>
            </w:tcBorders>
            <w:vAlign w:val="bottom"/>
          </w:tcPr>
          <w:p w14:paraId="69CE6B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2F026B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AF533C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7BD050F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01BE7D8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0.347000</w:t>
            </w:r>
          </w:p>
        </w:tc>
      </w:tr>
      <w:tr w:rsidR="00EA38DE" w:rsidRPr="00EA38DE" w14:paraId="4B76D785" w14:textId="77777777" w:rsidTr="009501B5">
        <w:trPr>
          <w:trHeight w:hRule="exact" w:val="88"/>
        </w:trPr>
        <w:tc>
          <w:tcPr>
            <w:tcW w:w="1920" w:type="dxa"/>
            <w:tcBorders>
              <w:top w:val="nil"/>
              <w:left w:val="nil"/>
              <w:bottom w:val="double" w:sz="6" w:space="0" w:color="auto"/>
              <w:right w:val="nil"/>
            </w:tcBorders>
            <w:vAlign w:val="bottom"/>
          </w:tcPr>
          <w:p w14:paraId="46DB7BF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6D2FA74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5832648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0477F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71EDD0F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547F8D0" w14:textId="77777777" w:rsidTr="009501B5">
        <w:trPr>
          <w:trHeight w:hRule="exact" w:val="132"/>
        </w:trPr>
        <w:tc>
          <w:tcPr>
            <w:tcW w:w="1920" w:type="dxa"/>
            <w:tcBorders>
              <w:top w:val="nil"/>
              <w:left w:val="nil"/>
              <w:bottom w:val="nil"/>
              <w:right w:val="nil"/>
            </w:tcBorders>
            <w:vAlign w:val="bottom"/>
          </w:tcPr>
          <w:p w14:paraId="2936D4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7931FC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236D80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D0B64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929023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1E7D04B" w14:textId="77777777" w:rsidTr="009501B5">
        <w:trPr>
          <w:trHeight w:val="220"/>
        </w:trPr>
        <w:tc>
          <w:tcPr>
            <w:tcW w:w="6220" w:type="dxa"/>
            <w:gridSpan w:val="5"/>
            <w:tcBorders>
              <w:top w:val="nil"/>
              <w:left w:val="nil"/>
              <w:bottom w:val="nil"/>
              <w:right w:val="nil"/>
            </w:tcBorders>
            <w:vAlign w:val="bottom"/>
          </w:tcPr>
          <w:p w14:paraId="552119CE"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*Kwiatkowski-Phillips-Schmidt-Shin (1992, Table 1) </w:t>
            </w:r>
          </w:p>
        </w:tc>
      </w:tr>
    </w:tbl>
    <w:p w14:paraId="652ED2FE" w14:textId="77777777" w:rsidR="003C6B00" w:rsidRPr="00EA38DE" w:rsidRDefault="003C6B00" w:rsidP="003C6B00">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3D6C3EF2" w14:textId="77777777" w:rsidTr="009501B5">
        <w:trPr>
          <w:trHeight w:val="220"/>
        </w:trPr>
        <w:tc>
          <w:tcPr>
            <w:tcW w:w="6220" w:type="dxa"/>
            <w:gridSpan w:val="5"/>
            <w:tcBorders>
              <w:top w:val="nil"/>
              <w:left w:val="nil"/>
              <w:bottom w:val="nil"/>
              <w:right w:val="nil"/>
            </w:tcBorders>
            <w:vAlign w:val="bottom"/>
          </w:tcPr>
          <w:p w14:paraId="50613CF4"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Null Hypothesis: CTP is stationary</w:t>
            </w:r>
          </w:p>
        </w:tc>
      </w:tr>
      <w:tr w:rsidR="00EA38DE" w:rsidRPr="00EA38DE" w14:paraId="517D168E" w14:textId="77777777" w:rsidTr="009501B5">
        <w:trPr>
          <w:trHeight w:val="220"/>
        </w:trPr>
        <w:tc>
          <w:tcPr>
            <w:tcW w:w="4120" w:type="dxa"/>
            <w:gridSpan w:val="3"/>
            <w:tcBorders>
              <w:top w:val="nil"/>
              <w:left w:val="nil"/>
              <w:bottom w:val="nil"/>
              <w:right w:val="nil"/>
            </w:tcBorders>
            <w:vAlign w:val="bottom"/>
          </w:tcPr>
          <w:p w14:paraId="7CB7AFB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2DDDE01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33EACB1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4450BC1E" w14:textId="77777777" w:rsidTr="009501B5">
        <w:trPr>
          <w:trHeight w:val="220"/>
        </w:trPr>
        <w:tc>
          <w:tcPr>
            <w:tcW w:w="6220" w:type="dxa"/>
            <w:gridSpan w:val="5"/>
            <w:tcBorders>
              <w:top w:val="nil"/>
              <w:left w:val="nil"/>
              <w:bottom w:val="nil"/>
              <w:right w:val="nil"/>
            </w:tcBorders>
            <w:vAlign w:val="bottom"/>
          </w:tcPr>
          <w:p w14:paraId="46D7151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Bandwidth: 5 (Newey-West automatic) using Bartlett kernel</w:t>
            </w:r>
          </w:p>
        </w:tc>
      </w:tr>
      <w:tr w:rsidR="00EA38DE" w:rsidRPr="00EA38DE" w14:paraId="41552D09" w14:textId="77777777" w:rsidTr="009501B5">
        <w:trPr>
          <w:trHeight w:hRule="exact" w:val="88"/>
        </w:trPr>
        <w:tc>
          <w:tcPr>
            <w:tcW w:w="1920" w:type="dxa"/>
            <w:tcBorders>
              <w:top w:val="nil"/>
              <w:left w:val="nil"/>
              <w:bottom w:val="double" w:sz="6" w:space="2" w:color="auto"/>
              <w:right w:val="nil"/>
            </w:tcBorders>
            <w:vAlign w:val="bottom"/>
          </w:tcPr>
          <w:p w14:paraId="684D9D8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4A1C4C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D05B8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6F8E07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6CF149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0566B92" w14:textId="77777777" w:rsidTr="009501B5">
        <w:trPr>
          <w:trHeight w:hRule="exact" w:val="132"/>
        </w:trPr>
        <w:tc>
          <w:tcPr>
            <w:tcW w:w="1920" w:type="dxa"/>
            <w:tcBorders>
              <w:top w:val="nil"/>
              <w:left w:val="nil"/>
              <w:bottom w:val="nil"/>
              <w:right w:val="nil"/>
            </w:tcBorders>
            <w:vAlign w:val="bottom"/>
          </w:tcPr>
          <w:p w14:paraId="7BAD7FB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A0A95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309FAF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0EE069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67E8F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63FEDE03" w14:textId="77777777" w:rsidTr="009501B5">
        <w:trPr>
          <w:trHeight w:val="220"/>
        </w:trPr>
        <w:tc>
          <w:tcPr>
            <w:tcW w:w="1920" w:type="dxa"/>
            <w:tcBorders>
              <w:top w:val="nil"/>
              <w:left w:val="nil"/>
              <w:bottom w:val="nil"/>
              <w:right w:val="nil"/>
            </w:tcBorders>
            <w:vAlign w:val="bottom"/>
          </w:tcPr>
          <w:p w14:paraId="0E69805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06CEA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D6D7D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C685F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B1371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LM-Stat.</w:t>
            </w:r>
          </w:p>
        </w:tc>
      </w:tr>
      <w:tr w:rsidR="00EA38DE" w:rsidRPr="00EA38DE" w14:paraId="34CBAEF8" w14:textId="77777777" w:rsidTr="009501B5">
        <w:trPr>
          <w:trHeight w:hRule="exact" w:val="88"/>
        </w:trPr>
        <w:tc>
          <w:tcPr>
            <w:tcW w:w="1920" w:type="dxa"/>
            <w:tcBorders>
              <w:top w:val="nil"/>
              <w:left w:val="nil"/>
              <w:bottom w:val="double" w:sz="6" w:space="2" w:color="auto"/>
              <w:right w:val="nil"/>
            </w:tcBorders>
            <w:vAlign w:val="bottom"/>
          </w:tcPr>
          <w:p w14:paraId="4397F33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375AE59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527A7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D4A2B0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3162C27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D3BFF05" w14:textId="77777777" w:rsidTr="009501B5">
        <w:trPr>
          <w:trHeight w:hRule="exact" w:val="132"/>
        </w:trPr>
        <w:tc>
          <w:tcPr>
            <w:tcW w:w="1920" w:type="dxa"/>
            <w:tcBorders>
              <w:top w:val="nil"/>
              <w:left w:val="nil"/>
              <w:bottom w:val="nil"/>
              <w:right w:val="nil"/>
            </w:tcBorders>
            <w:vAlign w:val="bottom"/>
          </w:tcPr>
          <w:p w14:paraId="0504221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A9D40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C4F3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7B674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DAB3C7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8466805" w14:textId="77777777" w:rsidTr="009501B5">
        <w:trPr>
          <w:trHeight w:val="220"/>
        </w:trPr>
        <w:tc>
          <w:tcPr>
            <w:tcW w:w="5270" w:type="dxa"/>
            <w:gridSpan w:val="4"/>
            <w:tcBorders>
              <w:top w:val="nil"/>
              <w:left w:val="nil"/>
              <w:bottom w:val="single" w:sz="6" w:space="0" w:color="auto"/>
              <w:right w:val="nil"/>
            </w:tcBorders>
            <w:vAlign w:val="bottom"/>
          </w:tcPr>
          <w:p w14:paraId="41B32F78"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Kwiatkowski-Phillips-Schmidt-Shin test statistic</w:t>
            </w:r>
          </w:p>
        </w:tc>
        <w:tc>
          <w:tcPr>
            <w:tcW w:w="950" w:type="dxa"/>
            <w:tcBorders>
              <w:top w:val="nil"/>
              <w:left w:val="nil"/>
              <w:bottom w:val="single" w:sz="6" w:space="0" w:color="auto"/>
              <w:right w:val="nil"/>
            </w:tcBorders>
            <w:vAlign w:val="bottom"/>
          </w:tcPr>
          <w:p w14:paraId="1230E1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0.656691</w:t>
            </w:r>
          </w:p>
        </w:tc>
      </w:tr>
      <w:tr w:rsidR="00EA38DE" w:rsidRPr="00EA38DE" w14:paraId="2E9ADC8A" w14:textId="77777777" w:rsidTr="009501B5">
        <w:trPr>
          <w:trHeight w:val="220"/>
        </w:trPr>
        <w:tc>
          <w:tcPr>
            <w:tcW w:w="2970" w:type="dxa"/>
            <w:gridSpan w:val="2"/>
            <w:tcBorders>
              <w:top w:val="nil"/>
              <w:left w:val="nil"/>
              <w:bottom w:val="nil"/>
              <w:right w:val="nil"/>
            </w:tcBorders>
            <w:vAlign w:val="bottom"/>
          </w:tcPr>
          <w:p w14:paraId="40118732"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Asymptotic critical values*:</w:t>
            </w:r>
          </w:p>
        </w:tc>
        <w:tc>
          <w:tcPr>
            <w:tcW w:w="1150" w:type="dxa"/>
            <w:tcBorders>
              <w:top w:val="nil"/>
              <w:left w:val="nil"/>
              <w:bottom w:val="nil"/>
              <w:right w:val="nil"/>
            </w:tcBorders>
            <w:vAlign w:val="bottom"/>
          </w:tcPr>
          <w:p w14:paraId="7B7C5A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6CB87D0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7CA0599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0.739000</w:t>
            </w:r>
          </w:p>
        </w:tc>
      </w:tr>
      <w:tr w:rsidR="00EA38DE" w:rsidRPr="00EA38DE" w14:paraId="3694C79E" w14:textId="77777777" w:rsidTr="009501B5">
        <w:trPr>
          <w:trHeight w:val="220"/>
        </w:trPr>
        <w:tc>
          <w:tcPr>
            <w:tcW w:w="1920" w:type="dxa"/>
            <w:tcBorders>
              <w:top w:val="nil"/>
              <w:left w:val="nil"/>
              <w:bottom w:val="nil"/>
              <w:right w:val="nil"/>
            </w:tcBorders>
            <w:vAlign w:val="bottom"/>
          </w:tcPr>
          <w:p w14:paraId="060B61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DA4093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901DB7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774E554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32968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0.463000</w:t>
            </w:r>
          </w:p>
        </w:tc>
      </w:tr>
      <w:tr w:rsidR="00EA38DE" w:rsidRPr="00EA38DE" w14:paraId="7C58A073" w14:textId="77777777" w:rsidTr="009501B5">
        <w:trPr>
          <w:trHeight w:val="220"/>
        </w:trPr>
        <w:tc>
          <w:tcPr>
            <w:tcW w:w="1920" w:type="dxa"/>
            <w:tcBorders>
              <w:top w:val="nil"/>
              <w:left w:val="nil"/>
              <w:bottom w:val="nil"/>
              <w:right w:val="nil"/>
            </w:tcBorders>
            <w:vAlign w:val="bottom"/>
          </w:tcPr>
          <w:p w14:paraId="04BAD57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E9BDA4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C1171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142B77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294AA5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0.347000</w:t>
            </w:r>
          </w:p>
        </w:tc>
      </w:tr>
      <w:tr w:rsidR="00EA38DE" w:rsidRPr="00EA38DE" w14:paraId="77DFA602" w14:textId="77777777" w:rsidTr="009501B5">
        <w:trPr>
          <w:trHeight w:hRule="exact" w:val="88"/>
        </w:trPr>
        <w:tc>
          <w:tcPr>
            <w:tcW w:w="1920" w:type="dxa"/>
            <w:tcBorders>
              <w:top w:val="nil"/>
              <w:left w:val="nil"/>
              <w:bottom w:val="double" w:sz="6" w:space="0" w:color="auto"/>
              <w:right w:val="nil"/>
            </w:tcBorders>
            <w:vAlign w:val="bottom"/>
          </w:tcPr>
          <w:p w14:paraId="6F1066D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63464B1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1ABC0E2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3B786CC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15F1CA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4FAD668" w14:textId="77777777" w:rsidTr="009501B5">
        <w:trPr>
          <w:trHeight w:hRule="exact" w:val="132"/>
        </w:trPr>
        <w:tc>
          <w:tcPr>
            <w:tcW w:w="1920" w:type="dxa"/>
            <w:tcBorders>
              <w:top w:val="nil"/>
              <w:left w:val="nil"/>
              <w:bottom w:val="nil"/>
              <w:right w:val="nil"/>
            </w:tcBorders>
            <w:vAlign w:val="bottom"/>
          </w:tcPr>
          <w:p w14:paraId="59F0A18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7F7162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BE92DF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B962E2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4B74A56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36003A22" w14:textId="77777777" w:rsidR="003C6B00" w:rsidRPr="00EA38DE" w:rsidRDefault="003C6B00" w:rsidP="003C6B00">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EA38DE" w:rsidRPr="00EA38DE" w14:paraId="7236D574" w14:textId="77777777" w:rsidTr="009501B5">
        <w:trPr>
          <w:trHeight w:val="220"/>
        </w:trPr>
        <w:tc>
          <w:tcPr>
            <w:tcW w:w="6220" w:type="dxa"/>
            <w:gridSpan w:val="5"/>
            <w:tcBorders>
              <w:top w:val="nil"/>
              <w:left w:val="nil"/>
              <w:bottom w:val="nil"/>
              <w:right w:val="nil"/>
            </w:tcBorders>
            <w:vAlign w:val="bottom"/>
          </w:tcPr>
          <w:p w14:paraId="41C308D6"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Null Hypothesis: D(CTP) is stationary</w:t>
            </w:r>
          </w:p>
        </w:tc>
      </w:tr>
      <w:tr w:rsidR="00EA38DE" w:rsidRPr="00EA38DE" w14:paraId="37537075" w14:textId="77777777" w:rsidTr="009501B5">
        <w:trPr>
          <w:trHeight w:val="220"/>
        </w:trPr>
        <w:tc>
          <w:tcPr>
            <w:tcW w:w="4120" w:type="dxa"/>
            <w:gridSpan w:val="3"/>
            <w:tcBorders>
              <w:top w:val="nil"/>
              <w:left w:val="nil"/>
              <w:bottom w:val="nil"/>
              <w:right w:val="nil"/>
            </w:tcBorders>
            <w:vAlign w:val="bottom"/>
          </w:tcPr>
          <w:p w14:paraId="3CA7A99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Exogenous: Constant</w:t>
            </w:r>
          </w:p>
        </w:tc>
        <w:tc>
          <w:tcPr>
            <w:tcW w:w="1150" w:type="dxa"/>
            <w:tcBorders>
              <w:top w:val="nil"/>
              <w:left w:val="nil"/>
              <w:bottom w:val="nil"/>
              <w:right w:val="nil"/>
            </w:tcBorders>
            <w:vAlign w:val="bottom"/>
          </w:tcPr>
          <w:p w14:paraId="0721053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8D17A7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3275D08" w14:textId="77777777" w:rsidTr="009501B5">
        <w:trPr>
          <w:trHeight w:val="220"/>
        </w:trPr>
        <w:tc>
          <w:tcPr>
            <w:tcW w:w="6220" w:type="dxa"/>
            <w:gridSpan w:val="5"/>
            <w:tcBorders>
              <w:top w:val="nil"/>
              <w:left w:val="nil"/>
              <w:bottom w:val="nil"/>
              <w:right w:val="nil"/>
            </w:tcBorders>
            <w:vAlign w:val="bottom"/>
          </w:tcPr>
          <w:p w14:paraId="170E1AD0"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Bandwidth: 8 (Newey-West automatic) using Bartlett kernel</w:t>
            </w:r>
          </w:p>
        </w:tc>
      </w:tr>
      <w:tr w:rsidR="00EA38DE" w:rsidRPr="00EA38DE" w14:paraId="7BAC2AEF" w14:textId="77777777" w:rsidTr="009501B5">
        <w:trPr>
          <w:trHeight w:hRule="exact" w:val="88"/>
        </w:trPr>
        <w:tc>
          <w:tcPr>
            <w:tcW w:w="1920" w:type="dxa"/>
            <w:tcBorders>
              <w:top w:val="nil"/>
              <w:left w:val="nil"/>
              <w:bottom w:val="double" w:sz="6" w:space="2" w:color="auto"/>
              <w:right w:val="nil"/>
            </w:tcBorders>
            <w:vAlign w:val="bottom"/>
          </w:tcPr>
          <w:p w14:paraId="6828A99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7AFFBE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031C1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FCF18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6FB244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16E99D17" w14:textId="77777777" w:rsidTr="009501B5">
        <w:trPr>
          <w:trHeight w:hRule="exact" w:val="132"/>
        </w:trPr>
        <w:tc>
          <w:tcPr>
            <w:tcW w:w="1920" w:type="dxa"/>
            <w:tcBorders>
              <w:top w:val="nil"/>
              <w:left w:val="nil"/>
              <w:bottom w:val="nil"/>
              <w:right w:val="nil"/>
            </w:tcBorders>
            <w:vAlign w:val="bottom"/>
          </w:tcPr>
          <w:p w14:paraId="16F7FCE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42AECB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6BCA2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DB7A6E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98B7A9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B1A33C5" w14:textId="77777777" w:rsidTr="009501B5">
        <w:trPr>
          <w:trHeight w:val="220"/>
        </w:trPr>
        <w:tc>
          <w:tcPr>
            <w:tcW w:w="1920" w:type="dxa"/>
            <w:tcBorders>
              <w:top w:val="nil"/>
              <w:left w:val="nil"/>
              <w:bottom w:val="nil"/>
              <w:right w:val="nil"/>
            </w:tcBorders>
            <w:vAlign w:val="bottom"/>
          </w:tcPr>
          <w:p w14:paraId="1B3C265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D98A1A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37ED5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03D026D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36F2C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LM-Stat.</w:t>
            </w:r>
          </w:p>
        </w:tc>
      </w:tr>
      <w:tr w:rsidR="00EA38DE" w:rsidRPr="00EA38DE" w14:paraId="17534291" w14:textId="77777777" w:rsidTr="009501B5">
        <w:trPr>
          <w:trHeight w:hRule="exact" w:val="88"/>
        </w:trPr>
        <w:tc>
          <w:tcPr>
            <w:tcW w:w="1920" w:type="dxa"/>
            <w:tcBorders>
              <w:top w:val="nil"/>
              <w:left w:val="nil"/>
              <w:bottom w:val="double" w:sz="6" w:space="2" w:color="auto"/>
              <w:right w:val="nil"/>
            </w:tcBorders>
            <w:vAlign w:val="bottom"/>
          </w:tcPr>
          <w:p w14:paraId="7740D99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2" w:color="auto"/>
              <w:right w:val="nil"/>
            </w:tcBorders>
            <w:vAlign w:val="bottom"/>
          </w:tcPr>
          <w:p w14:paraId="0DE86B9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873814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23448D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2" w:color="auto"/>
              <w:right w:val="nil"/>
            </w:tcBorders>
            <w:vAlign w:val="bottom"/>
          </w:tcPr>
          <w:p w14:paraId="5ADACF6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3D1C23F6" w14:textId="77777777" w:rsidTr="009501B5">
        <w:trPr>
          <w:trHeight w:hRule="exact" w:val="132"/>
        </w:trPr>
        <w:tc>
          <w:tcPr>
            <w:tcW w:w="1920" w:type="dxa"/>
            <w:tcBorders>
              <w:top w:val="nil"/>
              <w:left w:val="nil"/>
              <w:bottom w:val="nil"/>
              <w:right w:val="nil"/>
            </w:tcBorders>
            <w:vAlign w:val="bottom"/>
          </w:tcPr>
          <w:p w14:paraId="702D653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189156E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ABEFCD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BF6645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673A20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DF6EB23" w14:textId="77777777" w:rsidTr="009501B5">
        <w:trPr>
          <w:trHeight w:val="220"/>
        </w:trPr>
        <w:tc>
          <w:tcPr>
            <w:tcW w:w="5270" w:type="dxa"/>
            <w:gridSpan w:val="4"/>
            <w:tcBorders>
              <w:top w:val="nil"/>
              <w:left w:val="nil"/>
              <w:bottom w:val="single" w:sz="6" w:space="0" w:color="auto"/>
              <w:right w:val="nil"/>
            </w:tcBorders>
            <w:vAlign w:val="bottom"/>
          </w:tcPr>
          <w:p w14:paraId="7B9C7565"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Kwiatkowski-Phillips-Schmidt-Shin test statistic</w:t>
            </w:r>
          </w:p>
        </w:tc>
        <w:tc>
          <w:tcPr>
            <w:tcW w:w="950" w:type="dxa"/>
            <w:tcBorders>
              <w:top w:val="nil"/>
              <w:left w:val="nil"/>
              <w:bottom w:val="single" w:sz="6" w:space="0" w:color="auto"/>
              <w:right w:val="nil"/>
            </w:tcBorders>
            <w:vAlign w:val="bottom"/>
          </w:tcPr>
          <w:p w14:paraId="3C50AC8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0.291735</w:t>
            </w:r>
          </w:p>
        </w:tc>
      </w:tr>
      <w:tr w:rsidR="00EA38DE" w:rsidRPr="00EA38DE" w14:paraId="188D9198" w14:textId="77777777" w:rsidTr="009501B5">
        <w:trPr>
          <w:trHeight w:val="220"/>
        </w:trPr>
        <w:tc>
          <w:tcPr>
            <w:tcW w:w="2970" w:type="dxa"/>
            <w:gridSpan w:val="2"/>
            <w:tcBorders>
              <w:top w:val="nil"/>
              <w:left w:val="nil"/>
              <w:bottom w:val="nil"/>
              <w:right w:val="nil"/>
            </w:tcBorders>
            <w:vAlign w:val="bottom"/>
          </w:tcPr>
          <w:p w14:paraId="04A79DD9"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Asymptotic critical values*:</w:t>
            </w:r>
          </w:p>
        </w:tc>
        <w:tc>
          <w:tcPr>
            <w:tcW w:w="1150" w:type="dxa"/>
            <w:tcBorders>
              <w:top w:val="nil"/>
              <w:left w:val="nil"/>
              <w:bottom w:val="nil"/>
              <w:right w:val="nil"/>
            </w:tcBorders>
            <w:vAlign w:val="bottom"/>
          </w:tcPr>
          <w:p w14:paraId="2D5F325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 level</w:t>
            </w:r>
          </w:p>
        </w:tc>
        <w:tc>
          <w:tcPr>
            <w:tcW w:w="1150" w:type="dxa"/>
            <w:tcBorders>
              <w:top w:val="nil"/>
              <w:left w:val="nil"/>
              <w:bottom w:val="nil"/>
              <w:right w:val="nil"/>
            </w:tcBorders>
            <w:vAlign w:val="bottom"/>
          </w:tcPr>
          <w:p w14:paraId="381A5F3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66C46CC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0.739000</w:t>
            </w:r>
          </w:p>
        </w:tc>
      </w:tr>
      <w:tr w:rsidR="00EA38DE" w:rsidRPr="00EA38DE" w14:paraId="4155612B" w14:textId="77777777" w:rsidTr="009501B5">
        <w:trPr>
          <w:trHeight w:val="220"/>
        </w:trPr>
        <w:tc>
          <w:tcPr>
            <w:tcW w:w="1920" w:type="dxa"/>
            <w:tcBorders>
              <w:top w:val="nil"/>
              <w:left w:val="nil"/>
              <w:bottom w:val="nil"/>
              <w:right w:val="nil"/>
            </w:tcBorders>
            <w:vAlign w:val="bottom"/>
          </w:tcPr>
          <w:p w14:paraId="0A17276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354F29D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9057A1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5% level</w:t>
            </w:r>
          </w:p>
        </w:tc>
        <w:tc>
          <w:tcPr>
            <w:tcW w:w="1150" w:type="dxa"/>
            <w:tcBorders>
              <w:top w:val="nil"/>
              <w:left w:val="nil"/>
              <w:bottom w:val="nil"/>
              <w:right w:val="nil"/>
            </w:tcBorders>
            <w:vAlign w:val="bottom"/>
          </w:tcPr>
          <w:p w14:paraId="2228D14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12F0F78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0.463000</w:t>
            </w:r>
          </w:p>
        </w:tc>
      </w:tr>
      <w:tr w:rsidR="00EA38DE" w:rsidRPr="00EA38DE" w14:paraId="500AD91B" w14:textId="77777777" w:rsidTr="009501B5">
        <w:trPr>
          <w:trHeight w:val="220"/>
        </w:trPr>
        <w:tc>
          <w:tcPr>
            <w:tcW w:w="1920" w:type="dxa"/>
            <w:tcBorders>
              <w:top w:val="nil"/>
              <w:left w:val="nil"/>
              <w:bottom w:val="nil"/>
              <w:right w:val="nil"/>
            </w:tcBorders>
            <w:vAlign w:val="bottom"/>
          </w:tcPr>
          <w:p w14:paraId="037D880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01D7A9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987542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10% level</w:t>
            </w:r>
          </w:p>
        </w:tc>
        <w:tc>
          <w:tcPr>
            <w:tcW w:w="1150" w:type="dxa"/>
            <w:tcBorders>
              <w:top w:val="nil"/>
              <w:left w:val="nil"/>
              <w:bottom w:val="nil"/>
              <w:right w:val="nil"/>
            </w:tcBorders>
            <w:vAlign w:val="bottom"/>
          </w:tcPr>
          <w:p w14:paraId="67B534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DB33BD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0.347000</w:t>
            </w:r>
          </w:p>
        </w:tc>
      </w:tr>
      <w:tr w:rsidR="00EA38DE" w:rsidRPr="00EA38DE" w14:paraId="35DFE5E5" w14:textId="77777777" w:rsidTr="009501B5">
        <w:trPr>
          <w:trHeight w:hRule="exact" w:val="88"/>
        </w:trPr>
        <w:tc>
          <w:tcPr>
            <w:tcW w:w="1920" w:type="dxa"/>
            <w:tcBorders>
              <w:top w:val="nil"/>
              <w:left w:val="nil"/>
              <w:bottom w:val="double" w:sz="6" w:space="0" w:color="auto"/>
              <w:right w:val="nil"/>
            </w:tcBorders>
            <w:vAlign w:val="bottom"/>
          </w:tcPr>
          <w:p w14:paraId="4B37B74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double" w:sz="6" w:space="0" w:color="auto"/>
              <w:right w:val="nil"/>
            </w:tcBorders>
            <w:vAlign w:val="bottom"/>
          </w:tcPr>
          <w:p w14:paraId="337EE9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6DC0A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627D77B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double" w:sz="6" w:space="0" w:color="auto"/>
              <w:right w:val="nil"/>
            </w:tcBorders>
            <w:vAlign w:val="bottom"/>
          </w:tcPr>
          <w:p w14:paraId="02669E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F5DC41B" w14:textId="77777777" w:rsidTr="009501B5">
        <w:trPr>
          <w:trHeight w:hRule="exact" w:val="132"/>
        </w:trPr>
        <w:tc>
          <w:tcPr>
            <w:tcW w:w="1920" w:type="dxa"/>
            <w:tcBorders>
              <w:top w:val="nil"/>
              <w:left w:val="nil"/>
              <w:bottom w:val="nil"/>
              <w:right w:val="nil"/>
            </w:tcBorders>
            <w:vAlign w:val="bottom"/>
          </w:tcPr>
          <w:p w14:paraId="69835B8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050" w:type="dxa"/>
            <w:tcBorders>
              <w:top w:val="nil"/>
              <w:left w:val="nil"/>
              <w:bottom w:val="nil"/>
              <w:right w:val="nil"/>
            </w:tcBorders>
            <w:vAlign w:val="bottom"/>
          </w:tcPr>
          <w:p w14:paraId="6F5A687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A674A3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79712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950" w:type="dxa"/>
            <w:tcBorders>
              <w:top w:val="nil"/>
              <w:left w:val="nil"/>
              <w:bottom w:val="nil"/>
              <w:right w:val="nil"/>
            </w:tcBorders>
            <w:vAlign w:val="bottom"/>
          </w:tcPr>
          <w:p w14:paraId="29BAD3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2F061B" w:rsidRPr="00EA38DE" w14:paraId="6D7F0EAA" w14:textId="77777777" w:rsidTr="009501B5">
        <w:trPr>
          <w:trHeight w:val="220"/>
        </w:trPr>
        <w:tc>
          <w:tcPr>
            <w:tcW w:w="6220" w:type="dxa"/>
            <w:gridSpan w:val="5"/>
            <w:tcBorders>
              <w:top w:val="nil"/>
              <w:left w:val="nil"/>
              <w:bottom w:val="nil"/>
              <w:right w:val="nil"/>
            </w:tcBorders>
            <w:vAlign w:val="bottom"/>
          </w:tcPr>
          <w:p w14:paraId="4B393A51"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*Kwiatkowski-Phillips-Schmidt-Shin (1992, Table 1) </w:t>
            </w:r>
          </w:p>
        </w:tc>
      </w:tr>
    </w:tbl>
    <w:p w14:paraId="3E627669" w14:textId="77777777" w:rsidR="003C6B00" w:rsidRPr="00EA38DE" w:rsidRDefault="003C6B00" w:rsidP="003C6B00">
      <w:pPr>
        <w:rPr>
          <w:rFonts w:ascii="Arial" w:hAnsi="Arial" w:cs="Arial"/>
          <w:sz w:val="18"/>
          <w:szCs w:val="18"/>
        </w:rPr>
      </w:pPr>
    </w:p>
    <w:p w14:paraId="4D091B36" w14:textId="77777777" w:rsidR="00C26BF7" w:rsidRPr="00EA38DE" w:rsidRDefault="00C26BF7" w:rsidP="003C6B00">
      <w:pPr>
        <w:rPr>
          <w:rFonts w:ascii="Arial" w:hAnsi="Arial" w:cs="Arial"/>
          <w:sz w:val="18"/>
          <w:szCs w:val="18"/>
        </w:rPr>
      </w:pPr>
    </w:p>
    <w:p w14:paraId="68FC7579" w14:textId="77777777" w:rsidR="00C26BF7" w:rsidRPr="00EA38DE" w:rsidRDefault="00C26BF7" w:rsidP="003C6B00">
      <w:pPr>
        <w:rPr>
          <w:rFonts w:ascii="Arial" w:hAnsi="Arial" w:cs="Arial"/>
          <w:sz w:val="18"/>
          <w:szCs w:val="18"/>
        </w:rPr>
      </w:pPr>
    </w:p>
    <w:p w14:paraId="62656E4A" w14:textId="77777777" w:rsidR="003C6B00" w:rsidRPr="00EA38DE" w:rsidRDefault="003C6B00" w:rsidP="003C6B00">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920"/>
        <w:gridCol w:w="1150"/>
        <w:gridCol w:w="1150"/>
        <w:gridCol w:w="1150"/>
      </w:tblGrid>
      <w:tr w:rsidR="00EA38DE" w:rsidRPr="00EA38DE" w14:paraId="363A3A0B" w14:textId="77777777" w:rsidTr="009501B5">
        <w:trPr>
          <w:trHeight w:val="220"/>
        </w:trPr>
        <w:tc>
          <w:tcPr>
            <w:tcW w:w="5370" w:type="dxa"/>
            <w:gridSpan w:val="4"/>
            <w:tcBorders>
              <w:top w:val="nil"/>
              <w:left w:val="nil"/>
              <w:bottom w:val="nil"/>
              <w:right w:val="nil"/>
            </w:tcBorders>
            <w:vAlign w:val="bottom"/>
          </w:tcPr>
          <w:p w14:paraId="6844E60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lastRenderedPageBreak/>
              <w:t>Variance Inflation Factors</w:t>
            </w:r>
          </w:p>
        </w:tc>
      </w:tr>
      <w:tr w:rsidR="00EA38DE" w:rsidRPr="00EA38DE" w14:paraId="6C927363" w14:textId="77777777" w:rsidTr="009501B5">
        <w:trPr>
          <w:trHeight w:val="220"/>
        </w:trPr>
        <w:tc>
          <w:tcPr>
            <w:tcW w:w="5370" w:type="dxa"/>
            <w:gridSpan w:val="4"/>
            <w:tcBorders>
              <w:top w:val="nil"/>
              <w:left w:val="nil"/>
              <w:bottom w:val="nil"/>
              <w:right w:val="nil"/>
            </w:tcBorders>
            <w:vAlign w:val="bottom"/>
          </w:tcPr>
          <w:p w14:paraId="72D1901C"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Date: 08/20/25   Time: 01:02</w:t>
            </w:r>
          </w:p>
        </w:tc>
      </w:tr>
      <w:tr w:rsidR="00EA38DE" w:rsidRPr="00EA38DE" w14:paraId="3AAF68AF" w14:textId="77777777" w:rsidTr="009501B5">
        <w:trPr>
          <w:trHeight w:val="220"/>
        </w:trPr>
        <w:tc>
          <w:tcPr>
            <w:tcW w:w="4220" w:type="dxa"/>
            <w:gridSpan w:val="3"/>
            <w:tcBorders>
              <w:top w:val="nil"/>
              <w:left w:val="nil"/>
              <w:bottom w:val="nil"/>
              <w:right w:val="nil"/>
            </w:tcBorders>
            <w:vAlign w:val="bottom"/>
          </w:tcPr>
          <w:p w14:paraId="4961887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Sample: 1990 2024</w:t>
            </w:r>
          </w:p>
        </w:tc>
        <w:tc>
          <w:tcPr>
            <w:tcW w:w="1150" w:type="dxa"/>
            <w:tcBorders>
              <w:top w:val="nil"/>
              <w:left w:val="nil"/>
              <w:bottom w:val="nil"/>
              <w:right w:val="nil"/>
            </w:tcBorders>
            <w:vAlign w:val="bottom"/>
          </w:tcPr>
          <w:p w14:paraId="3DBDF01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70060A29" w14:textId="77777777" w:rsidTr="009501B5">
        <w:trPr>
          <w:trHeight w:val="220"/>
        </w:trPr>
        <w:tc>
          <w:tcPr>
            <w:tcW w:w="5370" w:type="dxa"/>
            <w:gridSpan w:val="4"/>
            <w:tcBorders>
              <w:top w:val="nil"/>
              <w:left w:val="nil"/>
              <w:bottom w:val="nil"/>
              <w:right w:val="nil"/>
            </w:tcBorders>
            <w:vAlign w:val="bottom"/>
          </w:tcPr>
          <w:p w14:paraId="764FD75D" w14:textId="77777777" w:rsidR="003C6B00" w:rsidRPr="00EA38DE" w:rsidRDefault="003C6B00" w:rsidP="009501B5">
            <w:pPr>
              <w:autoSpaceDE w:val="0"/>
              <w:autoSpaceDN w:val="0"/>
              <w:adjustRightInd w:val="0"/>
              <w:spacing w:after="0" w:line="240" w:lineRule="auto"/>
              <w:rPr>
                <w:rFonts w:ascii="Arial" w:hAnsi="Arial" w:cs="Arial"/>
                <w:sz w:val="18"/>
                <w:szCs w:val="18"/>
              </w:rPr>
            </w:pPr>
            <w:r w:rsidRPr="00EA38DE">
              <w:rPr>
                <w:rFonts w:ascii="Arial" w:hAnsi="Arial" w:cs="Arial"/>
                <w:sz w:val="18"/>
                <w:szCs w:val="18"/>
              </w:rPr>
              <w:t>Included observations: 34</w:t>
            </w:r>
          </w:p>
        </w:tc>
      </w:tr>
      <w:tr w:rsidR="00EA38DE" w:rsidRPr="00EA38DE" w14:paraId="1EE35D76" w14:textId="77777777" w:rsidTr="009501B5">
        <w:trPr>
          <w:trHeight w:hRule="exact" w:val="88"/>
        </w:trPr>
        <w:tc>
          <w:tcPr>
            <w:tcW w:w="1920" w:type="dxa"/>
            <w:tcBorders>
              <w:top w:val="nil"/>
              <w:left w:val="nil"/>
              <w:bottom w:val="double" w:sz="6" w:space="2" w:color="auto"/>
              <w:right w:val="nil"/>
            </w:tcBorders>
            <w:vAlign w:val="bottom"/>
          </w:tcPr>
          <w:p w14:paraId="32C0BF0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276C69C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0523883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F2C3B1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5EEE635" w14:textId="77777777" w:rsidTr="009501B5">
        <w:trPr>
          <w:trHeight w:hRule="exact" w:val="132"/>
        </w:trPr>
        <w:tc>
          <w:tcPr>
            <w:tcW w:w="1920" w:type="dxa"/>
            <w:tcBorders>
              <w:top w:val="nil"/>
              <w:left w:val="nil"/>
              <w:bottom w:val="nil"/>
              <w:right w:val="nil"/>
            </w:tcBorders>
            <w:vAlign w:val="bottom"/>
          </w:tcPr>
          <w:p w14:paraId="138540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A0CFB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5F2905E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3D4CDF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019735B1" w14:textId="77777777" w:rsidTr="009501B5">
        <w:trPr>
          <w:trHeight w:val="220"/>
        </w:trPr>
        <w:tc>
          <w:tcPr>
            <w:tcW w:w="1920" w:type="dxa"/>
            <w:tcBorders>
              <w:top w:val="nil"/>
              <w:left w:val="nil"/>
              <w:bottom w:val="nil"/>
              <w:right w:val="nil"/>
            </w:tcBorders>
            <w:vAlign w:val="bottom"/>
          </w:tcPr>
          <w:p w14:paraId="490258C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7A153FE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Coefficient</w:t>
            </w:r>
          </w:p>
        </w:tc>
        <w:tc>
          <w:tcPr>
            <w:tcW w:w="1150" w:type="dxa"/>
            <w:tcBorders>
              <w:top w:val="nil"/>
              <w:left w:val="nil"/>
              <w:bottom w:val="nil"/>
              <w:right w:val="nil"/>
            </w:tcBorders>
            <w:vAlign w:val="bottom"/>
          </w:tcPr>
          <w:p w14:paraId="1C41912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Uncentered</w:t>
            </w:r>
          </w:p>
        </w:tc>
        <w:tc>
          <w:tcPr>
            <w:tcW w:w="1150" w:type="dxa"/>
            <w:tcBorders>
              <w:top w:val="nil"/>
              <w:left w:val="nil"/>
              <w:bottom w:val="nil"/>
              <w:right w:val="nil"/>
            </w:tcBorders>
            <w:vAlign w:val="bottom"/>
          </w:tcPr>
          <w:p w14:paraId="1A6A785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Centered</w:t>
            </w:r>
          </w:p>
        </w:tc>
      </w:tr>
      <w:tr w:rsidR="00EA38DE" w:rsidRPr="00EA38DE" w14:paraId="421191CD" w14:textId="77777777" w:rsidTr="009501B5">
        <w:trPr>
          <w:trHeight w:val="220"/>
        </w:trPr>
        <w:tc>
          <w:tcPr>
            <w:tcW w:w="1920" w:type="dxa"/>
            <w:tcBorders>
              <w:top w:val="nil"/>
              <w:left w:val="nil"/>
              <w:bottom w:val="nil"/>
              <w:right w:val="nil"/>
            </w:tcBorders>
            <w:vAlign w:val="bottom"/>
          </w:tcPr>
          <w:p w14:paraId="20F36E7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Variable</w:t>
            </w:r>
          </w:p>
        </w:tc>
        <w:tc>
          <w:tcPr>
            <w:tcW w:w="1150" w:type="dxa"/>
            <w:tcBorders>
              <w:top w:val="nil"/>
              <w:left w:val="nil"/>
              <w:bottom w:val="nil"/>
              <w:right w:val="nil"/>
            </w:tcBorders>
            <w:vAlign w:val="bottom"/>
          </w:tcPr>
          <w:p w14:paraId="35E28B2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Variance</w:t>
            </w:r>
          </w:p>
        </w:tc>
        <w:tc>
          <w:tcPr>
            <w:tcW w:w="1150" w:type="dxa"/>
            <w:tcBorders>
              <w:top w:val="nil"/>
              <w:left w:val="nil"/>
              <w:bottom w:val="nil"/>
              <w:right w:val="nil"/>
            </w:tcBorders>
            <w:vAlign w:val="bottom"/>
          </w:tcPr>
          <w:p w14:paraId="4F02138D"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VIF</w:t>
            </w:r>
          </w:p>
        </w:tc>
        <w:tc>
          <w:tcPr>
            <w:tcW w:w="1150" w:type="dxa"/>
            <w:tcBorders>
              <w:top w:val="nil"/>
              <w:left w:val="nil"/>
              <w:bottom w:val="nil"/>
              <w:right w:val="nil"/>
            </w:tcBorders>
            <w:vAlign w:val="bottom"/>
          </w:tcPr>
          <w:p w14:paraId="1DB4F46C"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VIF</w:t>
            </w:r>
          </w:p>
        </w:tc>
      </w:tr>
      <w:tr w:rsidR="00EA38DE" w:rsidRPr="00EA38DE" w14:paraId="075601A7" w14:textId="77777777" w:rsidTr="009501B5">
        <w:trPr>
          <w:trHeight w:hRule="exact" w:val="88"/>
        </w:trPr>
        <w:tc>
          <w:tcPr>
            <w:tcW w:w="1920" w:type="dxa"/>
            <w:tcBorders>
              <w:top w:val="nil"/>
              <w:left w:val="nil"/>
              <w:bottom w:val="double" w:sz="6" w:space="2" w:color="auto"/>
              <w:right w:val="nil"/>
            </w:tcBorders>
            <w:vAlign w:val="bottom"/>
          </w:tcPr>
          <w:p w14:paraId="371332A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768AE796"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49E36B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2" w:color="auto"/>
              <w:right w:val="nil"/>
            </w:tcBorders>
            <w:vAlign w:val="bottom"/>
          </w:tcPr>
          <w:p w14:paraId="349305E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871C265" w14:textId="77777777" w:rsidTr="009501B5">
        <w:trPr>
          <w:trHeight w:hRule="exact" w:val="132"/>
        </w:trPr>
        <w:tc>
          <w:tcPr>
            <w:tcW w:w="1920" w:type="dxa"/>
            <w:tcBorders>
              <w:top w:val="nil"/>
              <w:left w:val="nil"/>
              <w:bottom w:val="nil"/>
              <w:right w:val="nil"/>
            </w:tcBorders>
            <w:vAlign w:val="bottom"/>
          </w:tcPr>
          <w:p w14:paraId="098A26E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4025CF5"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39B4E6F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6C0D61E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5C8F2CF2" w14:textId="77777777" w:rsidTr="009501B5">
        <w:trPr>
          <w:trHeight w:val="220"/>
        </w:trPr>
        <w:tc>
          <w:tcPr>
            <w:tcW w:w="1920" w:type="dxa"/>
            <w:tcBorders>
              <w:top w:val="nil"/>
              <w:left w:val="nil"/>
              <w:bottom w:val="nil"/>
              <w:right w:val="nil"/>
            </w:tcBorders>
            <w:vAlign w:val="bottom"/>
          </w:tcPr>
          <w:p w14:paraId="1F3B70B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AQT</w:t>
            </w:r>
          </w:p>
        </w:tc>
        <w:tc>
          <w:tcPr>
            <w:tcW w:w="1150" w:type="dxa"/>
            <w:tcBorders>
              <w:top w:val="nil"/>
              <w:left w:val="nil"/>
              <w:bottom w:val="nil"/>
              <w:right w:val="nil"/>
            </w:tcBorders>
            <w:vAlign w:val="bottom"/>
          </w:tcPr>
          <w:p w14:paraId="465EDB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0.019170</w:t>
            </w:r>
          </w:p>
        </w:tc>
        <w:tc>
          <w:tcPr>
            <w:tcW w:w="1150" w:type="dxa"/>
            <w:tcBorders>
              <w:top w:val="nil"/>
              <w:left w:val="nil"/>
              <w:bottom w:val="nil"/>
              <w:right w:val="nil"/>
            </w:tcBorders>
            <w:vAlign w:val="bottom"/>
          </w:tcPr>
          <w:p w14:paraId="400AC22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12.46890</w:t>
            </w:r>
          </w:p>
        </w:tc>
        <w:tc>
          <w:tcPr>
            <w:tcW w:w="1150" w:type="dxa"/>
            <w:tcBorders>
              <w:top w:val="nil"/>
              <w:left w:val="nil"/>
              <w:bottom w:val="nil"/>
              <w:right w:val="nil"/>
            </w:tcBorders>
            <w:vAlign w:val="bottom"/>
          </w:tcPr>
          <w:p w14:paraId="77C85C7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5.364844</w:t>
            </w:r>
          </w:p>
        </w:tc>
      </w:tr>
      <w:tr w:rsidR="00EA38DE" w:rsidRPr="00EA38DE" w14:paraId="1C0B5F3E" w14:textId="77777777" w:rsidTr="009501B5">
        <w:trPr>
          <w:trHeight w:val="220"/>
        </w:trPr>
        <w:tc>
          <w:tcPr>
            <w:tcW w:w="1920" w:type="dxa"/>
            <w:tcBorders>
              <w:top w:val="nil"/>
              <w:left w:val="nil"/>
              <w:bottom w:val="nil"/>
              <w:right w:val="nil"/>
            </w:tcBorders>
            <w:vAlign w:val="bottom"/>
          </w:tcPr>
          <w:p w14:paraId="7BBC2E4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LAB</w:t>
            </w:r>
          </w:p>
        </w:tc>
        <w:tc>
          <w:tcPr>
            <w:tcW w:w="1150" w:type="dxa"/>
            <w:tcBorders>
              <w:top w:val="nil"/>
              <w:left w:val="nil"/>
              <w:bottom w:val="nil"/>
              <w:right w:val="nil"/>
            </w:tcBorders>
            <w:vAlign w:val="bottom"/>
          </w:tcPr>
          <w:p w14:paraId="7D486F5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2.94E+10</w:t>
            </w:r>
          </w:p>
        </w:tc>
        <w:tc>
          <w:tcPr>
            <w:tcW w:w="1150" w:type="dxa"/>
            <w:tcBorders>
              <w:top w:val="nil"/>
              <w:left w:val="nil"/>
              <w:bottom w:val="nil"/>
              <w:right w:val="nil"/>
            </w:tcBorders>
            <w:vAlign w:val="bottom"/>
          </w:tcPr>
          <w:p w14:paraId="5EE4987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161.3633</w:t>
            </w:r>
          </w:p>
        </w:tc>
        <w:tc>
          <w:tcPr>
            <w:tcW w:w="1150" w:type="dxa"/>
            <w:tcBorders>
              <w:top w:val="nil"/>
              <w:left w:val="nil"/>
              <w:bottom w:val="nil"/>
              <w:right w:val="nil"/>
            </w:tcBorders>
            <w:vAlign w:val="bottom"/>
          </w:tcPr>
          <w:p w14:paraId="02B95C0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8.078982</w:t>
            </w:r>
          </w:p>
        </w:tc>
      </w:tr>
      <w:tr w:rsidR="00EA38DE" w:rsidRPr="00EA38DE" w14:paraId="6C6CC979" w14:textId="77777777" w:rsidTr="009501B5">
        <w:trPr>
          <w:trHeight w:val="220"/>
        </w:trPr>
        <w:tc>
          <w:tcPr>
            <w:tcW w:w="1920" w:type="dxa"/>
            <w:tcBorders>
              <w:top w:val="nil"/>
              <w:left w:val="nil"/>
              <w:bottom w:val="nil"/>
              <w:right w:val="nil"/>
            </w:tcBorders>
            <w:vAlign w:val="bottom"/>
          </w:tcPr>
          <w:p w14:paraId="7B518EE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LGR</w:t>
            </w:r>
          </w:p>
        </w:tc>
        <w:tc>
          <w:tcPr>
            <w:tcW w:w="1150" w:type="dxa"/>
            <w:tcBorders>
              <w:top w:val="nil"/>
              <w:left w:val="nil"/>
              <w:bottom w:val="nil"/>
              <w:right w:val="nil"/>
            </w:tcBorders>
            <w:vAlign w:val="bottom"/>
          </w:tcPr>
          <w:p w14:paraId="02E56DA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2.00E+09</w:t>
            </w:r>
          </w:p>
        </w:tc>
        <w:tc>
          <w:tcPr>
            <w:tcW w:w="1150" w:type="dxa"/>
            <w:tcBorders>
              <w:top w:val="nil"/>
              <w:left w:val="nil"/>
              <w:bottom w:val="nil"/>
              <w:right w:val="nil"/>
            </w:tcBorders>
            <w:vAlign w:val="bottom"/>
          </w:tcPr>
          <w:p w14:paraId="36AB3DE9"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461.6353</w:t>
            </w:r>
          </w:p>
        </w:tc>
        <w:tc>
          <w:tcPr>
            <w:tcW w:w="1150" w:type="dxa"/>
            <w:tcBorders>
              <w:top w:val="nil"/>
              <w:left w:val="nil"/>
              <w:bottom w:val="nil"/>
              <w:right w:val="nil"/>
            </w:tcBorders>
            <w:vAlign w:val="bottom"/>
          </w:tcPr>
          <w:p w14:paraId="6272E29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7.191377</w:t>
            </w:r>
          </w:p>
        </w:tc>
      </w:tr>
      <w:tr w:rsidR="00EA38DE" w:rsidRPr="00EA38DE" w14:paraId="7AA06F40" w14:textId="77777777" w:rsidTr="009501B5">
        <w:trPr>
          <w:trHeight w:val="220"/>
        </w:trPr>
        <w:tc>
          <w:tcPr>
            <w:tcW w:w="1920" w:type="dxa"/>
            <w:tcBorders>
              <w:top w:val="nil"/>
              <w:left w:val="nil"/>
              <w:bottom w:val="nil"/>
              <w:right w:val="nil"/>
            </w:tcBorders>
            <w:vAlign w:val="bottom"/>
          </w:tcPr>
          <w:p w14:paraId="247A0D63"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TRF</w:t>
            </w:r>
          </w:p>
        </w:tc>
        <w:tc>
          <w:tcPr>
            <w:tcW w:w="1150" w:type="dxa"/>
            <w:tcBorders>
              <w:top w:val="nil"/>
              <w:left w:val="nil"/>
              <w:bottom w:val="nil"/>
              <w:right w:val="nil"/>
            </w:tcBorders>
            <w:vAlign w:val="bottom"/>
          </w:tcPr>
          <w:p w14:paraId="79604E2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97867227</w:t>
            </w:r>
          </w:p>
        </w:tc>
        <w:tc>
          <w:tcPr>
            <w:tcW w:w="1150" w:type="dxa"/>
            <w:tcBorders>
              <w:top w:val="nil"/>
              <w:left w:val="nil"/>
              <w:bottom w:val="nil"/>
              <w:right w:val="nil"/>
            </w:tcBorders>
            <w:vAlign w:val="bottom"/>
          </w:tcPr>
          <w:p w14:paraId="7EA2268B"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48.59945</w:t>
            </w:r>
          </w:p>
        </w:tc>
        <w:tc>
          <w:tcPr>
            <w:tcW w:w="1150" w:type="dxa"/>
            <w:tcBorders>
              <w:top w:val="nil"/>
              <w:left w:val="nil"/>
              <w:bottom w:val="nil"/>
              <w:right w:val="nil"/>
            </w:tcBorders>
            <w:vAlign w:val="bottom"/>
          </w:tcPr>
          <w:p w14:paraId="2DADABB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4.114277</w:t>
            </w:r>
          </w:p>
        </w:tc>
      </w:tr>
      <w:tr w:rsidR="00EA38DE" w:rsidRPr="00EA38DE" w14:paraId="4FF7BB76" w14:textId="77777777" w:rsidTr="009501B5">
        <w:trPr>
          <w:trHeight w:val="220"/>
        </w:trPr>
        <w:tc>
          <w:tcPr>
            <w:tcW w:w="1920" w:type="dxa"/>
            <w:tcBorders>
              <w:top w:val="nil"/>
              <w:left w:val="nil"/>
              <w:bottom w:val="nil"/>
              <w:right w:val="nil"/>
            </w:tcBorders>
            <w:vAlign w:val="bottom"/>
          </w:tcPr>
          <w:p w14:paraId="77D8F52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IFR</w:t>
            </w:r>
          </w:p>
        </w:tc>
        <w:tc>
          <w:tcPr>
            <w:tcW w:w="1150" w:type="dxa"/>
            <w:tcBorders>
              <w:top w:val="nil"/>
              <w:left w:val="nil"/>
              <w:bottom w:val="nil"/>
              <w:right w:val="nil"/>
            </w:tcBorders>
            <w:vAlign w:val="bottom"/>
          </w:tcPr>
          <w:p w14:paraId="5942437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442850.4</w:t>
            </w:r>
          </w:p>
        </w:tc>
        <w:tc>
          <w:tcPr>
            <w:tcW w:w="1150" w:type="dxa"/>
            <w:tcBorders>
              <w:top w:val="nil"/>
              <w:left w:val="nil"/>
              <w:bottom w:val="nil"/>
              <w:right w:val="nil"/>
            </w:tcBorders>
            <w:vAlign w:val="bottom"/>
          </w:tcPr>
          <w:p w14:paraId="5E232C2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5.298373</w:t>
            </w:r>
          </w:p>
        </w:tc>
        <w:tc>
          <w:tcPr>
            <w:tcW w:w="1150" w:type="dxa"/>
            <w:tcBorders>
              <w:top w:val="nil"/>
              <w:left w:val="nil"/>
              <w:bottom w:val="nil"/>
              <w:right w:val="nil"/>
            </w:tcBorders>
            <w:vAlign w:val="bottom"/>
          </w:tcPr>
          <w:p w14:paraId="0660F08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2.151743</w:t>
            </w:r>
          </w:p>
        </w:tc>
      </w:tr>
      <w:tr w:rsidR="00EA38DE" w:rsidRPr="00EA38DE" w14:paraId="2E10C9B6" w14:textId="77777777" w:rsidTr="009501B5">
        <w:trPr>
          <w:trHeight w:val="220"/>
        </w:trPr>
        <w:tc>
          <w:tcPr>
            <w:tcW w:w="1920" w:type="dxa"/>
            <w:tcBorders>
              <w:top w:val="nil"/>
              <w:left w:val="nil"/>
              <w:bottom w:val="nil"/>
              <w:right w:val="nil"/>
            </w:tcBorders>
            <w:vAlign w:val="bottom"/>
          </w:tcPr>
          <w:p w14:paraId="6DDF90F4"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C</w:t>
            </w:r>
          </w:p>
        </w:tc>
        <w:tc>
          <w:tcPr>
            <w:tcW w:w="1150" w:type="dxa"/>
            <w:tcBorders>
              <w:top w:val="nil"/>
              <w:left w:val="nil"/>
              <w:bottom w:val="nil"/>
              <w:right w:val="nil"/>
            </w:tcBorders>
            <w:vAlign w:val="bottom"/>
          </w:tcPr>
          <w:p w14:paraId="34C8E0D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3.15E+12</w:t>
            </w:r>
          </w:p>
        </w:tc>
        <w:tc>
          <w:tcPr>
            <w:tcW w:w="1150" w:type="dxa"/>
            <w:tcBorders>
              <w:top w:val="nil"/>
              <w:left w:val="nil"/>
              <w:bottom w:val="nil"/>
              <w:right w:val="nil"/>
            </w:tcBorders>
            <w:vAlign w:val="bottom"/>
          </w:tcPr>
          <w:p w14:paraId="19669038"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61867.27</w:t>
            </w:r>
          </w:p>
        </w:tc>
        <w:tc>
          <w:tcPr>
            <w:tcW w:w="1150" w:type="dxa"/>
            <w:tcBorders>
              <w:top w:val="nil"/>
              <w:left w:val="nil"/>
              <w:bottom w:val="nil"/>
              <w:right w:val="nil"/>
            </w:tcBorders>
            <w:vAlign w:val="bottom"/>
          </w:tcPr>
          <w:p w14:paraId="0EB76E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r w:rsidRPr="00EA38DE">
              <w:rPr>
                <w:rFonts w:ascii="Arial" w:hAnsi="Arial" w:cs="Arial"/>
                <w:sz w:val="18"/>
                <w:szCs w:val="18"/>
              </w:rPr>
              <w:t> NA</w:t>
            </w:r>
          </w:p>
        </w:tc>
      </w:tr>
      <w:tr w:rsidR="00EA38DE" w:rsidRPr="00EA38DE" w14:paraId="3C43D8EF" w14:textId="77777777" w:rsidTr="009501B5">
        <w:trPr>
          <w:trHeight w:hRule="exact" w:val="88"/>
        </w:trPr>
        <w:tc>
          <w:tcPr>
            <w:tcW w:w="1920" w:type="dxa"/>
            <w:tcBorders>
              <w:top w:val="nil"/>
              <w:left w:val="nil"/>
              <w:bottom w:val="double" w:sz="6" w:space="0" w:color="auto"/>
              <w:right w:val="nil"/>
            </w:tcBorders>
            <w:vAlign w:val="bottom"/>
          </w:tcPr>
          <w:p w14:paraId="5517173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71E39457"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42BEC03F"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double" w:sz="6" w:space="0" w:color="auto"/>
              <w:right w:val="nil"/>
            </w:tcBorders>
            <w:vAlign w:val="bottom"/>
          </w:tcPr>
          <w:p w14:paraId="2AE2076E"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r w:rsidR="00EA38DE" w:rsidRPr="00EA38DE" w14:paraId="27AE2D9E" w14:textId="77777777" w:rsidTr="009501B5">
        <w:trPr>
          <w:trHeight w:hRule="exact" w:val="132"/>
        </w:trPr>
        <w:tc>
          <w:tcPr>
            <w:tcW w:w="1920" w:type="dxa"/>
            <w:tcBorders>
              <w:top w:val="nil"/>
              <w:left w:val="nil"/>
              <w:bottom w:val="nil"/>
              <w:right w:val="nil"/>
            </w:tcBorders>
            <w:vAlign w:val="bottom"/>
          </w:tcPr>
          <w:p w14:paraId="11E617BA"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4328F850"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15CAE251"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c>
          <w:tcPr>
            <w:tcW w:w="1150" w:type="dxa"/>
            <w:tcBorders>
              <w:top w:val="nil"/>
              <w:left w:val="nil"/>
              <w:bottom w:val="nil"/>
              <w:right w:val="nil"/>
            </w:tcBorders>
            <w:vAlign w:val="bottom"/>
          </w:tcPr>
          <w:p w14:paraId="2358FB52" w14:textId="77777777" w:rsidR="003C6B00" w:rsidRPr="00EA38DE" w:rsidRDefault="003C6B00" w:rsidP="009501B5">
            <w:pPr>
              <w:autoSpaceDE w:val="0"/>
              <w:autoSpaceDN w:val="0"/>
              <w:adjustRightInd w:val="0"/>
              <w:spacing w:after="0" w:line="240" w:lineRule="auto"/>
              <w:jc w:val="center"/>
              <w:rPr>
                <w:rFonts w:ascii="Arial" w:hAnsi="Arial" w:cs="Arial"/>
                <w:sz w:val="18"/>
                <w:szCs w:val="18"/>
              </w:rPr>
            </w:pPr>
          </w:p>
        </w:tc>
      </w:tr>
    </w:tbl>
    <w:p w14:paraId="6018BC0C" w14:textId="77777777" w:rsidR="003C6B00" w:rsidRPr="00EA38DE" w:rsidRDefault="003C6B00" w:rsidP="003C6B00">
      <w:r w:rsidRPr="00EA38DE">
        <w:rPr>
          <w:rFonts w:ascii="Arial" w:hAnsi="Arial" w:cs="Arial"/>
          <w:sz w:val="18"/>
          <w:szCs w:val="18"/>
        </w:rPr>
        <w:br/>
      </w:r>
      <w:r w:rsidRPr="00EA38DE">
        <w:rPr>
          <w:rFonts w:ascii="Arial" w:hAnsi="Arial" w:cs="Arial"/>
          <w:sz w:val="18"/>
          <w:szCs w:val="18"/>
        </w:rPr>
        <w:br/>
      </w:r>
      <w:r w:rsidRPr="00EA38DE">
        <w:rPr>
          <w:rFonts w:ascii="Arial" w:hAnsi="Arial" w:cs="Arial"/>
          <w:sz w:val="18"/>
          <w:szCs w:val="18"/>
        </w:rPr>
        <w:br/>
      </w:r>
    </w:p>
    <w:p w14:paraId="2FF2F44C" w14:textId="77777777" w:rsidR="003C6B00" w:rsidRPr="00EA38DE" w:rsidRDefault="003C6B00" w:rsidP="003C6B00"/>
    <w:p w14:paraId="1692DC95" w14:textId="77777777" w:rsidR="003C6B00" w:rsidRPr="00EA38DE" w:rsidRDefault="003C6B00" w:rsidP="003C6B00"/>
    <w:p w14:paraId="1B24F2DC" w14:textId="77777777" w:rsidR="003C6B00" w:rsidRPr="00EA38DE" w:rsidRDefault="003C6B00" w:rsidP="003C6B00"/>
    <w:p w14:paraId="73859445" w14:textId="77777777" w:rsidR="003C6B00" w:rsidRPr="00EA38DE" w:rsidRDefault="003C6B00" w:rsidP="003C6B00"/>
    <w:p w14:paraId="66961DAA" w14:textId="77777777" w:rsidR="003C6B00" w:rsidRPr="00EA38DE" w:rsidRDefault="003C6B00" w:rsidP="003C6B00"/>
    <w:p w14:paraId="27FCF3AD" w14:textId="77777777" w:rsidR="003C6B00" w:rsidRPr="00EA38DE" w:rsidRDefault="003C6B00" w:rsidP="003C6B00"/>
    <w:p w14:paraId="2E1D036C" w14:textId="77777777" w:rsidR="003C6B00" w:rsidRPr="00EA38DE" w:rsidRDefault="003C6B00" w:rsidP="003C6B00"/>
    <w:p w14:paraId="16F86203" w14:textId="77777777" w:rsidR="009E24E6" w:rsidRPr="00EA38DE" w:rsidRDefault="009E24E6" w:rsidP="00BD75A0">
      <w:pPr>
        <w:spacing w:after="240" w:line="240" w:lineRule="auto"/>
        <w:ind w:left="720" w:hanging="720"/>
        <w:jc w:val="both"/>
        <w:rPr>
          <w:rFonts w:ascii="Times New Roman" w:hAnsi="Times New Roman" w:cs="Times New Roman"/>
          <w:sz w:val="24"/>
          <w:szCs w:val="24"/>
        </w:rPr>
      </w:pPr>
    </w:p>
    <w:sectPr w:rsidR="009E24E6" w:rsidRPr="00EA38DE" w:rsidSect="00F47084">
      <w:type w:val="continuous"/>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6A163" w14:textId="77777777" w:rsidR="00BD75E9" w:rsidRDefault="00BD75E9" w:rsidP="00F06742">
      <w:pPr>
        <w:spacing w:after="0" w:line="240" w:lineRule="auto"/>
      </w:pPr>
      <w:r>
        <w:separator/>
      </w:r>
    </w:p>
  </w:endnote>
  <w:endnote w:type="continuationSeparator" w:id="0">
    <w:p w14:paraId="1775AC83" w14:textId="77777777" w:rsidR="00BD75E9" w:rsidRDefault="00BD75E9" w:rsidP="00F06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inionPro-Regular">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936121"/>
      <w:docPartObj>
        <w:docPartGallery w:val="Page Numbers (Bottom of Page)"/>
        <w:docPartUnique/>
      </w:docPartObj>
    </w:sdtPr>
    <w:sdtEndPr>
      <w:rPr>
        <w:noProof/>
      </w:rPr>
    </w:sdtEndPr>
    <w:sdtContent>
      <w:p w14:paraId="63E27E18" w14:textId="0EC5A97A" w:rsidR="00252AD8" w:rsidRDefault="00252AD8">
        <w:pPr>
          <w:pStyle w:val="Footer"/>
          <w:jc w:val="center"/>
        </w:pPr>
        <w:r>
          <w:fldChar w:fldCharType="begin"/>
        </w:r>
        <w:r>
          <w:instrText xml:space="preserve"> PAGE   \* MERGEFORMAT </w:instrText>
        </w:r>
        <w:r>
          <w:fldChar w:fldCharType="separate"/>
        </w:r>
        <w:r w:rsidR="00244442">
          <w:rPr>
            <w:noProof/>
          </w:rPr>
          <w:t>i</w:t>
        </w:r>
        <w:r>
          <w:rPr>
            <w:noProof/>
          </w:rPr>
          <w:fldChar w:fldCharType="end"/>
        </w:r>
      </w:p>
    </w:sdtContent>
  </w:sdt>
  <w:p w14:paraId="67D4DC98" w14:textId="77777777" w:rsidR="00252AD8" w:rsidRDefault="00252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93686" w14:textId="77777777" w:rsidR="00BD75E9" w:rsidRDefault="00BD75E9" w:rsidP="00F06742">
      <w:pPr>
        <w:spacing w:after="0" w:line="240" w:lineRule="auto"/>
      </w:pPr>
      <w:r>
        <w:separator/>
      </w:r>
    </w:p>
  </w:footnote>
  <w:footnote w:type="continuationSeparator" w:id="0">
    <w:p w14:paraId="22591C82" w14:textId="77777777" w:rsidR="00BD75E9" w:rsidRDefault="00BD75E9" w:rsidP="00F067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ABB6F13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207012"/>
    <w:multiLevelType w:val="multilevel"/>
    <w:tmpl w:val="5FDE33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72056D"/>
    <w:multiLevelType w:val="multilevel"/>
    <w:tmpl w:val="B902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EE7553"/>
    <w:multiLevelType w:val="multilevel"/>
    <w:tmpl w:val="65CA8A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E857FA"/>
    <w:multiLevelType w:val="multilevel"/>
    <w:tmpl w:val="A604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C59B4"/>
    <w:multiLevelType w:val="hybridMultilevel"/>
    <w:tmpl w:val="A57AB060"/>
    <w:lvl w:ilvl="0" w:tplc="F50A4042">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0CDD301B"/>
    <w:multiLevelType w:val="hybridMultilevel"/>
    <w:tmpl w:val="7DF8329C"/>
    <w:lvl w:ilvl="0" w:tplc="AC108DA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C6C85"/>
    <w:multiLevelType w:val="multilevel"/>
    <w:tmpl w:val="0234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E36E50"/>
    <w:multiLevelType w:val="multilevel"/>
    <w:tmpl w:val="8920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5458A7"/>
    <w:multiLevelType w:val="multilevel"/>
    <w:tmpl w:val="7CD4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904C18"/>
    <w:multiLevelType w:val="multilevel"/>
    <w:tmpl w:val="EDA6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9D7073"/>
    <w:multiLevelType w:val="multilevel"/>
    <w:tmpl w:val="6B5A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8748F"/>
    <w:multiLevelType w:val="multilevel"/>
    <w:tmpl w:val="D33EA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C39B6"/>
    <w:multiLevelType w:val="multilevel"/>
    <w:tmpl w:val="5A1AF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4155F8"/>
    <w:multiLevelType w:val="hybridMultilevel"/>
    <w:tmpl w:val="D3BE991A"/>
    <w:lvl w:ilvl="0" w:tplc="E8582E54">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298A5718"/>
    <w:multiLevelType w:val="hybridMultilevel"/>
    <w:tmpl w:val="F0047EC8"/>
    <w:lvl w:ilvl="0" w:tplc="AC108DA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E22A0D"/>
    <w:multiLevelType w:val="multilevel"/>
    <w:tmpl w:val="D6609D5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F23ADC"/>
    <w:multiLevelType w:val="hybridMultilevel"/>
    <w:tmpl w:val="95846412"/>
    <w:lvl w:ilvl="0" w:tplc="629206C8">
      <w:start w:val="1"/>
      <w:numFmt w:val="lowerRoman"/>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8" w15:restartNumberingAfterBreak="0">
    <w:nsid w:val="33CA12BC"/>
    <w:multiLevelType w:val="multilevel"/>
    <w:tmpl w:val="DA101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4A59C3"/>
    <w:multiLevelType w:val="multilevel"/>
    <w:tmpl w:val="94FC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6E3B79"/>
    <w:multiLevelType w:val="hybridMultilevel"/>
    <w:tmpl w:val="7DE4FFAC"/>
    <w:lvl w:ilvl="0" w:tplc="04F81DDE">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1C1CCB"/>
    <w:multiLevelType w:val="multilevel"/>
    <w:tmpl w:val="7772AC3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315B8B"/>
    <w:multiLevelType w:val="multilevel"/>
    <w:tmpl w:val="4D3200E0"/>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F36108"/>
    <w:multiLevelType w:val="multilevel"/>
    <w:tmpl w:val="864ED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87225B"/>
    <w:multiLevelType w:val="multilevel"/>
    <w:tmpl w:val="8546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FB5739"/>
    <w:multiLevelType w:val="multilevel"/>
    <w:tmpl w:val="B614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6000B8"/>
    <w:multiLevelType w:val="multilevel"/>
    <w:tmpl w:val="97FE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B1059C"/>
    <w:multiLevelType w:val="hybridMultilevel"/>
    <w:tmpl w:val="0596B728"/>
    <w:lvl w:ilvl="0" w:tplc="04090017">
      <w:start w:val="1"/>
      <w:numFmt w:val="lowerLetter"/>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28" w15:restartNumberingAfterBreak="0">
    <w:nsid w:val="53B45A27"/>
    <w:multiLevelType w:val="hybridMultilevel"/>
    <w:tmpl w:val="D0A259E6"/>
    <w:lvl w:ilvl="0" w:tplc="04090017">
      <w:start w:val="1"/>
      <w:numFmt w:val="lowerLetter"/>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29" w15:restartNumberingAfterBreak="0">
    <w:nsid w:val="53D85345"/>
    <w:multiLevelType w:val="multilevel"/>
    <w:tmpl w:val="A9DA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9325EF"/>
    <w:multiLevelType w:val="hybridMultilevel"/>
    <w:tmpl w:val="8D929EF4"/>
    <w:lvl w:ilvl="0" w:tplc="04090017">
      <w:start w:val="1"/>
      <w:numFmt w:val="lowerLetter"/>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1" w15:restartNumberingAfterBreak="0">
    <w:nsid w:val="5B7023A3"/>
    <w:multiLevelType w:val="multilevel"/>
    <w:tmpl w:val="BA90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9519AD"/>
    <w:multiLevelType w:val="multilevel"/>
    <w:tmpl w:val="7A04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C67307"/>
    <w:multiLevelType w:val="multilevel"/>
    <w:tmpl w:val="3ED0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DB12F1"/>
    <w:multiLevelType w:val="hybridMultilevel"/>
    <w:tmpl w:val="DC7878CA"/>
    <w:lvl w:ilvl="0" w:tplc="7A4C4760">
      <w:start w:val="1"/>
      <w:numFmt w:val="decimal"/>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9497D"/>
    <w:multiLevelType w:val="hybridMultilevel"/>
    <w:tmpl w:val="16FACA28"/>
    <w:lvl w:ilvl="0" w:tplc="AC108DAE">
      <w:start w:val="1"/>
      <w:numFmt w:val="lowerRoman"/>
      <w:lvlText w:val="%1."/>
      <w:lvlJc w:val="center"/>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6" w15:restartNumberingAfterBreak="0">
    <w:nsid w:val="67271076"/>
    <w:multiLevelType w:val="multilevel"/>
    <w:tmpl w:val="7D662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520C8B"/>
    <w:multiLevelType w:val="multilevel"/>
    <w:tmpl w:val="CBD2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C91792"/>
    <w:multiLevelType w:val="multilevel"/>
    <w:tmpl w:val="F888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C524B"/>
    <w:multiLevelType w:val="multilevel"/>
    <w:tmpl w:val="79485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DB4B6E"/>
    <w:multiLevelType w:val="hybridMultilevel"/>
    <w:tmpl w:val="D3BE991A"/>
    <w:lvl w:ilvl="0" w:tplc="E8582E54">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1" w15:restartNumberingAfterBreak="0">
    <w:nsid w:val="6E086F6A"/>
    <w:multiLevelType w:val="multilevel"/>
    <w:tmpl w:val="FB94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6D1BC7"/>
    <w:multiLevelType w:val="hybridMultilevel"/>
    <w:tmpl w:val="B61A8352"/>
    <w:lvl w:ilvl="0" w:tplc="AC108DA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B73262"/>
    <w:multiLevelType w:val="hybridMultilevel"/>
    <w:tmpl w:val="4C18A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E353CC"/>
    <w:multiLevelType w:val="multilevel"/>
    <w:tmpl w:val="E228D9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5857A6"/>
    <w:multiLevelType w:val="hybridMultilevel"/>
    <w:tmpl w:val="D0A259E6"/>
    <w:lvl w:ilvl="0" w:tplc="FFFFFFFF">
      <w:start w:val="1"/>
      <w:numFmt w:val="lowerLetter"/>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46" w15:restartNumberingAfterBreak="0">
    <w:nsid w:val="7F327DE1"/>
    <w:multiLevelType w:val="multilevel"/>
    <w:tmpl w:val="D484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4F4AD6"/>
    <w:multiLevelType w:val="hybridMultilevel"/>
    <w:tmpl w:val="61E4D992"/>
    <w:lvl w:ilvl="0" w:tplc="04090017">
      <w:start w:val="1"/>
      <w:numFmt w:val="lowerLetter"/>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num w:numId="1">
    <w:abstractNumId w:val="34"/>
  </w:num>
  <w:num w:numId="2">
    <w:abstractNumId w:val="16"/>
  </w:num>
  <w:num w:numId="3">
    <w:abstractNumId w:val="14"/>
  </w:num>
  <w:num w:numId="4">
    <w:abstractNumId w:val="40"/>
  </w:num>
  <w:num w:numId="5">
    <w:abstractNumId w:val="22"/>
  </w:num>
  <w:num w:numId="6">
    <w:abstractNumId w:val="20"/>
  </w:num>
  <w:num w:numId="7">
    <w:abstractNumId w:val="43"/>
  </w:num>
  <w:num w:numId="8">
    <w:abstractNumId w:val="21"/>
  </w:num>
  <w:num w:numId="9">
    <w:abstractNumId w:val="7"/>
  </w:num>
  <w:num w:numId="10">
    <w:abstractNumId w:val="44"/>
  </w:num>
  <w:num w:numId="11">
    <w:abstractNumId w:val="33"/>
  </w:num>
  <w:num w:numId="12">
    <w:abstractNumId w:val="41"/>
  </w:num>
  <w:num w:numId="13">
    <w:abstractNumId w:val="2"/>
  </w:num>
  <w:num w:numId="14">
    <w:abstractNumId w:val="1"/>
  </w:num>
  <w:num w:numId="15">
    <w:abstractNumId w:val="23"/>
  </w:num>
  <w:num w:numId="16">
    <w:abstractNumId w:val="12"/>
  </w:num>
  <w:num w:numId="17">
    <w:abstractNumId w:val="9"/>
  </w:num>
  <w:num w:numId="18">
    <w:abstractNumId w:val="25"/>
  </w:num>
  <w:num w:numId="19">
    <w:abstractNumId w:val="3"/>
  </w:num>
  <w:num w:numId="20">
    <w:abstractNumId w:val="13"/>
  </w:num>
  <w:num w:numId="21">
    <w:abstractNumId w:val="38"/>
  </w:num>
  <w:num w:numId="22">
    <w:abstractNumId w:val="37"/>
  </w:num>
  <w:num w:numId="23">
    <w:abstractNumId w:val="24"/>
  </w:num>
  <w:num w:numId="24">
    <w:abstractNumId w:val="4"/>
  </w:num>
  <w:num w:numId="25">
    <w:abstractNumId w:val="19"/>
  </w:num>
  <w:num w:numId="26">
    <w:abstractNumId w:val="18"/>
  </w:num>
  <w:num w:numId="27">
    <w:abstractNumId w:val="36"/>
  </w:num>
  <w:num w:numId="28">
    <w:abstractNumId w:val="39"/>
  </w:num>
  <w:num w:numId="29">
    <w:abstractNumId w:val="26"/>
  </w:num>
  <w:num w:numId="30">
    <w:abstractNumId w:val="31"/>
  </w:num>
  <w:num w:numId="31">
    <w:abstractNumId w:val="0"/>
  </w:num>
  <w:num w:numId="32">
    <w:abstractNumId w:val="17"/>
  </w:num>
  <w:num w:numId="33">
    <w:abstractNumId w:val="27"/>
  </w:num>
  <w:num w:numId="34">
    <w:abstractNumId w:val="47"/>
  </w:num>
  <w:num w:numId="35">
    <w:abstractNumId w:val="28"/>
  </w:num>
  <w:num w:numId="36">
    <w:abstractNumId w:val="30"/>
  </w:num>
  <w:num w:numId="37">
    <w:abstractNumId w:val="42"/>
  </w:num>
  <w:num w:numId="38">
    <w:abstractNumId w:val="45"/>
  </w:num>
  <w:num w:numId="39">
    <w:abstractNumId w:val="15"/>
  </w:num>
  <w:num w:numId="40">
    <w:abstractNumId w:val="35"/>
  </w:num>
  <w:num w:numId="41">
    <w:abstractNumId w:val="6"/>
  </w:num>
  <w:num w:numId="42">
    <w:abstractNumId w:val="5"/>
  </w:num>
  <w:num w:numId="43">
    <w:abstractNumId w:val="8"/>
  </w:num>
  <w:num w:numId="44">
    <w:abstractNumId w:val="29"/>
  </w:num>
  <w:num w:numId="45">
    <w:abstractNumId w:val="46"/>
  </w:num>
  <w:num w:numId="46">
    <w:abstractNumId w:val="10"/>
  </w:num>
  <w:num w:numId="47">
    <w:abstractNumId w:val="11"/>
  </w:num>
  <w:num w:numId="48">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31"/>
    <w:rsid w:val="000000FD"/>
    <w:rsid w:val="000005D8"/>
    <w:rsid w:val="00000828"/>
    <w:rsid w:val="00000DDA"/>
    <w:rsid w:val="00003813"/>
    <w:rsid w:val="0000489A"/>
    <w:rsid w:val="00005338"/>
    <w:rsid w:val="0000572A"/>
    <w:rsid w:val="00005992"/>
    <w:rsid w:val="00005B7D"/>
    <w:rsid w:val="00006838"/>
    <w:rsid w:val="000107E0"/>
    <w:rsid w:val="00010A87"/>
    <w:rsid w:val="00011030"/>
    <w:rsid w:val="00011520"/>
    <w:rsid w:val="00012808"/>
    <w:rsid w:val="000128C0"/>
    <w:rsid w:val="00012BFF"/>
    <w:rsid w:val="0001397D"/>
    <w:rsid w:val="00014278"/>
    <w:rsid w:val="000143D0"/>
    <w:rsid w:val="000149D5"/>
    <w:rsid w:val="000165E7"/>
    <w:rsid w:val="00016CB0"/>
    <w:rsid w:val="00017ACF"/>
    <w:rsid w:val="00017C84"/>
    <w:rsid w:val="00017F73"/>
    <w:rsid w:val="00020B08"/>
    <w:rsid w:val="00022138"/>
    <w:rsid w:val="00025B8D"/>
    <w:rsid w:val="00025F8A"/>
    <w:rsid w:val="0002738A"/>
    <w:rsid w:val="000277D7"/>
    <w:rsid w:val="00027967"/>
    <w:rsid w:val="00030C0C"/>
    <w:rsid w:val="00031C49"/>
    <w:rsid w:val="00032B15"/>
    <w:rsid w:val="0003308E"/>
    <w:rsid w:val="000333C2"/>
    <w:rsid w:val="000342A4"/>
    <w:rsid w:val="00035C20"/>
    <w:rsid w:val="0003626C"/>
    <w:rsid w:val="0003783A"/>
    <w:rsid w:val="00040AC6"/>
    <w:rsid w:val="00040CB2"/>
    <w:rsid w:val="000423C7"/>
    <w:rsid w:val="00042D1A"/>
    <w:rsid w:val="0004462B"/>
    <w:rsid w:val="00045655"/>
    <w:rsid w:val="000456EE"/>
    <w:rsid w:val="000461AD"/>
    <w:rsid w:val="000465AA"/>
    <w:rsid w:val="00046E11"/>
    <w:rsid w:val="000478B2"/>
    <w:rsid w:val="00047F77"/>
    <w:rsid w:val="00051D4E"/>
    <w:rsid w:val="0005206A"/>
    <w:rsid w:val="000528C9"/>
    <w:rsid w:val="0005460F"/>
    <w:rsid w:val="00055F16"/>
    <w:rsid w:val="000570CB"/>
    <w:rsid w:val="0006098A"/>
    <w:rsid w:val="000612A4"/>
    <w:rsid w:val="000612E1"/>
    <w:rsid w:val="00061D90"/>
    <w:rsid w:val="00062351"/>
    <w:rsid w:val="00063452"/>
    <w:rsid w:val="000638BC"/>
    <w:rsid w:val="00063BE5"/>
    <w:rsid w:val="00063CA7"/>
    <w:rsid w:val="00063D3D"/>
    <w:rsid w:val="00063F4D"/>
    <w:rsid w:val="00064934"/>
    <w:rsid w:val="00066DEB"/>
    <w:rsid w:val="00066ED7"/>
    <w:rsid w:val="000676E0"/>
    <w:rsid w:val="00067AE8"/>
    <w:rsid w:val="00067B33"/>
    <w:rsid w:val="00070049"/>
    <w:rsid w:val="0007146E"/>
    <w:rsid w:val="00072FC3"/>
    <w:rsid w:val="00077155"/>
    <w:rsid w:val="0008065D"/>
    <w:rsid w:val="000832A6"/>
    <w:rsid w:val="00083824"/>
    <w:rsid w:val="00084216"/>
    <w:rsid w:val="00084D70"/>
    <w:rsid w:val="00086608"/>
    <w:rsid w:val="00087CB2"/>
    <w:rsid w:val="00090828"/>
    <w:rsid w:val="000909D7"/>
    <w:rsid w:val="00092BA5"/>
    <w:rsid w:val="00093871"/>
    <w:rsid w:val="00093D5D"/>
    <w:rsid w:val="00094292"/>
    <w:rsid w:val="00094DE5"/>
    <w:rsid w:val="00096B90"/>
    <w:rsid w:val="000971E5"/>
    <w:rsid w:val="00097F60"/>
    <w:rsid w:val="000A2212"/>
    <w:rsid w:val="000A7745"/>
    <w:rsid w:val="000B100F"/>
    <w:rsid w:val="000B1420"/>
    <w:rsid w:val="000B1C27"/>
    <w:rsid w:val="000B35C9"/>
    <w:rsid w:val="000B36A0"/>
    <w:rsid w:val="000B4285"/>
    <w:rsid w:val="000B43FD"/>
    <w:rsid w:val="000B47DA"/>
    <w:rsid w:val="000B665B"/>
    <w:rsid w:val="000B6BD3"/>
    <w:rsid w:val="000B71AA"/>
    <w:rsid w:val="000B7410"/>
    <w:rsid w:val="000C0748"/>
    <w:rsid w:val="000C377C"/>
    <w:rsid w:val="000C5D62"/>
    <w:rsid w:val="000C621F"/>
    <w:rsid w:val="000D462F"/>
    <w:rsid w:val="000D4651"/>
    <w:rsid w:val="000D791D"/>
    <w:rsid w:val="000E020B"/>
    <w:rsid w:val="000E06DC"/>
    <w:rsid w:val="000E2CD3"/>
    <w:rsid w:val="000E4008"/>
    <w:rsid w:val="000E62F9"/>
    <w:rsid w:val="000E6417"/>
    <w:rsid w:val="000E6846"/>
    <w:rsid w:val="000E6887"/>
    <w:rsid w:val="000E7D61"/>
    <w:rsid w:val="000F179F"/>
    <w:rsid w:val="000F4A71"/>
    <w:rsid w:val="000F5D19"/>
    <w:rsid w:val="000F5EB1"/>
    <w:rsid w:val="000F762C"/>
    <w:rsid w:val="000F76CB"/>
    <w:rsid w:val="00103446"/>
    <w:rsid w:val="00104BB3"/>
    <w:rsid w:val="001061C3"/>
    <w:rsid w:val="00110FEF"/>
    <w:rsid w:val="001111A8"/>
    <w:rsid w:val="00113BC9"/>
    <w:rsid w:val="00115885"/>
    <w:rsid w:val="00117C27"/>
    <w:rsid w:val="001201A2"/>
    <w:rsid w:val="001227CB"/>
    <w:rsid w:val="00122C3D"/>
    <w:rsid w:val="001232F7"/>
    <w:rsid w:val="00134557"/>
    <w:rsid w:val="00135128"/>
    <w:rsid w:val="00136F90"/>
    <w:rsid w:val="001371F7"/>
    <w:rsid w:val="00142B7E"/>
    <w:rsid w:val="00142D20"/>
    <w:rsid w:val="0014635A"/>
    <w:rsid w:val="00146395"/>
    <w:rsid w:val="001501A9"/>
    <w:rsid w:val="00151031"/>
    <w:rsid w:val="00155476"/>
    <w:rsid w:val="001628AA"/>
    <w:rsid w:val="00164181"/>
    <w:rsid w:val="00165460"/>
    <w:rsid w:val="00170550"/>
    <w:rsid w:val="0017090E"/>
    <w:rsid w:val="00176C6C"/>
    <w:rsid w:val="0018348C"/>
    <w:rsid w:val="00184319"/>
    <w:rsid w:val="00185B7D"/>
    <w:rsid w:val="001866C4"/>
    <w:rsid w:val="001867AE"/>
    <w:rsid w:val="00193336"/>
    <w:rsid w:val="001945DB"/>
    <w:rsid w:val="00195886"/>
    <w:rsid w:val="0019649F"/>
    <w:rsid w:val="00196E21"/>
    <w:rsid w:val="001A110D"/>
    <w:rsid w:val="001A15F9"/>
    <w:rsid w:val="001A3F93"/>
    <w:rsid w:val="001A4397"/>
    <w:rsid w:val="001A483E"/>
    <w:rsid w:val="001A7A42"/>
    <w:rsid w:val="001A7BE0"/>
    <w:rsid w:val="001B0088"/>
    <w:rsid w:val="001B0D4A"/>
    <w:rsid w:val="001B2E5B"/>
    <w:rsid w:val="001B36CB"/>
    <w:rsid w:val="001B3900"/>
    <w:rsid w:val="001B5ADD"/>
    <w:rsid w:val="001B63BA"/>
    <w:rsid w:val="001B6CB5"/>
    <w:rsid w:val="001B7D9B"/>
    <w:rsid w:val="001C0159"/>
    <w:rsid w:val="001C1677"/>
    <w:rsid w:val="001C1C34"/>
    <w:rsid w:val="001C367B"/>
    <w:rsid w:val="001C36B5"/>
    <w:rsid w:val="001C4105"/>
    <w:rsid w:val="001C4B97"/>
    <w:rsid w:val="001C4F4C"/>
    <w:rsid w:val="001C529F"/>
    <w:rsid w:val="001C5565"/>
    <w:rsid w:val="001C73EB"/>
    <w:rsid w:val="001D05FD"/>
    <w:rsid w:val="001D0A75"/>
    <w:rsid w:val="001D1D0E"/>
    <w:rsid w:val="001E43BF"/>
    <w:rsid w:val="001E44DB"/>
    <w:rsid w:val="001E44E6"/>
    <w:rsid w:val="001E478D"/>
    <w:rsid w:val="001E4AC2"/>
    <w:rsid w:val="001E586C"/>
    <w:rsid w:val="001E5BE8"/>
    <w:rsid w:val="001E5D5A"/>
    <w:rsid w:val="001F13E5"/>
    <w:rsid w:val="001F219F"/>
    <w:rsid w:val="001F4B01"/>
    <w:rsid w:val="001F7342"/>
    <w:rsid w:val="0020049F"/>
    <w:rsid w:val="00202ABF"/>
    <w:rsid w:val="00203546"/>
    <w:rsid w:val="00203C62"/>
    <w:rsid w:val="0020601D"/>
    <w:rsid w:val="002073A2"/>
    <w:rsid w:val="00210A27"/>
    <w:rsid w:val="00210A65"/>
    <w:rsid w:val="002145A2"/>
    <w:rsid w:val="00217745"/>
    <w:rsid w:val="00220AA0"/>
    <w:rsid w:val="00220B42"/>
    <w:rsid w:val="00220D60"/>
    <w:rsid w:val="002213CA"/>
    <w:rsid w:val="00221977"/>
    <w:rsid w:val="002232B8"/>
    <w:rsid w:val="00225162"/>
    <w:rsid w:val="00226169"/>
    <w:rsid w:val="00226281"/>
    <w:rsid w:val="0022680C"/>
    <w:rsid w:val="002274B4"/>
    <w:rsid w:val="00227C7A"/>
    <w:rsid w:val="0023317D"/>
    <w:rsid w:val="00234357"/>
    <w:rsid w:val="00235574"/>
    <w:rsid w:val="00236449"/>
    <w:rsid w:val="00240DBE"/>
    <w:rsid w:val="00243197"/>
    <w:rsid w:val="00244442"/>
    <w:rsid w:val="00244C34"/>
    <w:rsid w:val="002506C1"/>
    <w:rsid w:val="0025085D"/>
    <w:rsid w:val="00250C29"/>
    <w:rsid w:val="00250C2B"/>
    <w:rsid w:val="00250EEF"/>
    <w:rsid w:val="00251C58"/>
    <w:rsid w:val="00252AD8"/>
    <w:rsid w:val="00253F83"/>
    <w:rsid w:val="00254055"/>
    <w:rsid w:val="0025544C"/>
    <w:rsid w:val="002557BC"/>
    <w:rsid w:val="00266DDA"/>
    <w:rsid w:val="00266E1F"/>
    <w:rsid w:val="00273986"/>
    <w:rsid w:val="00275961"/>
    <w:rsid w:val="00276D52"/>
    <w:rsid w:val="00277C8D"/>
    <w:rsid w:val="002801AB"/>
    <w:rsid w:val="00282C3D"/>
    <w:rsid w:val="00282ED9"/>
    <w:rsid w:val="0028641C"/>
    <w:rsid w:val="00286471"/>
    <w:rsid w:val="00287ECE"/>
    <w:rsid w:val="00291755"/>
    <w:rsid w:val="00292C58"/>
    <w:rsid w:val="00293887"/>
    <w:rsid w:val="00293C68"/>
    <w:rsid w:val="00294422"/>
    <w:rsid w:val="00296C58"/>
    <w:rsid w:val="002A063C"/>
    <w:rsid w:val="002A17AF"/>
    <w:rsid w:val="002A187C"/>
    <w:rsid w:val="002A22E1"/>
    <w:rsid w:val="002A26DF"/>
    <w:rsid w:val="002A3FF0"/>
    <w:rsid w:val="002A45FF"/>
    <w:rsid w:val="002A4629"/>
    <w:rsid w:val="002A572A"/>
    <w:rsid w:val="002A5796"/>
    <w:rsid w:val="002B0CDF"/>
    <w:rsid w:val="002B113F"/>
    <w:rsid w:val="002B17E4"/>
    <w:rsid w:val="002B1A87"/>
    <w:rsid w:val="002B1F1A"/>
    <w:rsid w:val="002B2319"/>
    <w:rsid w:val="002B2A40"/>
    <w:rsid w:val="002B325A"/>
    <w:rsid w:val="002B45C8"/>
    <w:rsid w:val="002B62B4"/>
    <w:rsid w:val="002C289B"/>
    <w:rsid w:val="002C404B"/>
    <w:rsid w:val="002C4248"/>
    <w:rsid w:val="002C5963"/>
    <w:rsid w:val="002C63AF"/>
    <w:rsid w:val="002C7901"/>
    <w:rsid w:val="002D03BF"/>
    <w:rsid w:val="002D04BD"/>
    <w:rsid w:val="002D2A60"/>
    <w:rsid w:val="002D5D6F"/>
    <w:rsid w:val="002D648F"/>
    <w:rsid w:val="002D6D8F"/>
    <w:rsid w:val="002E0C46"/>
    <w:rsid w:val="002E4A5B"/>
    <w:rsid w:val="002E7C0F"/>
    <w:rsid w:val="002F061B"/>
    <w:rsid w:val="002F0ED8"/>
    <w:rsid w:val="002F514B"/>
    <w:rsid w:val="002F679A"/>
    <w:rsid w:val="00300478"/>
    <w:rsid w:val="0030182B"/>
    <w:rsid w:val="00302DD4"/>
    <w:rsid w:val="00304346"/>
    <w:rsid w:val="003050E6"/>
    <w:rsid w:val="003055E9"/>
    <w:rsid w:val="003069D1"/>
    <w:rsid w:val="00311A71"/>
    <w:rsid w:val="00313550"/>
    <w:rsid w:val="00313779"/>
    <w:rsid w:val="00313BA7"/>
    <w:rsid w:val="00321304"/>
    <w:rsid w:val="003256F2"/>
    <w:rsid w:val="00326B10"/>
    <w:rsid w:val="0032713F"/>
    <w:rsid w:val="0033302F"/>
    <w:rsid w:val="003361BA"/>
    <w:rsid w:val="00336B74"/>
    <w:rsid w:val="003402E6"/>
    <w:rsid w:val="00341039"/>
    <w:rsid w:val="00341DCB"/>
    <w:rsid w:val="003429DA"/>
    <w:rsid w:val="0034303D"/>
    <w:rsid w:val="00343D55"/>
    <w:rsid w:val="00345F7B"/>
    <w:rsid w:val="003460F4"/>
    <w:rsid w:val="00347DD0"/>
    <w:rsid w:val="00351E5C"/>
    <w:rsid w:val="00353FBD"/>
    <w:rsid w:val="003543CD"/>
    <w:rsid w:val="00355B9A"/>
    <w:rsid w:val="003573F1"/>
    <w:rsid w:val="003639D4"/>
    <w:rsid w:val="00364183"/>
    <w:rsid w:val="00365367"/>
    <w:rsid w:val="00366151"/>
    <w:rsid w:val="00367385"/>
    <w:rsid w:val="003706C3"/>
    <w:rsid w:val="003719ED"/>
    <w:rsid w:val="00372D6D"/>
    <w:rsid w:val="00373F70"/>
    <w:rsid w:val="003750FE"/>
    <w:rsid w:val="00375DC1"/>
    <w:rsid w:val="003772FA"/>
    <w:rsid w:val="00383153"/>
    <w:rsid w:val="003833D8"/>
    <w:rsid w:val="00384466"/>
    <w:rsid w:val="00386088"/>
    <w:rsid w:val="00386B08"/>
    <w:rsid w:val="0038738D"/>
    <w:rsid w:val="00392D79"/>
    <w:rsid w:val="0039312C"/>
    <w:rsid w:val="003937C1"/>
    <w:rsid w:val="00395FDE"/>
    <w:rsid w:val="00396955"/>
    <w:rsid w:val="00396D1D"/>
    <w:rsid w:val="00397547"/>
    <w:rsid w:val="003A02F6"/>
    <w:rsid w:val="003A07E4"/>
    <w:rsid w:val="003A38AA"/>
    <w:rsid w:val="003A5C54"/>
    <w:rsid w:val="003A62B5"/>
    <w:rsid w:val="003A6D28"/>
    <w:rsid w:val="003A7E54"/>
    <w:rsid w:val="003B066D"/>
    <w:rsid w:val="003B09E7"/>
    <w:rsid w:val="003B28C9"/>
    <w:rsid w:val="003B2C18"/>
    <w:rsid w:val="003B2DEC"/>
    <w:rsid w:val="003B5EBD"/>
    <w:rsid w:val="003B6855"/>
    <w:rsid w:val="003C0157"/>
    <w:rsid w:val="003C1F31"/>
    <w:rsid w:val="003C2157"/>
    <w:rsid w:val="003C4DBC"/>
    <w:rsid w:val="003C58DE"/>
    <w:rsid w:val="003C6B00"/>
    <w:rsid w:val="003C7AAE"/>
    <w:rsid w:val="003C7BE9"/>
    <w:rsid w:val="003D2CEF"/>
    <w:rsid w:val="003D3A1C"/>
    <w:rsid w:val="003D6D6E"/>
    <w:rsid w:val="003E04A1"/>
    <w:rsid w:val="003E1198"/>
    <w:rsid w:val="003E3384"/>
    <w:rsid w:val="003E7C56"/>
    <w:rsid w:val="003F08A9"/>
    <w:rsid w:val="003F1671"/>
    <w:rsid w:val="003F223A"/>
    <w:rsid w:val="003F301C"/>
    <w:rsid w:val="003F31A5"/>
    <w:rsid w:val="003F3ECC"/>
    <w:rsid w:val="003F4727"/>
    <w:rsid w:val="003F4BB0"/>
    <w:rsid w:val="00401573"/>
    <w:rsid w:val="004032C7"/>
    <w:rsid w:val="004035AC"/>
    <w:rsid w:val="00403C22"/>
    <w:rsid w:val="004042E2"/>
    <w:rsid w:val="00405D6E"/>
    <w:rsid w:val="00406564"/>
    <w:rsid w:val="00407129"/>
    <w:rsid w:val="0040788A"/>
    <w:rsid w:val="00410AC8"/>
    <w:rsid w:val="00411C89"/>
    <w:rsid w:val="0041301E"/>
    <w:rsid w:val="00414A25"/>
    <w:rsid w:val="00416649"/>
    <w:rsid w:val="004167ED"/>
    <w:rsid w:val="00417169"/>
    <w:rsid w:val="004177E8"/>
    <w:rsid w:val="00420AF9"/>
    <w:rsid w:val="00422F3E"/>
    <w:rsid w:val="00423F99"/>
    <w:rsid w:val="004243F7"/>
    <w:rsid w:val="00426FBD"/>
    <w:rsid w:val="00427D38"/>
    <w:rsid w:val="00427D69"/>
    <w:rsid w:val="00427F3A"/>
    <w:rsid w:val="00430662"/>
    <w:rsid w:val="00432BC7"/>
    <w:rsid w:val="00433AFD"/>
    <w:rsid w:val="004377A8"/>
    <w:rsid w:val="00442792"/>
    <w:rsid w:val="00443B83"/>
    <w:rsid w:val="00443F37"/>
    <w:rsid w:val="00445B8C"/>
    <w:rsid w:val="00445CC3"/>
    <w:rsid w:val="00447BA5"/>
    <w:rsid w:val="004501A4"/>
    <w:rsid w:val="00451AC6"/>
    <w:rsid w:val="00451F58"/>
    <w:rsid w:val="00451FA6"/>
    <w:rsid w:val="00452E2B"/>
    <w:rsid w:val="00456AD2"/>
    <w:rsid w:val="0045770F"/>
    <w:rsid w:val="004627A3"/>
    <w:rsid w:val="00464AB2"/>
    <w:rsid w:val="00465552"/>
    <w:rsid w:val="00467AD6"/>
    <w:rsid w:val="00470B15"/>
    <w:rsid w:val="0047104A"/>
    <w:rsid w:val="00472DAF"/>
    <w:rsid w:val="00474108"/>
    <w:rsid w:val="00475979"/>
    <w:rsid w:val="00475D11"/>
    <w:rsid w:val="00480A8D"/>
    <w:rsid w:val="00480EE3"/>
    <w:rsid w:val="004815D2"/>
    <w:rsid w:val="00482B70"/>
    <w:rsid w:val="00483153"/>
    <w:rsid w:val="0048315E"/>
    <w:rsid w:val="004838BB"/>
    <w:rsid w:val="0048712C"/>
    <w:rsid w:val="00487230"/>
    <w:rsid w:val="0048736A"/>
    <w:rsid w:val="00491A4D"/>
    <w:rsid w:val="00492153"/>
    <w:rsid w:val="00493F0B"/>
    <w:rsid w:val="00494615"/>
    <w:rsid w:val="00494977"/>
    <w:rsid w:val="00494C8A"/>
    <w:rsid w:val="00495074"/>
    <w:rsid w:val="0049674C"/>
    <w:rsid w:val="00496D81"/>
    <w:rsid w:val="00497C68"/>
    <w:rsid w:val="00497E07"/>
    <w:rsid w:val="00497FB5"/>
    <w:rsid w:val="004A341F"/>
    <w:rsid w:val="004A41BF"/>
    <w:rsid w:val="004A4D92"/>
    <w:rsid w:val="004A75E0"/>
    <w:rsid w:val="004B0B45"/>
    <w:rsid w:val="004B2E02"/>
    <w:rsid w:val="004B2F72"/>
    <w:rsid w:val="004C0BEB"/>
    <w:rsid w:val="004C19DF"/>
    <w:rsid w:val="004C469A"/>
    <w:rsid w:val="004C7E13"/>
    <w:rsid w:val="004D0214"/>
    <w:rsid w:val="004D103D"/>
    <w:rsid w:val="004D1B7E"/>
    <w:rsid w:val="004D2016"/>
    <w:rsid w:val="004D37F4"/>
    <w:rsid w:val="004D3A0B"/>
    <w:rsid w:val="004D3DC6"/>
    <w:rsid w:val="004D5B72"/>
    <w:rsid w:val="004D7E8B"/>
    <w:rsid w:val="004E0AA6"/>
    <w:rsid w:val="004E1002"/>
    <w:rsid w:val="004E18DA"/>
    <w:rsid w:val="004E32CD"/>
    <w:rsid w:val="004E346C"/>
    <w:rsid w:val="004E4878"/>
    <w:rsid w:val="004E6D7D"/>
    <w:rsid w:val="004F04BD"/>
    <w:rsid w:val="004F0D2A"/>
    <w:rsid w:val="004F1925"/>
    <w:rsid w:val="004F1C51"/>
    <w:rsid w:val="004F20A5"/>
    <w:rsid w:val="004F2F5A"/>
    <w:rsid w:val="004F33D0"/>
    <w:rsid w:val="004F404C"/>
    <w:rsid w:val="004F5E8E"/>
    <w:rsid w:val="004F708D"/>
    <w:rsid w:val="00500B22"/>
    <w:rsid w:val="00502946"/>
    <w:rsid w:val="005074D6"/>
    <w:rsid w:val="00510A8B"/>
    <w:rsid w:val="00512803"/>
    <w:rsid w:val="0051357C"/>
    <w:rsid w:val="005150F3"/>
    <w:rsid w:val="00516E2E"/>
    <w:rsid w:val="0051738A"/>
    <w:rsid w:val="00520AFE"/>
    <w:rsid w:val="00522EF8"/>
    <w:rsid w:val="00525D5F"/>
    <w:rsid w:val="00527FEA"/>
    <w:rsid w:val="0053028C"/>
    <w:rsid w:val="00531013"/>
    <w:rsid w:val="0053137E"/>
    <w:rsid w:val="00534DEF"/>
    <w:rsid w:val="00535059"/>
    <w:rsid w:val="00537362"/>
    <w:rsid w:val="00541A23"/>
    <w:rsid w:val="00544AE4"/>
    <w:rsid w:val="00544DC9"/>
    <w:rsid w:val="00545762"/>
    <w:rsid w:val="00545E4C"/>
    <w:rsid w:val="005475AF"/>
    <w:rsid w:val="005500D7"/>
    <w:rsid w:val="00551068"/>
    <w:rsid w:val="0055232C"/>
    <w:rsid w:val="00553EE2"/>
    <w:rsid w:val="0055616C"/>
    <w:rsid w:val="005607C7"/>
    <w:rsid w:val="0056408A"/>
    <w:rsid w:val="00564EEB"/>
    <w:rsid w:val="00565427"/>
    <w:rsid w:val="00566AFB"/>
    <w:rsid w:val="005679AE"/>
    <w:rsid w:val="00567BE6"/>
    <w:rsid w:val="00567CBB"/>
    <w:rsid w:val="00570274"/>
    <w:rsid w:val="005707C8"/>
    <w:rsid w:val="00573D3B"/>
    <w:rsid w:val="00573DC5"/>
    <w:rsid w:val="00575E80"/>
    <w:rsid w:val="00576B3A"/>
    <w:rsid w:val="00577BA8"/>
    <w:rsid w:val="005816DC"/>
    <w:rsid w:val="005823E3"/>
    <w:rsid w:val="00582DEF"/>
    <w:rsid w:val="00583074"/>
    <w:rsid w:val="00583312"/>
    <w:rsid w:val="005839CF"/>
    <w:rsid w:val="00584A7B"/>
    <w:rsid w:val="00584F89"/>
    <w:rsid w:val="00585856"/>
    <w:rsid w:val="0059128D"/>
    <w:rsid w:val="00591DAC"/>
    <w:rsid w:val="00593206"/>
    <w:rsid w:val="00593234"/>
    <w:rsid w:val="00594461"/>
    <w:rsid w:val="005A048B"/>
    <w:rsid w:val="005A0CBA"/>
    <w:rsid w:val="005A2666"/>
    <w:rsid w:val="005A34E3"/>
    <w:rsid w:val="005A53A4"/>
    <w:rsid w:val="005A6352"/>
    <w:rsid w:val="005A6509"/>
    <w:rsid w:val="005A7F52"/>
    <w:rsid w:val="005B0E6F"/>
    <w:rsid w:val="005B20BF"/>
    <w:rsid w:val="005B5186"/>
    <w:rsid w:val="005B51CB"/>
    <w:rsid w:val="005B63D6"/>
    <w:rsid w:val="005B6E3E"/>
    <w:rsid w:val="005B70B3"/>
    <w:rsid w:val="005C0827"/>
    <w:rsid w:val="005C2D65"/>
    <w:rsid w:val="005C40DB"/>
    <w:rsid w:val="005C5609"/>
    <w:rsid w:val="005C5DB8"/>
    <w:rsid w:val="005C6380"/>
    <w:rsid w:val="005D1FFF"/>
    <w:rsid w:val="005D2128"/>
    <w:rsid w:val="005D5E5C"/>
    <w:rsid w:val="005D60D8"/>
    <w:rsid w:val="005D7702"/>
    <w:rsid w:val="005E0BF6"/>
    <w:rsid w:val="005E11AE"/>
    <w:rsid w:val="005E19E6"/>
    <w:rsid w:val="005E5614"/>
    <w:rsid w:val="005E5D25"/>
    <w:rsid w:val="005E630D"/>
    <w:rsid w:val="005E6F56"/>
    <w:rsid w:val="005E73E4"/>
    <w:rsid w:val="005E7E86"/>
    <w:rsid w:val="005F0A82"/>
    <w:rsid w:val="005F1DDA"/>
    <w:rsid w:val="005F2A3D"/>
    <w:rsid w:val="005F5181"/>
    <w:rsid w:val="005F6909"/>
    <w:rsid w:val="005F7156"/>
    <w:rsid w:val="00600A54"/>
    <w:rsid w:val="00602AA6"/>
    <w:rsid w:val="00602B1A"/>
    <w:rsid w:val="00603ADF"/>
    <w:rsid w:val="00604BB8"/>
    <w:rsid w:val="006055B4"/>
    <w:rsid w:val="006067D0"/>
    <w:rsid w:val="0060690F"/>
    <w:rsid w:val="00607860"/>
    <w:rsid w:val="006130DA"/>
    <w:rsid w:val="00613C2E"/>
    <w:rsid w:val="006141C6"/>
    <w:rsid w:val="0061524A"/>
    <w:rsid w:val="00615B3E"/>
    <w:rsid w:val="006166E5"/>
    <w:rsid w:val="00617E3B"/>
    <w:rsid w:val="00617F66"/>
    <w:rsid w:val="00622294"/>
    <w:rsid w:val="00630D5B"/>
    <w:rsid w:val="006319ED"/>
    <w:rsid w:val="006325A5"/>
    <w:rsid w:val="006331E5"/>
    <w:rsid w:val="00633892"/>
    <w:rsid w:val="00634D9C"/>
    <w:rsid w:val="006354BE"/>
    <w:rsid w:val="00637791"/>
    <w:rsid w:val="00637B8C"/>
    <w:rsid w:val="006415FE"/>
    <w:rsid w:val="00642DA3"/>
    <w:rsid w:val="00643747"/>
    <w:rsid w:val="00643999"/>
    <w:rsid w:val="00643C75"/>
    <w:rsid w:val="00647C11"/>
    <w:rsid w:val="0065204B"/>
    <w:rsid w:val="00655338"/>
    <w:rsid w:val="00656038"/>
    <w:rsid w:val="00657D0D"/>
    <w:rsid w:val="0066005F"/>
    <w:rsid w:val="0066195A"/>
    <w:rsid w:val="00661CEB"/>
    <w:rsid w:val="00664679"/>
    <w:rsid w:val="00666670"/>
    <w:rsid w:val="006679E0"/>
    <w:rsid w:val="006713A1"/>
    <w:rsid w:val="00671CA8"/>
    <w:rsid w:val="00672034"/>
    <w:rsid w:val="00674B2E"/>
    <w:rsid w:val="006759AD"/>
    <w:rsid w:val="00676ABB"/>
    <w:rsid w:val="00677591"/>
    <w:rsid w:val="0068464D"/>
    <w:rsid w:val="00684B35"/>
    <w:rsid w:val="0068523C"/>
    <w:rsid w:val="00687DC0"/>
    <w:rsid w:val="00687E9F"/>
    <w:rsid w:val="00690403"/>
    <w:rsid w:val="006904B1"/>
    <w:rsid w:val="00691F1D"/>
    <w:rsid w:val="006930D3"/>
    <w:rsid w:val="00694B38"/>
    <w:rsid w:val="006955F5"/>
    <w:rsid w:val="0069677B"/>
    <w:rsid w:val="00696A52"/>
    <w:rsid w:val="006971F2"/>
    <w:rsid w:val="006A0A06"/>
    <w:rsid w:val="006A2B6C"/>
    <w:rsid w:val="006A2E6C"/>
    <w:rsid w:val="006A3A22"/>
    <w:rsid w:val="006A61AE"/>
    <w:rsid w:val="006A6538"/>
    <w:rsid w:val="006A6BB8"/>
    <w:rsid w:val="006A746D"/>
    <w:rsid w:val="006B00BE"/>
    <w:rsid w:val="006B2E19"/>
    <w:rsid w:val="006B47B8"/>
    <w:rsid w:val="006B4F1B"/>
    <w:rsid w:val="006B7A37"/>
    <w:rsid w:val="006C7017"/>
    <w:rsid w:val="006D0A89"/>
    <w:rsid w:val="006D109A"/>
    <w:rsid w:val="006D1C1E"/>
    <w:rsid w:val="006D251D"/>
    <w:rsid w:val="006D28EA"/>
    <w:rsid w:val="006D2F8A"/>
    <w:rsid w:val="006D3743"/>
    <w:rsid w:val="006D4D99"/>
    <w:rsid w:val="006E16BA"/>
    <w:rsid w:val="006E1C9A"/>
    <w:rsid w:val="006E2DE9"/>
    <w:rsid w:val="006E5130"/>
    <w:rsid w:val="006E7CBC"/>
    <w:rsid w:val="006F3425"/>
    <w:rsid w:val="006F4BBE"/>
    <w:rsid w:val="006F4F03"/>
    <w:rsid w:val="006F6F7F"/>
    <w:rsid w:val="006F7109"/>
    <w:rsid w:val="006F7394"/>
    <w:rsid w:val="0070019F"/>
    <w:rsid w:val="007001F9"/>
    <w:rsid w:val="0070111A"/>
    <w:rsid w:val="00701416"/>
    <w:rsid w:val="00701C46"/>
    <w:rsid w:val="007035D0"/>
    <w:rsid w:val="007038AD"/>
    <w:rsid w:val="00703EDD"/>
    <w:rsid w:val="0070409C"/>
    <w:rsid w:val="00704730"/>
    <w:rsid w:val="00710122"/>
    <w:rsid w:val="00713039"/>
    <w:rsid w:val="007132BA"/>
    <w:rsid w:val="0071402D"/>
    <w:rsid w:val="00714D73"/>
    <w:rsid w:val="007163D3"/>
    <w:rsid w:val="0071665F"/>
    <w:rsid w:val="00717169"/>
    <w:rsid w:val="00717FF0"/>
    <w:rsid w:val="00720DF0"/>
    <w:rsid w:val="00721E29"/>
    <w:rsid w:val="007228CC"/>
    <w:rsid w:val="007258A5"/>
    <w:rsid w:val="007258FF"/>
    <w:rsid w:val="00730C46"/>
    <w:rsid w:val="00731B99"/>
    <w:rsid w:val="007366D9"/>
    <w:rsid w:val="007415C7"/>
    <w:rsid w:val="00743DC1"/>
    <w:rsid w:val="00744D5D"/>
    <w:rsid w:val="00745BF1"/>
    <w:rsid w:val="00747446"/>
    <w:rsid w:val="00750128"/>
    <w:rsid w:val="00750308"/>
    <w:rsid w:val="00750E0C"/>
    <w:rsid w:val="00751CEF"/>
    <w:rsid w:val="00752C77"/>
    <w:rsid w:val="007539AC"/>
    <w:rsid w:val="00753F34"/>
    <w:rsid w:val="00760728"/>
    <w:rsid w:val="00760DD4"/>
    <w:rsid w:val="0076110B"/>
    <w:rsid w:val="00762B46"/>
    <w:rsid w:val="0076351F"/>
    <w:rsid w:val="007657A2"/>
    <w:rsid w:val="007657DE"/>
    <w:rsid w:val="00766D67"/>
    <w:rsid w:val="00767350"/>
    <w:rsid w:val="00767895"/>
    <w:rsid w:val="00767B17"/>
    <w:rsid w:val="00767DE3"/>
    <w:rsid w:val="00772385"/>
    <w:rsid w:val="007727F9"/>
    <w:rsid w:val="00772A21"/>
    <w:rsid w:val="00772B58"/>
    <w:rsid w:val="0077376A"/>
    <w:rsid w:val="00774FC2"/>
    <w:rsid w:val="00776927"/>
    <w:rsid w:val="007772A0"/>
    <w:rsid w:val="00777372"/>
    <w:rsid w:val="007773B2"/>
    <w:rsid w:val="00777AEF"/>
    <w:rsid w:val="00777D02"/>
    <w:rsid w:val="007801F2"/>
    <w:rsid w:val="00780E5B"/>
    <w:rsid w:val="00780FA0"/>
    <w:rsid w:val="00782F50"/>
    <w:rsid w:val="007861A8"/>
    <w:rsid w:val="00787414"/>
    <w:rsid w:val="007906CB"/>
    <w:rsid w:val="00792D4F"/>
    <w:rsid w:val="0079499E"/>
    <w:rsid w:val="00794F0A"/>
    <w:rsid w:val="007A0865"/>
    <w:rsid w:val="007A0DDA"/>
    <w:rsid w:val="007A2267"/>
    <w:rsid w:val="007A2D1D"/>
    <w:rsid w:val="007A2E79"/>
    <w:rsid w:val="007A30FF"/>
    <w:rsid w:val="007A33D8"/>
    <w:rsid w:val="007A3B0C"/>
    <w:rsid w:val="007A4889"/>
    <w:rsid w:val="007A5BF7"/>
    <w:rsid w:val="007A640D"/>
    <w:rsid w:val="007A7A05"/>
    <w:rsid w:val="007B1241"/>
    <w:rsid w:val="007B30AA"/>
    <w:rsid w:val="007B41BB"/>
    <w:rsid w:val="007B5231"/>
    <w:rsid w:val="007B6492"/>
    <w:rsid w:val="007B64D0"/>
    <w:rsid w:val="007B70EF"/>
    <w:rsid w:val="007B7169"/>
    <w:rsid w:val="007B77FE"/>
    <w:rsid w:val="007C0955"/>
    <w:rsid w:val="007C28B7"/>
    <w:rsid w:val="007C30D3"/>
    <w:rsid w:val="007C461D"/>
    <w:rsid w:val="007C4853"/>
    <w:rsid w:val="007C7448"/>
    <w:rsid w:val="007C7891"/>
    <w:rsid w:val="007D0E8C"/>
    <w:rsid w:val="007D213A"/>
    <w:rsid w:val="007D2196"/>
    <w:rsid w:val="007D2B6F"/>
    <w:rsid w:val="007D3D8C"/>
    <w:rsid w:val="007D43DC"/>
    <w:rsid w:val="007D44C8"/>
    <w:rsid w:val="007D642C"/>
    <w:rsid w:val="007D6BA6"/>
    <w:rsid w:val="007D7DC4"/>
    <w:rsid w:val="007E0151"/>
    <w:rsid w:val="007E05C5"/>
    <w:rsid w:val="007E1067"/>
    <w:rsid w:val="007E1171"/>
    <w:rsid w:val="007E1491"/>
    <w:rsid w:val="007E18A5"/>
    <w:rsid w:val="007E1D7D"/>
    <w:rsid w:val="007E46FD"/>
    <w:rsid w:val="007E65E6"/>
    <w:rsid w:val="007F059E"/>
    <w:rsid w:val="007F1BD0"/>
    <w:rsid w:val="007F207E"/>
    <w:rsid w:val="007F2A76"/>
    <w:rsid w:val="007F2DB8"/>
    <w:rsid w:val="007F367D"/>
    <w:rsid w:val="007F39F4"/>
    <w:rsid w:val="007F58C9"/>
    <w:rsid w:val="00800107"/>
    <w:rsid w:val="00801708"/>
    <w:rsid w:val="00801910"/>
    <w:rsid w:val="00803C2F"/>
    <w:rsid w:val="00804273"/>
    <w:rsid w:val="00805021"/>
    <w:rsid w:val="00805E13"/>
    <w:rsid w:val="008109F6"/>
    <w:rsid w:val="00810DF0"/>
    <w:rsid w:val="00812035"/>
    <w:rsid w:val="00814D50"/>
    <w:rsid w:val="00816041"/>
    <w:rsid w:val="00820C9D"/>
    <w:rsid w:val="00821274"/>
    <w:rsid w:val="008217C7"/>
    <w:rsid w:val="00821860"/>
    <w:rsid w:val="00825151"/>
    <w:rsid w:val="0082536C"/>
    <w:rsid w:val="00825472"/>
    <w:rsid w:val="00825802"/>
    <w:rsid w:val="00826BEA"/>
    <w:rsid w:val="00832494"/>
    <w:rsid w:val="0083306C"/>
    <w:rsid w:val="008330E8"/>
    <w:rsid w:val="00834304"/>
    <w:rsid w:val="00837DA5"/>
    <w:rsid w:val="00841876"/>
    <w:rsid w:val="0084275B"/>
    <w:rsid w:val="008442AC"/>
    <w:rsid w:val="008451D7"/>
    <w:rsid w:val="008518FE"/>
    <w:rsid w:val="00851962"/>
    <w:rsid w:val="00852D33"/>
    <w:rsid w:val="00855D30"/>
    <w:rsid w:val="0086028E"/>
    <w:rsid w:val="00862F3E"/>
    <w:rsid w:val="008639F8"/>
    <w:rsid w:val="00864346"/>
    <w:rsid w:val="008674BB"/>
    <w:rsid w:val="008675C6"/>
    <w:rsid w:val="00870142"/>
    <w:rsid w:val="008704C0"/>
    <w:rsid w:val="00870E2A"/>
    <w:rsid w:val="0087171A"/>
    <w:rsid w:val="00872785"/>
    <w:rsid w:val="00875561"/>
    <w:rsid w:val="0087655C"/>
    <w:rsid w:val="00882A74"/>
    <w:rsid w:val="00883FD6"/>
    <w:rsid w:val="00884A24"/>
    <w:rsid w:val="00886D47"/>
    <w:rsid w:val="00887359"/>
    <w:rsid w:val="00887483"/>
    <w:rsid w:val="00887722"/>
    <w:rsid w:val="00891053"/>
    <w:rsid w:val="0089147A"/>
    <w:rsid w:val="0089190D"/>
    <w:rsid w:val="008929BF"/>
    <w:rsid w:val="00892A53"/>
    <w:rsid w:val="00892AEA"/>
    <w:rsid w:val="008977F8"/>
    <w:rsid w:val="008A03F4"/>
    <w:rsid w:val="008A1DB5"/>
    <w:rsid w:val="008A1F86"/>
    <w:rsid w:val="008A33CA"/>
    <w:rsid w:val="008A3EE8"/>
    <w:rsid w:val="008A4440"/>
    <w:rsid w:val="008A49BC"/>
    <w:rsid w:val="008A5080"/>
    <w:rsid w:val="008A57A8"/>
    <w:rsid w:val="008B00EC"/>
    <w:rsid w:val="008B1D30"/>
    <w:rsid w:val="008B29AA"/>
    <w:rsid w:val="008B3216"/>
    <w:rsid w:val="008B4148"/>
    <w:rsid w:val="008B5BC7"/>
    <w:rsid w:val="008B6C75"/>
    <w:rsid w:val="008B717A"/>
    <w:rsid w:val="008B7891"/>
    <w:rsid w:val="008C2A01"/>
    <w:rsid w:val="008C2CD3"/>
    <w:rsid w:val="008C3F57"/>
    <w:rsid w:val="008C4200"/>
    <w:rsid w:val="008C5D69"/>
    <w:rsid w:val="008D0861"/>
    <w:rsid w:val="008D25F1"/>
    <w:rsid w:val="008D29C7"/>
    <w:rsid w:val="008D3577"/>
    <w:rsid w:val="008D6947"/>
    <w:rsid w:val="008D6ED3"/>
    <w:rsid w:val="008D7E3E"/>
    <w:rsid w:val="008E012D"/>
    <w:rsid w:val="008E0ABE"/>
    <w:rsid w:val="008E191E"/>
    <w:rsid w:val="008E3BE0"/>
    <w:rsid w:val="008E4B69"/>
    <w:rsid w:val="008E76F1"/>
    <w:rsid w:val="008F0F7B"/>
    <w:rsid w:val="008F2983"/>
    <w:rsid w:val="008F34A3"/>
    <w:rsid w:val="008F6815"/>
    <w:rsid w:val="00901513"/>
    <w:rsid w:val="00901FE6"/>
    <w:rsid w:val="00902313"/>
    <w:rsid w:val="00903842"/>
    <w:rsid w:val="009049AA"/>
    <w:rsid w:val="009073E9"/>
    <w:rsid w:val="009077FA"/>
    <w:rsid w:val="00907955"/>
    <w:rsid w:val="009105E4"/>
    <w:rsid w:val="00910F6D"/>
    <w:rsid w:val="00911516"/>
    <w:rsid w:val="009160E7"/>
    <w:rsid w:val="00917C67"/>
    <w:rsid w:val="00920C33"/>
    <w:rsid w:val="00920E4F"/>
    <w:rsid w:val="00921009"/>
    <w:rsid w:val="009213A2"/>
    <w:rsid w:val="00924163"/>
    <w:rsid w:val="00924574"/>
    <w:rsid w:val="0092602C"/>
    <w:rsid w:val="009269EB"/>
    <w:rsid w:val="00926C64"/>
    <w:rsid w:val="009271E9"/>
    <w:rsid w:val="00930DBC"/>
    <w:rsid w:val="0093221C"/>
    <w:rsid w:val="009338C0"/>
    <w:rsid w:val="00936938"/>
    <w:rsid w:val="009400C3"/>
    <w:rsid w:val="009403FE"/>
    <w:rsid w:val="00942EE7"/>
    <w:rsid w:val="009449B7"/>
    <w:rsid w:val="009501B5"/>
    <w:rsid w:val="00950291"/>
    <w:rsid w:val="00950359"/>
    <w:rsid w:val="00951344"/>
    <w:rsid w:val="0095211D"/>
    <w:rsid w:val="00954223"/>
    <w:rsid w:val="00954A62"/>
    <w:rsid w:val="00955267"/>
    <w:rsid w:val="00956EFB"/>
    <w:rsid w:val="0096120B"/>
    <w:rsid w:val="00961344"/>
    <w:rsid w:val="0096180C"/>
    <w:rsid w:val="009637C8"/>
    <w:rsid w:val="0096605D"/>
    <w:rsid w:val="009724FF"/>
    <w:rsid w:val="00972B3B"/>
    <w:rsid w:val="0097470D"/>
    <w:rsid w:val="0097483E"/>
    <w:rsid w:val="00980873"/>
    <w:rsid w:val="00980F06"/>
    <w:rsid w:val="009851F4"/>
    <w:rsid w:val="00985863"/>
    <w:rsid w:val="00987C2F"/>
    <w:rsid w:val="0099066C"/>
    <w:rsid w:val="00991225"/>
    <w:rsid w:val="009912B8"/>
    <w:rsid w:val="009929D1"/>
    <w:rsid w:val="0099326D"/>
    <w:rsid w:val="009A2689"/>
    <w:rsid w:val="009A2B50"/>
    <w:rsid w:val="009A559E"/>
    <w:rsid w:val="009B1472"/>
    <w:rsid w:val="009B1ADF"/>
    <w:rsid w:val="009B3258"/>
    <w:rsid w:val="009B447B"/>
    <w:rsid w:val="009B4A65"/>
    <w:rsid w:val="009B5F6F"/>
    <w:rsid w:val="009B70A5"/>
    <w:rsid w:val="009B71F7"/>
    <w:rsid w:val="009B73CB"/>
    <w:rsid w:val="009C11F5"/>
    <w:rsid w:val="009C16EC"/>
    <w:rsid w:val="009C48F7"/>
    <w:rsid w:val="009C52CD"/>
    <w:rsid w:val="009C69D2"/>
    <w:rsid w:val="009C6B13"/>
    <w:rsid w:val="009C711A"/>
    <w:rsid w:val="009D03B9"/>
    <w:rsid w:val="009D1419"/>
    <w:rsid w:val="009D18F6"/>
    <w:rsid w:val="009D286E"/>
    <w:rsid w:val="009D5EF9"/>
    <w:rsid w:val="009E0D1D"/>
    <w:rsid w:val="009E0E31"/>
    <w:rsid w:val="009E2300"/>
    <w:rsid w:val="009E24E6"/>
    <w:rsid w:val="009E4A06"/>
    <w:rsid w:val="009F0C7B"/>
    <w:rsid w:val="009F1237"/>
    <w:rsid w:val="009F3195"/>
    <w:rsid w:val="009F3B23"/>
    <w:rsid w:val="009F3E2C"/>
    <w:rsid w:val="009F4216"/>
    <w:rsid w:val="009F59AF"/>
    <w:rsid w:val="009F5CDC"/>
    <w:rsid w:val="009F7349"/>
    <w:rsid w:val="00A00C62"/>
    <w:rsid w:val="00A03276"/>
    <w:rsid w:val="00A045B6"/>
    <w:rsid w:val="00A04A46"/>
    <w:rsid w:val="00A073DE"/>
    <w:rsid w:val="00A1128D"/>
    <w:rsid w:val="00A114D4"/>
    <w:rsid w:val="00A119AB"/>
    <w:rsid w:val="00A15C92"/>
    <w:rsid w:val="00A20852"/>
    <w:rsid w:val="00A2581D"/>
    <w:rsid w:val="00A25A18"/>
    <w:rsid w:val="00A260A8"/>
    <w:rsid w:val="00A30389"/>
    <w:rsid w:val="00A31F94"/>
    <w:rsid w:val="00A328CB"/>
    <w:rsid w:val="00A34C7E"/>
    <w:rsid w:val="00A36806"/>
    <w:rsid w:val="00A36D87"/>
    <w:rsid w:val="00A37C30"/>
    <w:rsid w:val="00A40A3E"/>
    <w:rsid w:val="00A44976"/>
    <w:rsid w:val="00A44D48"/>
    <w:rsid w:val="00A45497"/>
    <w:rsid w:val="00A45A0F"/>
    <w:rsid w:val="00A46D4C"/>
    <w:rsid w:val="00A47255"/>
    <w:rsid w:val="00A50CA2"/>
    <w:rsid w:val="00A5226D"/>
    <w:rsid w:val="00A52A34"/>
    <w:rsid w:val="00A52C5D"/>
    <w:rsid w:val="00A54057"/>
    <w:rsid w:val="00A56EF9"/>
    <w:rsid w:val="00A57F94"/>
    <w:rsid w:val="00A62362"/>
    <w:rsid w:val="00A63561"/>
    <w:rsid w:val="00A7250C"/>
    <w:rsid w:val="00A733FB"/>
    <w:rsid w:val="00A75B36"/>
    <w:rsid w:val="00A83B20"/>
    <w:rsid w:val="00A84A5E"/>
    <w:rsid w:val="00A85401"/>
    <w:rsid w:val="00A86547"/>
    <w:rsid w:val="00A86755"/>
    <w:rsid w:val="00A92804"/>
    <w:rsid w:val="00A94971"/>
    <w:rsid w:val="00A951D7"/>
    <w:rsid w:val="00A96F6F"/>
    <w:rsid w:val="00A9738B"/>
    <w:rsid w:val="00AA04BD"/>
    <w:rsid w:val="00AA1338"/>
    <w:rsid w:val="00AA39BE"/>
    <w:rsid w:val="00AA459E"/>
    <w:rsid w:val="00AB03E9"/>
    <w:rsid w:val="00AB110C"/>
    <w:rsid w:val="00AB1978"/>
    <w:rsid w:val="00AB24BC"/>
    <w:rsid w:val="00AB297B"/>
    <w:rsid w:val="00AB2EF3"/>
    <w:rsid w:val="00AB627F"/>
    <w:rsid w:val="00AB6AFA"/>
    <w:rsid w:val="00AB7F89"/>
    <w:rsid w:val="00AC2654"/>
    <w:rsid w:val="00AC4767"/>
    <w:rsid w:val="00AC5228"/>
    <w:rsid w:val="00AC5CF5"/>
    <w:rsid w:val="00AD52D8"/>
    <w:rsid w:val="00AD5DE4"/>
    <w:rsid w:val="00AD704C"/>
    <w:rsid w:val="00AD7C7B"/>
    <w:rsid w:val="00AE21DF"/>
    <w:rsid w:val="00AE65B4"/>
    <w:rsid w:val="00AE7109"/>
    <w:rsid w:val="00AF0AD0"/>
    <w:rsid w:val="00AF0F28"/>
    <w:rsid w:val="00AF6F2B"/>
    <w:rsid w:val="00AF774F"/>
    <w:rsid w:val="00AF7B61"/>
    <w:rsid w:val="00B0019F"/>
    <w:rsid w:val="00B00515"/>
    <w:rsid w:val="00B0263E"/>
    <w:rsid w:val="00B03035"/>
    <w:rsid w:val="00B04504"/>
    <w:rsid w:val="00B05024"/>
    <w:rsid w:val="00B06B00"/>
    <w:rsid w:val="00B0791D"/>
    <w:rsid w:val="00B106B5"/>
    <w:rsid w:val="00B11AB5"/>
    <w:rsid w:val="00B148CF"/>
    <w:rsid w:val="00B21444"/>
    <w:rsid w:val="00B21884"/>
    <w:rsid w:val="00B2279F"/>
    <w:rsid w:val="00B24E90"/>
    <w:rsid w:val="00B26EB3"/>
    <w:rsid w:val="00B2746D"/>
    <w:rsid w:val="00B277A5"/>
    <w:rsid w:val="00B3029C"/>
    <w:rsid w:val="00B31677"/>
    <w:rsid w:val="00B33983"/>
    <w:rsid w:val="00B34301"/>
    <w:rsid w:val="00B3585E"/>
    <w:rsid w:val="00B3630C"/>
    <w:rsid w:val="00B36689"/>
    <w:rsid w:val="00B3699C"/>
    <w:rsid w:val="00B36A43"/>
    <w:rsid w:val="00B36AFB"/>
    <w:rsid w:val="00B36FCC"/>
    <w:rsid w:val="00B37D91"/>
    <w:rsid w:val="00B41791"/>
    <w:rsid w:val="00B421D1"/>
    <w:rsid w:val="00B43119"/>
    <w:rsid w:val="00B5056E"/>
    <w:rsid w:val="00B506CF"/>
    <w:rsid w:val="00B524E3"/>
    <w:rsid w:val="00B546DB"/>
    <w:rsid w:val="00B567DA"/>
    <w:rsid w:val="00B56C36"/>
    <w:rsid w:val="00B60826"/>
    <w:rsid w:val="00B60D5D"/>
    <w:rsid w:val="00B616F5"/>
    <w:rsid w:val="00B6171F"/>
    <w:rsid w:val="00B62363"/>
    <w:rsid w:val="00B6277D"/>
    <w:rsid w:val="00B66EFE"/>
    <w:rsid w:val="00B67439"/>
    <w:rsid w:val="00B678BD"/>
    <w:rsid w:val="00B71AEF"/>
    <w:rsid w:val="00B720D7"/>
    <w:rsid w:val="00B72F09"/>
    <w:rsid w:val="00B7564E"/>
    <w:rsid w:val="00B76A02"/>
    <w:rsid w:val="00B77648"/>
    <w:rsid w:val="00B81A6B"/>
    <w:rsid w:val="00B83682"/>
    <w:rsid w:val="00B8581B"/>
    <w:rsid w:val="00B86477"/>
    <w:rsid w:val="00B86BF8"/>
    <w:rsid w:val="00B86EF9"/>
    <w:rsid w:val="00B92BB4"/>
    <w:rsid w:val="00B93404"/>
    <w:rsid w:val="00B93E94"/>
    <w:rsid w:val="00B94D6D"/>
    <w:rsid w:val="00BA0244"/>
    <w:rsid w:val="00BA1028"/>
    <w:rsid w:val="00BA256D"/>
    <w:rsid w:val="00BA4645"/>
    <w:rsid w:val="00BA5A5A"/>
    <w:rsid w:val="00BA68FD"/>
    <w:rsid w:val="00BA6F0C"/>
    <w:rsid w:val="00BA7194"/>
    <w:rsid w:val="00BA740E"/>
    <w:rsid w:val="00BB02FD"/>
    <w:rsid w:val="00BB1A07"/>
    <w:rsid w:val="00BB22A8"/>
    <w:rsid w:val="00BB238C"/>
    <w:rsid w:val="00BB6FDC"/>
    <w:rsid w:val="00BB70FC"/>
    <w:rsid w:val="00BB791F"/>
    <w:rsid w:val="00BC07A0"/>
    <w:rsid w:val="00BC1F9B"/>
    <w:rsid w:val="00BC3E59"/>
    <w:rsid w:val="00BC4415"/>
    <w:rsid w:val="00BC6A37"/>
    <w:rsid w:val="00BD0191"/>
    <w:rsid w:val="00BD259B"/>
    <w:rsid w:val="00BD3121"/>
    <w:rsid w:val="00BD50BD"/>
    <w:rsid w:val="00BD5F70"/>
    <w:rsid w:val="00BD7343"/>
    <w:rsid w:val="00BD75A0"/>
    <w:rsid w:val="00BD75E9"/>
    <w:rsid w:val="00BD7697"/>
    <w:rsid w:val="00BD7EC2"/>
    <w:rsid w:val="00BE0418"/>
    <w:rsid w:val="00BE29B9"/>
    <w:rsid w:val="00BE452D"/>
    <w:rsid w:val="00BE4E57"/>
    <w:rsid w:val="00BE5D0F"/>
    <w:rsid w:val="00BE6128"/>
    <w:rsid w:val="00BE72D7"/>
    <w:rsid w:val="00BE7994"/>
    <w:rsid w:val="00BF27FF"/>
    <w:rsid w:val="00BF2D00"/>
    <w:rsid w:val="00BF35D9"/>
    <w:rsid w:val="00BF37A4"/>
    <w:rsid w:val="00BF37B1"/>
    <w:rsid w:val="00C01FEF"/>
    <w:rsid w:val="00C03284"/>
    <w:rsid w:val="00C04819"/>
    <w:rsid w:val="00C04F52"/>
    <w:rsid w:val="00C11B99"/>
    <w:rsid w:val="00C13BA0"/>
    <w:rsid w:val="00C1588C"/>
    <w:rsid w:val="00C15FE4"/>
    <w:rsid w:val="00C169C5"/>
    <w:rsid w:val="00C16D6D"/>
    <w:rsid w:val="00C17F5A"/>
    <w:rsid w:val="00C23E99"/>
    <w:rsid w:val="00C26BF7"/>
    <w:rsid w:val="00C27C93"/>
    <w:rsid w:val="00C27F8E"/>
    <w:rsid w:val="00C3061B"/>
    <w:rsid w:val="00C31217"/>
    <w:rsid w:val="00C31A4E"/>
    <w:rsid w:val="00C32368"/>
    <w:rsid w:val="00C32678"/>
    <w:rsid w:val="00C36D67"/>
    <w:rsid w:val="00C40F05"/>
    <w:rsid w:val="00C42D21"/>
    <w:rsid w:val="00C450C3"/>
    <w:rsid w:val="00C4585F"/>
    <w:rsid w:val="00C4624D"/>
    <w:rsid w:val="00C541D7"/>
    <w:rsid w:val="00C6115B"/>
    <w:rsid w:val="00C634A3"/>
    <w:rsid w:val="00C64826"/>
    <w:rsid w:val="00C64898"/>
    <w:rsid w:val="00C64D12"/>
    <w:rsid w:val="00C65EE8"/>
    <w:rsid w:val="00C66232"/>
    <w:rsid w:val="00C702AF"/>
    <w:rsid w:val="00C70877"/>
    <w:rsid w:val="00C70FDB"/>
    <w:rsid w:val="00C72AF2"/>
    <w:rsid w:val="00C736D0"/>
    <w:rsid w:val="00C74476"/>
    <w:rsid w:val="00C747D8"/>
    <w:rsid w:val="00C75619"/>
    <w:rsid w:val="00C75A3D"/>
    <w:rsid w:val="00C766D7"/>
    <w:rsid w:val="00C767DE"/>
    <w:rsid w:val="00C77803"/>
    <w:rsid w:val="00C77C6F"/>
    <w:rsid w:val="00C806C7"/>
    <w:rsid w:val="00C808A3"/>
    <w:rsid w:val="00C80FEB"/>
    <w:rsid w:val="00C815E6"/>
    <w:rsid w:val="00C831BA"/>
    <w:rsid w:val="00C8340F"/>
    <w:rsid w:val="00C83C27"/>
    <w:rsid w:val="00C87999"/>
    <w:rsid w:val="00C91D33"/>
    <w:rsid w:val="00C91F4A"/>
    <w:rsid w:val="00C9309E"/>
    <w:rsid w:val="00C94D28"/>
    <w:rsid w:val="00C95465"/>
    <w:rsid w:val="00C97953"/>
    <w:rsid w:val="00CA0482"/>
    <w:rsid w:val="00CA0997"/>
    <w:rsid w:val="00CA1120"/>
    <w:rsid w:val="00CA2D2F"/>
    <w:rsid w:val="00CA66BE"/>
    <w:rsid w:val="00CA6CAC"/>
    <w:rsid w:val="00CA73E1"/>
    <w:rsid w:val="00CB015D"/>
    <w:rsid w:val="00CB10A8"/>
    <w:rsid w:val="00CB2FB3"/>
    <w:rsid w:val="00CB40D2"/>
    <w:rsid w:val="00CB4B88"/>
    <w:rsid w:val="00CB4EAC"/>
    <w:rsid w:val="00CB6726"/>
    <w:rsid w:val="00CB7208"/>
    <w:rsid w:val="00CC04AC"/>
    <w:rsid w:val="00CC1D3B"/>
    <w:rsid w:val="00CC3EFB"/>
    <w:rsid w:val="00CC4337"/>
    <w:rsid w:val="00CC4876"/>
    <w:rsid w:val="00CC4D63"/>
    <w:rsid w:val="00CC514E"/>
    <w:rsid w:val="00CC52FA"/>
    <w:rsid w:val="00CD0332"/>
    <w:rsid w:val="00CD0C83"/>
    <w:rsid w:val="00CD1A26"/>
    <w:rsid w:val="00CD385B"/>
    <w:rsid w:val="00CD4321"/>
    <w:rsid w:val="00CD507E"/>
    <w:rsid w:val="00CD57DA"/>
    <w:rsid w:val="00CD7371"/>
    <w:rsid w:val="00CE2494"/>
    <w:rsid w:val="00CE2C02"/>
    <w:rsid w:val="00CE35BD"/>
    <w:rsid w:val="00CE58BA"/>
    <w:rsid w:val="00CE75CC"/>
    <w:rsid w:val="00CE7B7F"/>
    <w:rsid w:val="00CF07FC"/>
    <w:rsid w:val="00CF3C75"/>
    <w:rsid w:val="00CF4272"/>
    <w:rsid w:val="00CF45E8"/>
    <w:rsid w:val="00CF47A5"/>
    <w:rsid w:val="00CF652E"/>
    <w:rsid w:val="00CF7D7E"/>
    <w:rsid w:val="00D02F8D"/>
    <w:rsid w:val="00D032B9"/>
    <w:rsid w:val="00D032EA"/>
    <w:rsid w:val="00D0408C"/>
    <w:rsid w:val="00D06526"/>
    <w:rsid w:val="00D100C4"/>
    <w:rsid w:val="00D10FEA"/>
    <w:rsid w:val="00D116F3"/>
    <w:rsid w:val="00D11F20"/>
    <w:rsid w:val="00D12860"/>
    <w:rsid w:val="00D16294"/>
    <w:rsid w:val="00D1658C"/>
    <w:rsid w:val="00D178BF"/>
    <w:rsid w:val="00D17B1C"/>
    <w:rsid w:val="00D21613"/>
    <w:rsid w:val="00D254B1"/>
    <w:rsid w:val="00D25B95"/>
    <w:rsid w:val="00D277EA"/>
    <w:rsid w:val="00D27DA8"/>
    <w:rsid w:val="00D30943"/>
    <w:rsid w:val="00D320B0"/>
    <w:rsid w:val="00D34AC9"/>
    <w:rsid w:val="00D34C5A"/>
    <w:rsid w:val="00D350C6"/>
    <w:rsid w:val="00D355D3"/>
    <w:rsid w:val="00D35637"/>
    <w:rsid w:val="00D35A20"/>
    <w:rsid w:val="00D36B57"/>
    <w:rsid w:val="00D36C0A"/>
    <w:rsid w:val="00D37ED4"/>
    <w:rsid w:val="00D407C5"/>
    <w:rsid w:val="00D413AE"/>
    <w:rsid w:val="00D41765"/>
    <w:rsid w:val="00D4506D"/>
    <w:rsid w:val="00D45C8E"/>
    <w:rsid w:val="00D46DEB"/>
    <w:rsid w:val="00D47B31"/>
    <w:rsid w:val="00D47B89"/>
    <w:rsid w:val="00D5177F"/>
    <w:rsid w:val="00D537F3"/>
    <w:rsid w:val="00D570E8"/>
    <w:rsid w:val="00D571ED"/>
    <w:rsid w:val="00D60580"/>
    <w:rsid w:val="00D616F0"/>
    <w:rsid w:val="00D63564"/>
    <w:rsid w:val="00D64C33"/>
    <w:rsid w:val="00D662F5"/>
    <w:rsid w:val="00D66D13"/>
    <w:rsid w:val="00D7028A"/>
    <w:rsid w:val="00D70773"/>
    <w:rsid w:val="00D709FB"/>
    <w:rsid w:val="00D714C2"/>
    <w:rsid w:val="00D7204A"/>
    <w:rsid w:val="00D725E8"/>
    <w:rsid w:val="00D73073"/>
    <w:rsid w:val="00D73D3E"/>
    <w:rsid w:val="00D7425C"/>
    <w:rsid w:val="00D76F43"/>
    <w:rsid w:val="00D8006C"/>
    <w:rsid w:val="00D807A1"/>
    <w:rsid w:val="00D80F28"/>
    <w:rsid w:val="00D851A4"/>
    <w:rsid w:val="00D85B0D"/>
    <w:rsid w:val="00D8656F"/>
    <w:rsid w:val="00D900FF"/>
    <w:rsid w:val="00D90CC7"/>
    <w:rsid w:val="00D91365"/>
    <w:rsid w:val="00D913C4"/>
    <w:rsid w:val="00D91457"/>
    <w:rsid w:val="00D93A03"/>
    <w:rsid w:val="00D93BB8"/>
    <w:rsid w:val="00D97D10"/>
    <w:rsid w:val="00DA0235"/>
    <w:rsid w:val="00DA0860"/>
    <w:rsid w:val="00DA20CF"/>
    <w:rsid w:val="00DA3E91"/>
    <w:rsid w:val="00DA434C"/>
    <w:rsid w:val="00DA4CCE"/>
    <w:rsid w:val="00DA5892"/>
    <w:rsid w:val="00DA6764"/>
    <w:rsid w:val="00DB027A"/>
    <w:rsid w:val="00DB19D0"/>
    <w:rsid w:val="00DB5E5D"/>
    <w:rsid w:val="00DC0395"/>
    <w:rsid w:val="00DC473B"/>
    <w:rsid w:val="00DC74F8"/>
    <w:rsid w:val="00DC7610"/>
    <w:rsid w:val="00DD239E"/>
    <w:rsid w:val="00DD2832"/>
    <w:rsid w:val="00DD310B"/>
    <w:rsid w:val="00DD357F"/>
    <w:rsid w:val="00DD3ABB"/>
    <w:rsid w:val="00DD6F21"/>
    <w:rsid w:val="00DE1E40"/>
    <w:rsid w:val="00DE22B3"/>
    <w:rsid w:val="00DE40EB"/>
    <w:rsid w:val="00DE43A4"/>
    <w:rsid w:val="00DE4B2B"/>
    <w:rsid w:val="00DE5A29"/>
    <w:rsid w:val="00DE69C7"/>
    <w:rsid w:val="00DF1AED"/>
    <w:rsid w:val="00DF22C9"/>
    <w:rsid w:val="00DF2F17"/>
    <w:rsid w:val="00DF4A13"/>
    <w:rsid w:val="00DF531D"/>
    <w:rsid w:val="00DF5779"/>
    <w:rsid w:val="00E033F5"/>
    <w:rsid w:val="00E0376C"/>
    <w:rsid w:val="00E04BDD"/>
    <w:rsid w:val="00E05EF0"/>
    <w:rsid w:val="00E07E33"/>
    <w:rsid w:val="00E10BAC"/>
    <w:rsid w:val="00E121CB"/>
    <w:rsid w:val="00E135E2"/>
    <w:rsid w:val="00E14F73"/>
    <w:rsid w:val="00E1542C"/>
    <w:rsid w:val="00E16E40"/>
    <w:rsid w:val="00E21339"/>
    <w:rsid w:val="00E215FA"/>
    <w:rsid w:val="00E2189B"/>
    <w:rsid w:val="00E24E02"/>
    <w:rsid w:val="00E27765"/>
    <w:rsid w:val="00E30F58"/>
    <w:rsid w:val="00E32D25"/>
    <w:rsid w:val="00E33693"/>
    <w:rsid w:val="00E355C4"/>
    <w:rsid w:val="00E35A0A"/>
    <w:rsid w:val="00E35F77"/>
    <w:rsid w:val="00E3603E"/>
    <w:rsid w:val="00E3619B"/>
    <w:rsid w:val="00E37E9C"/>
    <w:rsid w:val="00E40E2F"/>
    <w:rsid w:val="00E41251"/>
    <w:rsid w:val="00E41AD4"/>
    <w:rsid w:val="00E42074"/>
    <w:rsid w:val="00E421A1"/>
    <w:rsid w:val="00E43419"/>
    <w:rsid w:val="00E43567"/>
    <w:rsid w:val="00E44382"/>
    <w:rsid w:val="00E4440E"/>
    <w:rsid w:val="00E45C4D"/>
    <w:rsid w:val="00E45ECE"/>
    <w:rsid w:val="00E464D3"/>
    <w:rsid w:val="00E529D7"/>
    <w:rsid w:val="00E52A1F"/>
    <w:rsid w:val="00E53CE0"/>
    <w:rsid w:val="00E54112"/>
    <w:rsid w:val="00E60BD7"/>
    <w:rsid w:val="00E623B5"/>
    <w:rsid w:val="00E62682"/>
    <w:rsid w:val="00E6387D"/>
    <w:rsid w:val="00E6573B"/>
    <w:rsid w:val="00E67F73"/>
    <w:rsid w:val="00E7302B"/>
    <w:rsid w:val="00E743A4"/>
    <w:rsid w:val="00E74CBD"/>
    <w:rsid w:val="00E75630"/>
    <w:rsid w:val="00E76815"/>
    <w:rsid w:val="00E7753A"/>
    <w:rsid w:val="00E801B9"/>
    <w:rsid w:val="00E827E8"/>
    <w:rsid w:val="00E83F8B"/>
    <w:rsid w:val="00E8521E"/>
    <w:rsid w:val="00E875C5"/>
    <w:rsid w:val="00E92F48"/>
    <w:rsid w:val="00E94CD0"/>
    <w:rsid w:val="00E96B77"/>
    <w:rsid w:val="00E97E18"/>
    <w:rsid w:val="00EA0B33"/>
    <w:rsid w:val="00EA2809"/>
    <w:rsid w:val="00EA38DE"/>
    <w:rsid w:val="00EA41EB"/>
    <w:rsid w:val="00EA5956"/>
    <w:rsid w:val="00EA668E"/>
    <w:rsid w:val="00EA6E76"/>
    <w:rsid w:val="00EB0430"/>
    <w:rsid w:val="00EB2880"/>
    <w:rsid w:val="00EB29A5"/>
    <w:rsid w:val="00EC1051"/>
    <w:rsid w:val="00EC3395"/>
    <w:rsid w:val="00EC7C2B"/>
    <w:rsid w:val="00ED11B5"/>
    <w:rsid w:val="00ED25C2"/>
    <w:rsid w:val="00ED40F6"/>
    <w:rsid w:val="00ED43E6"/>
    <w:rsid w:val="00ED44F4"/>
    <w:rsid w:val="00ED4C3A"/>
    <w:rsid w:val="00ED6597"/>
    <w:rsid w:val="00ED67A6"/>
    <w:rsid w:val="00EE08A8"/>
    <w:rsid w:val="00EE11A8"/>
    <w:rsid w:val="00EE2A6B"/>
    <w:rsid w:val="00EE2A8B"/>
    <w:rsid w:val="00EE3C5B"/>
    <w:rsid w:val="00EE472D"/>
    <w:rsid w:val="00EE5CAB"/>
    <w:rsid w:val="00EF2C86"/>
    <w:rsid w:val="00EF2CFC"/>
    <w:rsid w:val="00EF415B"/>
    <w:rsid w:val="00EF4A5E"/>
    <w:rsid w:val="00F010FD"/>
    <w:rsid w:val="00F011E4"/>
    <w:rsid w:val="00F0123D"/>
    <w:rsid w:val="00F022C9"/>
    <w:rsid w:val="00F02C00"/>
    <w:rsid w:val="00F032B1"/>
    <w:rsid w:val="00F058E1"/>
    <w:rsid w:val="00F060CF"/>
    <w:rsid w:val="00F06699"/>
    <w:rsid w:val="00F06742"/>
    <w:rsid w:val="00F07CE5"/>
    <w:rsid w:val="00F10AAC"/>
    <w:rsid w:val="00F10E21"/>
    <w:rsid w:val="00F11AC5"/>
    <w:rsid w:val="00F1378D"/>
    <w:rsid w:val="00F140E4"/>
    <w:rsid w:val="00F14B5F"/>
    <w:rsid w:val="00F153ED"/>
    <w:rsid w:val="00F208A4"/>
    <w:rsid w:val="00F21016"/>
    <w:rsid w:val="00F2124B"/>
    <w:rsid w:val="00F23158"/>
    <w:rsid w:val="00F25DFE"/>
    <w:rsid w:val="00F2684B"/>
    <w:rsid w:val="00F30239"/>
    <w:rsid w:val="00F320C0"/>
    <w:rsid w:val="00F33BFB"/>
    <w:rsid w:val="00F34815"/>
    <w:rsid w:val="00F35123"/>
    <w:rsid w:val="00F353A6"/>
    <w:rsid w:val="00F354F5"/>
    <w:rsid w:val="00F35C6F"/>
    <w:rsid w:val="00F35D24"/>
    <w:rsid w:val="00F3644E"/>
    <w:rsid w:val="00F36CAE"/>
    <w:rsid w:val="00F40423"/>
    <w:rsid w:val="00F41370"/>
    <w:rsid w:val="00F46E5F"/>
    <w:rsid w:val="00F47008"/>
    <w:rsid w:val="00F47084"/>
    <w:rsid w:val="00F479CA"/>
    <w:rsid w:val="00F47BCE"/>
    <w:rsid w:val="00F47D18"/>
    <w:rsid w:val="00F51398"/>
    <w:rsid w:val="00F51B40"/>
    <w:rsid w:val="00F51F7E"/>
    <w:rsid w:val="00F5257A"/>
    <w:rsid w:val="00F52841"/>
    <w:rsid w:val="00F52E99"/>
    <w:rsid w:val="00F53D88"/>
    <w:rsid w:val="00F543C0"/>
    <w:rsid w:val="00F561AD"/>
    <w:rsid w:val="00F5656E"/>
    <w:rsid w:val="00F57574"/>
    <w:rsid w:val="00F575C0"/>
    <w:rsid w:val="00F61B23"/>
    <w:rsid w:val="00F61E08"/>
    <w:rsid w:val="00F6318C"/>
    <w:rsid w:val="00F656EC"/>
    <w:rsid w:val="00F657F8"/>
    <w:rsid w:val="00F66992"/>
    <w:rsid w:val="00F66C31"/>
    <w:rsid w:val="00F70AD6"/>
    <w:rsid w:val="00F7173E"/>
    <w:rsid w:val="00F725D3"/>
    <w:rsid w:val="00F72D9A"/>
    <w:rsid w:val="00F74A3C"/>
    <w:rsid w:val="00F76664"/>
    <w:rsid w:val="00F80779"/>
    <w:rsid w:val="00F8473A"/>
    <w:rsid w:val="00F85E04"/>
    <w:rsid w:val="00F8754F"/>
    <w:rsid w:val="00F900CA"/>
    <w:rsid w:val="00F90A43"/>
    <w:rsid w:val="00F91E3D"/>
    <w:rsid w:val="00F920F8"/>
    <w:rsid w:val="00F93D26"/>
    <w:rsid w:val="00F9401F"/>
    <w:rsid w:val="00F94B88"/>
    <w:rsid w:val="00F94EB3"/>
    <w:rsid w:val="00F96156"/>
    <w:rsid w:val="00F96A7F"/>
    <w:rsid w:val="00F96C70"/>
    <w:rsid w:val="00F97262"/>
    <w:rsid w:val="00F97954"/>
    <w:rsid w:val="00FA1006"/>
    <w:rsid w:val="00FA1439"/>
    <w:rsid w:val="00FA3036"/>
    <w:rsid w:val="00FA32C5"/>
    <w:rsid w:val="00FA41A2"/>
    <w:rsid w:val="00FA4260"/>
    <w:rsid w:val="00FA48B2"/>
    <w:rsid w:val="00FB0F60"/>
    <w:rsid w:val="00FB13D9"/>
    <w:rsid w:val="00FB17B5"/>
    <w:rsid w:val="00FB1E86"/>
    <w:rsid w:val="00FB2413"/>
    <w:rsid w:val="00FB24BD"/>
    <w:rsid w:val="00FB76D4"/>
    <w:rsid w:val="00FB76F6"/>
    <w:rsid w:val="00FC1D67"/>
    <w:rsid w:val="00FC2070"/>
    <w:rsid w:val="00FC43D4"/>
    <w:rsid w:val="00FC51C5"/>
    <w:rsid w:val="00FC56B7"/>
    <w:rsid w:val="00FC679C"/>
    <w:rsid w:val="00FD465F"/>
    <w:rsid w:val="00FD590D"/>
    <w:rsid w:val="00FD6592"/>
    <w:rsid w:val="00FD6DA4"/>
    <w:rsid w:val="00FD7F39"/>
    <w:rsid w:val="00FE0500"/>
    <w:rsid w:val="00FE415A"/>
    <w:rsid w:val="00FE6490"/>
    <w:rsid w:val="00FE725D"/>
    <w:rsid w:val="00FF2ADB"/>
    <w:rsid w:val="00FF2DCC"/>
    <w:rsid w:val="00FF3E26"/>
    <w:rsid w:val="00FF461F"/>
    <w:rsid w:val="00FF5F93"/>
    <w:rsid w:val="00FF662B"/>
    <w:rsid w:val="00FF674E"/>
    <w:rsid w:val="00FF77DF"/>
    <w:rsid w:val="00FF79D7"/>
    <w:rsid w:val="00FF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D46FD"/>
  <w15:docId w15:val="{F33CE22D-83E3-4848-8271-EC962AEE8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E31"/>
  </w:style>
  <w:style w:type="paragraph" w:styleId="Heading1">
    <w:name w:val="heading 1"/>
    <w:basedOn w:val="Normal"/>
    <w:next w:val="Normal"/>
    <w:link w:val="Heading1Char"/>
    <w:uiPriority w:val="9"/>
    <w:qFormat/>
    <w:rsid w:val="00CA09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E24E6"/>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link w:val="Heading3Char"/>
    <w:uiPriority w:val="9"/>
    <w:qFormat/>
    <w:rsid w:val="009E0E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E0E3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E24E6"/>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E24E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E24E6"/>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E24E6"/>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E24E6"/>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0E3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9E0E31"/>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9E0E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0E31"/>
    <w:rPr>
      <w:i/>
      <w:iCs/>
    </w:rPr>
  </w:style>
  <w:style w:type="character" w:customStyle="1" w:styleId="truncate">
    <w:name w:val="truncate"/>
    <w:basedOn w:val="DefaultParagraphFont"/>
    <w:rsid w:val="009E0E31"/>
  </w:style>
  <w:style w:type="character" w:styleId="Hyperlink">
    <w:name w:val="Hyperlink"/>
    <w:basedOn w:val="DefaultParagraphFont"/>
    <w:uiPriority w:val="99"/>
    <w:unhideWhenUsed/>
    <w:rsid w:val="009E0E31"/>
    <w:rPr>
      <w:color w:val="0000FF"/>
      <w:u w:val="single"/>
    </w:rPr>
  </w:style>
  <w:style w:type="character" w:styleId="Strong">
    <w:name w:val="Strong"/>
    <w:basedOn w:val="DefaultParagraphFont"/>
    <w:uiPriority w:val="22"/>
    <w:qFormat/>
    <w:rsid w:val="009E0E31"/>
    <w:rPr>
      <w:b/>
      <w:bCs/>
    </w:rPr>
  </w:style>
  <w:style w:type="paragraph" w:styleId="ListParagraph">
    <w:name w:val="List Paragraph"/>
    <w:basedOn w:val="Normal"/>
    <w:uiPriority w:val="34"/>
    <w:qFormat/>
    <w:rsid w:val="009E0E31"/>
    <w:pPr>
      <w:ind w:left="720"/>
      <w:contextualSpacing/>
    </w:pPr>
  </w:style>
  <w:style w:type="paragraph" w:customStyle="1" w:styleId="Default">
    <w:name w:val="Default"/>
    <w:rsid w:val="009E0E31"/>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9E0E31"/>
    <w:pPr>
      <w:spacing w:after="0" w:line="240" w:lineRule="auto"/>
    </w:pPr>
    <w:rPr>
      <w:rFonts w:ascii="Calibri" w:eastAsia="SimSu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notations">
    <w:name w:val="annotations"/>
    <w:basedOn w:val="DefaultParagraphFont"/>
    <w:rsid w:val="009E0E31"/>
  </w:style>
  <w:style w:type="table" w:customStyle="1" w:styleId="TableGridLight1">
    <w:name w:val="Table Grid Light1"/>
    <w:basedOn w:val="TableNormal"/>
    <w:uiPriority w:val="40"/>
    <w:rsid w:val="009E0E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E725D"/>
    <w:rPr>
      <w:sz w:val="16"/>
      <w:szCs w:val="16"/>
    </w:rPr>
  </w:style>
  <w:style w:type="paragraph" w:styleId="CommentText">
    <w:name w:val="annotation text"/>
    <w:basedOn w:val="Normal"/>
    <w:link w:val="CommentTextChar"/>
    <w:uiPriority w:val="99"/>
    <w:semiHidden/>
    <w:unhideWhenUsed/>
    <w:rsid w:val="00FE725D"/>
    <w:pPr>
      <w:spacing w:line="240" w:lineRule="auto"/>
    </w:pPr>
    <w:rPr>
      <w:sz w:val="20"/>
      <w:szCs w:val="20"/>
    </w:rPr>
  </w:style>
  <w:style w:type="character" w:customStyle="1" w:styleId="CommentTextChar">
    <w:name w:val="Comment Text Char"/>
    <w:basedOn w:val="DefaultParagraphFont"/>
    <w:link w:val="CommentText"/>
    <w:uiPriority w:val="99"/>
    <w:semiHidden/>
    <w:rsid w:val="00FE725D"/>
    <w:rPr>
      <w:sz w:val="20"/>
      <w:szCs w:val="20"/>
    </w:rPr>
  </w:style>
  <w:style w:type="paragraph" w:styleId="CommentSubject">
    <w:name w:val="annotation subject"/>
    <w:basedOn w:val="CommentText"/>
    <w:next w:val="CommentText"/>
    <w:link w:val="CommentSubjectChar"/>
    <w:uiPriority w:val="99"/>
    <w:semiHidden/>
    <w:unhideWhenUsed/>
    <w:rsid w:val="00FE725D"/>
    <w:rPr>
      <w:b/>
      <w:bCs/>
    </w:rPr>
  </w:style>
  <w:style w:type="character" w:customStyle="1" w:styleId="CommentSubjectChar">
    <w:name w:val="Comment Subject Char"/>
    <w:basedOn w:val="CommentTextChar"/>
    <w:link w:val="CommentSubject"/>
    <w:uiPriority w:val="99"/>
    <w:semiHidden/>
    <w:rsid w:val="00FE725D"/>
    <w:rPr>
      <w:b/>
      <w:bCs/>
      <w:sz w:val="20"/>
      <w:szCs w:val="20"/>
    </w:rPr>
  </w:style>
  <w:style w:type="paragraph" w:styleId="BalloonText">
    <w:name w:val="Balloon Text"/>
    <w:basedOn w:val="Normal"/>
    <w:link w:val="BalloonTextChar"/>
    <w:uiPriority w:val="99"/>
    <w:semiHidden/>
    <w:unhideWhenUsed/>
    <w:rsid w:val="00BC1F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F9B"/>
    <w:rPr>
      <w:rFonts w:ascii="Segoe UI" w:hAnsi="Segoe UI" w:cs="Segoe UI"/>
      <w:sz w:val="18"/>
      <w:szCs w:val="18"/>
    </w:rPr>
  </w:style>
  <w:style w:type="paragraph" w:styleId="NoSpacing">
    <w:name w:val="No Spacing"/>
    <w:uiPriority w:val="1"/>
    <w:qFormat/>
    <w:rsid w:val="002D6D8F"/>
    <w:pPr>
      <w:spacing w:after="0" w:line="240" w:lineRule="auto"/>
    </w:pPr>
  </w:style>
  <w:style w:type="character" w:customStyle="1" w:styleId="katex-mathml">
    <w:name w:val="katex-mathml"/>
    <w:basedOn w:val="DefaultParagraphFont"/>
    <w:rsid w:val="00FA41A2"/>
  </w:style>
  <w:style w:type="character" w:customStyle="1" w:styleId="mord">
    <w:name w:val="mord"/>
    <w:basedOn w:val="DefaultParagraphFont"/>
    <w:rsid w:val="00FA41A2"/>
  </w:style>
  <w:style w:type="character" w:customStyle="1" w:styleId="mrel">
    <w:name w:val="mrel"/>
    <w:basedOn w:val="DefaultParagraphFont"/>
    <w:rsid w:val="00FA41A2"/>
  </w:style>
  <w:style w:type="character" w:customStyle="1" w:styleId="mopen">
    <w:name w:val="mopen"/>
    <w:basedOn w:val="DefaultParagraphFont"/>
    <w:rsid w:val="00FA41A2"/>
  </w:style>
  <w:style w:type="character" w:customStyle="1" w:styleId="vlist-s">
    <w:name w:val="vlist-s"/>
    <w:basedOn w:val="DefaultParagraphFont"/>
    <w:rsid w:val="00FA41A2"/>
  </w:style>
  <w:style w:type="character" w:customStyle="1" w:styleId="mclose">
    <w:name w:val="mclose"/>
    <w:basedOn w:val="DefaultParagraphFont"/>
    <w:rsid w:val="00FA41A2"/>
  </w:style>
  <w:style w:type="character" w:customStyle="1" w:styleId="mbin">
    <w:name w:val="mbin"/>
    <w:basedOn w:val="DefaultParagraphFont"/>
    <w:rsid w:val="00FA41A2"/>
  </w:style>
  <w:style w:type="character" w:styleId="PlaceholderText">
    <w:name w:val="Placeholder Text"/>
    <w:basedOn w:val="DefaultParagraphFont"/>
    <w:uiPriority w:val="99"/>
    <w:semiHidden/>
    <w:rsid w:val="00FA41A2"/>
    <w:rPr>
      <w:color w:val="808080"/>
    </w:rPr>
  </w:style>
  <w:style w:type="paragraph" w:styleId="Header">
    <w:name w:val="header"/>
    <w:basedOn w:val="Normal"/>
    <w:link w:val="HeaderChar"/>
    <w:uiPriority w:val="99"/>
    <w:unhideWhenUsed/>
    <w:rsid w:val="00F06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742"/>
  </w:style>
  <w:style w:type="paragraph" w:styleId="Footer">
    <w:name w:val="footer"/>
    <w:basedOn w:val="Normal"/>
    <w:link w:val="FooterChar"/>
    <w:uiPriority w:val="99"/>
    <w:unhideWhenUsed/>
    <w:rsid w:val="00F06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742"/>
  </w:style>
  <w:style w:type="character" w:customStyle="1" w:styleId="mpunct">
    <w:name w:val="mpunct"/>
    <w:basedOn w:val="DefaultParagraphFont"/>
    <w:rsid w:val="00251C58"/>
  </w:style>
  <w:style w:type="table" w:customStyle="1" w:styleId="TableGridLight2">
    <w:name w:val="Table Grid Light2"/>
    <w:basedOn w:val="TableNormal"/>
    <w:uiPriority w:val="40"/>
    <w:rsid w:val="00CB10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CA0997"/>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unhideWhenUsed/>
    <w:qFormat/>
    <w:rsid w:val="00CA0997"/>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CA0997"/>
    <w:rPr>
      <w:rFonts w:ascii="Times New Roman" w:eastAsia="Times New Roman" w:hAnsi="Times New Roman" w:cs="Times New Roman"/>
      <w:sz w:val="24"/>
      <w:szCs w:val="24"/>
      <w:lang w:bidi="en-US"/>
    </w:rPr>
  </w:style>
  <w:style w:type="character" w:customStyle="1" w:styleId="Heading2Char">
    <w:name w:val="Heading 2 Char"/>
    <w:basedOn w:val="DefaultParagraphFont"/>
    <w:link w:val="Heading2"/>
    <w:uiPriority w:val="9"/>
    <w:semiHidden/>
    <w:rsid w:val="009E24E6"/>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5Char">
    <w:name w:val="Heading 5 Char"/>
    <w:basedOn w:val="DefaultParagraphFont"/>
    <w:link w:val="Heading5"/>
    <w:uiPriority w:val="9"/>
    <w:semiHidden/>
    <w:rsid w:val="009E24E6"/>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9E24E6"/>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E24E6"/>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E24E6"/>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E24E6"/>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E24E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24E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E24E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24E6"/>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E24E6"/>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E24E6"/>
    <w:rPr>
      <w:i/>
      <w:iCs/>
      <w:color w:val="404040" w:themeColor="text1" w:themeTint="BF"/>
      <w:kern w:val="2"/>
      <w14:ligatures w14:val="standardContextual"/>
    </w:rPr>
  </w:style>
  <w:style w:type="character" w:styleId="IntenseEmphasis">
    <w:name w:val="Intense Emphasis"/>
    <w:basedOn w:val="DefaultParagraphFont"/>
    <w:uiPriority w:val="21"/>
    <w:qFormat/>
    <w:rsid w:val="009E24E6"/>
    <w:rPr>
      <w:i/>
      <w:iCs/>
      <w:color w:val="2E74B5" w:themeColor="accent1" w:themeShade="BF"/>
    </w:rPr>
  </w:style>
  <w:style w:type="paragraph" w:styleId="IntenseQuote">
    <w:name w:val="Intense Quote"/>
    <w:basedOn w:val="Normal"/>
    <w:next w:val="Normal"/>
    <w:link w:val="IntenseQuoteChar"/>
    <w:uiPriority w:val="30"/>
    <w:qFormat/>
    <w:rsid w:val="009E24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9E24E6"/>
    <w:rPr>
      <w:i/>
      <w:iCs/>
      <w:color w:val="2E74B5" w:themeColor="accent1" w:themeShade="BF"/>
      <w:kern w:val="2"/>
      <w14:ligatures w14:val="standardContextual"/>
    </w:rPr>
  </w:style>
  <w:style w:type="character" w:styleId="IntenseReference">
    <w:name w:val="Intense Reference"/>
    <w:basedOn w:val="DefaultParagraphFont"/>
    <w:uiPriority w:val="32"/>
    <w:qFormat/>
    <w:rsid w:val="009E24E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28642">
      <w:bodyDiv w:val="1"/>
      <w:marLeft w:val="0"/>
      <w:marRight w:val="0"/>
      <w:marTop w:val="0"/>
      <w:marBottom w:val="0"/>
      <w:divBdr>
        <w:top w:val="none" w:sz="0" w:space="0" w:color="auto"/>
        <w:left w:val="none" w:sz="0" w:space="0" w:color="auto"/>
        <w:bottom w:val="none" w:sz="0" w:space="0" w:color="auto"/>
        <w:right w:val="none" w:sz="0" w:space="0" w:color="auto"/>
      </w:divBdr>
    </w:div>
    <w:div w:id="94400051">
      <w:bodyDiv w:val="1"/>
      <w:marLeft w:val="0"/>
      <w:marRight w:val="0"/>
      <w:marTop w:val="0"/>
      <w:marBottom w:val="0"/>
      <w:divBdr>
        <w:top w:val="none" w:sz="0" w:space="0" w:color="auto"/>
        <w:left w:val="none" w:sz="0" w:space="0" w:color="auto"/>
        <w:bottom w:val="none" w:sz="0" w:space="0" w:color="auto"/>
        <w:right w:val="none" w:sz="0" w:space="0" w:color="auto"/>
      </w:divBdr>
      <w:divsChild>
        <w:div w:id="335111549">
          <w:marLeft w:val="0"/>
          <w:marRight w:val="0"/>
          <w:marTop w:val="0"/>
          <w:marBottom w:val="0"/>
          <w:divBdr>
            <w:top w:val="none" w:sz="0" w:space="0" w:color="auto"/>
            <w:left w:val="none" w:sz="0" w:space="0" w:color="auto"/>
            <w:bottom w:val="none" w:sz="0" w:space="0" w:color="auto"/>
            <w:right w:val="none" w:sz="0" w:space="0" w:color="auto"/>
          </w:divBdr>
          <w:divsChild>
            <w:div w:id="717514326">
              <w:marLeft w:val="0"/>
              <w:marRight w:val="0"/>
              <w:marTop w:val="0"/>
              <w:marBottom w:val="0"/>
              <w:divBdr>
                <w:top w:val="none" w:sz="0" w:space="0" w:color="auto"/>
                <w:left w:val="none" w:sz="0" w:space="0" w:color="auto"/>
                <w:bottom w:val="none" w:sz="0" w:space="0" w:color="auto"/>
                <w:right w:val="none" w:sz="0" w:space="0" w:color="auto"/>
              </w:divBdr>
              <w:divsChild>
                <w:div w:id="1292711707">
                  <w:marLeft w:val="0"/>
                  <w:marRight w:val="0"/>
                  <w:marTop w:val="0"/>
                  <w:marBottom w:val="0"/>
                  <w:divBdr>
                    <w:top w:val="none" w:sz="0" w:space="0" w:color="auto"/>
                    <w:left w:val="none" w:sz="0" w:space="0" w:color="auto"/>
                    <w:bottom w:val="none" w:sz="0" w:space="0" w:color="auto"/>
                    <w:right w:val="none" w:sz="0" w:space="0" w:color="auto"/>
                  </w:divBdr>
                  <w:divsChild>
                    <w:div w:id="1095325888">
                      <w:marLeft w:val="0"/>
                      <w:marRight w:val="0"/>
                      <w:marTop w:val="0"/>
                      <w:marBottom w:val="0"/>
                      <w:divBdr>
                        <w:top w:val="none" w:sz="0" w:space="0" w:color="auto"/>
                        <w:left w:val="none" w:sz="0" w:space="0" w:color="auto"/>
                        <w:bottom w:val="none" w:sz="0" w:space="0" w:color="auto"/>
                        <w:right w:val="none" w:sz="0" w:space="0" w:color="auto"/>
                      </w:divBdr>
                      <w:divsChild>
                        <w:div w:id="1769079173">
                          <w:marLeft w:val="0"/>
                          <w:marRight w:val="0"/>
                          <w:marTop w:val="0"/>
                          <w:marBottom w:val="0"/>
                          <w:divBdr>
                            <w:top w:val="none" w:sz="0" w:space="0" w:color="auto"/>
                            <w:left w:val="none" w:sz="0" w:space="0" w:color="auto"/>
                            <w:bottom w:val="none" w:sz="0" w:space="0" w:color="auto"/>
                            <w:right w:val="none" w:sz="0" w:space="0" w:color="auto"/>
                          </w:divBdr>
                          <w:divsChild>
                            <w:div w:id="830295445">
                              <w:marLeft w:val="0"/>
                              <w:marRight w:val="0"/>
                              <w:marTop w:val="0"/>
                              <w:marBottom w:val="0"/>
                              <w:divBdr>
                                <w:top w:val="none" w:sz="0" w:space="0" w:color="auto"/>
                                <w:left w:val="none" w:sz="0" w:space="0" w:color="auto"/>
                                <w:bottom w:val="none" w:sz="0" w:space="0" w:color="auto"/>
                                <w:right w:val="none" w:sz="0" w:space="0" w:color="auto"/>
                              </w:divBdr>
                              <w:divsChild>
                                <w:div w:id="383020061">
                                  <w:marLeft w:val="0"/>
                                  <w:marRight w:val="0"/>
                                  <w:marTop w:val="0"/>
                                  <w:marBottom w:val="0"/>
                                  <w:divBdr>
                                    <w:top w:val="none" w:sz="0" w:space="0" w:color="auto"/>
                                    <w:left w:val="none" w:sz="0" w:space="0" w:color="auto"/>
                                    <w:bottom w:val="none" w:sz="0" w:space="0" w:color="auto"/>
                                    <w:right w:val="none" w:sz="0" w:space="0" w:color="auto"/>
                                  </w:divBdr>
                                  <w:divsChild>
                                    <w:div w:id="153893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230766">
      <w:bodyDiv w:val="1"/>
      <w:marLeft w:val="0"/>
      <w:marRight w:val="0"/>
      <w:marTop w:val="0"/>
      <w:marBottom w:val="0"/>
      <w:divBdr>
        <w:top w:val="none" w:sz="0" w:space="0" w:color="auto"/>
        <w:left w:val="none" w:sz="0" w:space="0" w:color="auto"/>
        <w:bottom w:val="none" w:sz="0" w:space="0" w:color="auto"/>
        <w:right w:val="none" w:sz="0" w:space="0" w:color="auto"/>
      </w:divBdr>
    </w:div>
    <w:div w:id="107744000">
      <w:bodyDiv w:val="1"/>
      <w:marLeft w:val="0"/>
      <w:marRight w:val="0"/>
      <w:marTop w:val="0"/>
      <w:marBottom w:val="0"/>
      <w:divBdr>
        <w:top w:val="none" w:sz="0" w:space="0" w:color="auto"/>
        <w:left w:val="none" w:sz="0" w:space="0" w:color="auto"/>
        <w:bottom w:val="none" w:sz="0" w:space="0" w:color="auto"/>
        <w:right w:val="none" w:sz="0" w:space="0" w:color="auto"/>
      </w:divBdr>
    </w:div>
    <w:div w:id="187833554">
      <w:bodyDiv w:val="1"/>
      <w:marLeft w:val="0"/>
      <w:marRight w:val="0"/>
      <w:marTop w:val="0"/>
      <w:marBottom w:val="0"/>
      <w:divBdr>
        <w:top w:val="none" w:sz="0" w:space="0" w:color="auto"/>
        <w:left w:val="none" w:sz="0" w:space="0" w:color="auto"/>
        <w:bottom w:val="none" w:sz="0" w:space="0" w:color="auto"/>
        <w:right w:val="none" w:sz="0" w:space="0" w:color="auto"/>
      </w:divBdr>
    </w:div>
    <w:div w:id="197209678">
      <w:bodyDiv w:val="1"/>
      <w:marLeft w:val="0"/>
      <w:marRight w:val="0"/>
      <w:marTop w:val="0"/>
      <w:marBottom w:val="0"/>
      <w:divBdr>
        <w:top w:val="none" w:sz="0" w:space="0" w:color="auto"/>
        <w:left w:val="none" w:sz="0" w:space="0" w:color="auto"/>
        <w:bottom w:val="none" w:sz="0" w:space="0" w:color="auto"/>
        <w:right w:val="none" w:sz="0" w:space="0" w:color="auto"/>
      </w:divBdr>
      <w:divsChild>
        <w:div w:id="2134907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3552927">
      <w:bodyDiv w:val="1"/>
      <w:marLeft w:val="0"/>
      <w:marRight w:val="0"/>
      <w:marTop w:val="0"/>
      <w:marBottom w:val="0"/>
      <w:divBdr>
        <w:top w:val="none" w:sz="0" w:space="0" w:color="auto"/>
        <w:left w:val="none" w:sz="0" w:space="0" w:color="auto"/>
        <w:bottom w:val="none" w:sz="0" w:space="0" w:color="auto"/>
        <w:right w:val="none" w:sz="0" w:space="0" w:color="auto"/>
      </w:divBdr>
    </w:div>
    <w:div w:id="353575267">
      <w:bodyDiv w:val="1"/>
      <w:marLeft w:val="0"/>
      <w:marRight w:val="0"/>
      <w:marTop w:val="0"/>
      <w:marBottom w:val="0"/>
      <w:divBdr>
        <w:top w:val="none" w:sz="0" w:space="0" w:color="auto"/>
        <w:left w:val="none" w:sz="0" w:space="0" w:color="auto"/>
        <w:bottom w:val="none" w:sz="0" w:space="0" w:color="auto"/>
        <w:right w:val="none" w:sz="0" w:space="0" w:color="auto"/>
      </w:divBdr>
    </w:div>
    <w:div w:id="416875809">
      <w:bodyDiv w:val="1"/>
      <w:marLeft w:val="0"/>
      <w:marRight w:val="0"/>
      <w:marTop w:val="0"/>
      <w:marBottom w:val="0"/>
      <w:divBdr>
        <w:top w:val="none" w:sz="0" w:space="0" w:color="auto"/>
        <w:left w:val="none" w:sz="0" w:space="0" w:color="auto"/>
        <w:bottom w:val="none" w:sz="0" w:space="0" w:color="auto"/>
        <w:right w:val="none" w:sz="0" w:space="0" w:color="auto"/>
      </w:divBdr>
    </w:div>
    <w:div w:id="444731636">
      <w:bodyDiv w:val="1"/>
      <w:marLeft w:val="0"/>
      <w:marRight w:val="0"/>
      <w:marTop w:val="0"/>
      <w:marBottom w:val="0"/>
      <w:divBdr>
        <w:top w:val="none" w:sz="0" w:space="0" w:color="auto"/>
        <w:left w:val="none" w:sz="0" w:space="0" w:color="auto"/>
        <w:bottom w:val="none" w:sz="0" w:space="0" w:color="auto"/>
        <w:right w:val="none" w:sz="0" w:space="0" w:color="auto"/>
      </w:divBdr>
    </w:div>
    <w:div w:id="591548675">
      <w:bodyDiv w:val="1"/>
      <w:marLeft w:val="0"/>
      <w:marRight w:val="0"/>
      <w:marTop w:val="0"/>
      <w:marBottom w:val="0"/>
      <w:divBdr>
        <w:top w:val="none" w:sz="0" w:space="0" w:color="auto"/>
        <w:left w:val="none" w:sz="0" w:space="0" w:color="auto"/>
        <w:bottom w:val="none" w:sz="0" w:space="0" w:color="auto"/>
        <w:right w:val="none" w:sz="0" w:space="0" w:color="auto"/>
      </w:divBdr>
    </w:div>
    <w:div w:id="635186264">
      <w:bodyDiv w:val="1"/>
      <w:marLeft w:val="0"/>
      <w:marRight w:val="0"/>
      <w:marTop w:val="0"/>
      <w:marBottom w:val="0"/>
      <w:divBdr>
        <w:top w:val="none" w:sz="0" w:space="0" w:color="auto"/>
        <w:left w:val="none" w:sz="0" w:space="0" w:color="auto"/>
        <w:bottom w:val="none" w:sz="0" w:space="0" w:color="auto"/>
        <w:right w:val="none" w:sz="0" w:space="0" w:color="auto"/>
      </w:divBdr>
    </w:div>
    <w:div w:id="636034206">
      <w:bodyDiv w:val="1"/>
      <w:marLeft w:val="0"/>
      <w:marRight w:val="0"/>
      <w:marTop w:val="0"/>
      <w:marBottom w:val="0"/>
      <w:divBdr>
        <w:top w:val="none" w:sz="0" w:space="0" w:color="auto"/>
        <w:left w:val="none" w:sz="0" w:space="0" w:color="auto"/>
        <w:bottom w:val="none" w:sz="0" w:space="0" w:color="auto"/>
        <w:right w:val="none" w:sz="0" w:space="0" w:color="auto"/>
      </w:divBdr>
    </w:div>
    <w:div w:id="671182599">
      <w:bodyDiv w:val="1"/>
      <w:marLeft w:val="0"/>
      <w:marRight w:val="0"/>
      <w:marTop w:val="0"/>
      <w:marBottom w:val="0"/>
      <w:divBdr>
        <w:top w:val="none" w:sz="0" w:space="0" w:color="auto"/>
        <w:left w:val="none" w:sz="0" w:space="0" w:color="auto"/>
        <w:bottom w:val="none" w:sz="0" w:space="0" w:color="auto"/>
        <w:right w:val="none" w:sz="0" w:space="0" w:color="auto"/>
      </w:divBdr>
    </w:div>
    <w:div w:id="673534762">
      <w:bodyDiv w:val="1"/>
      <w:marLeft w:val="0"/>
      <w:marRight w:val="0"/>
      <w:marTop w:val="0"/>
      <w:marBottom w:val="0"/>
      <w:divBdr>
        <w:top w:val="none" w:sz="0" w:space="0" w:color="auto"/>
        <w:left w:val="none" w:sz="0" w:space="0" w:color="auto"/>
        <w:bottom w:val="none" w:sz="0" w:space="0" w:color="auto"/>
        <w:right w:val="none" w:sz="0" w:space="0" w:color="auto"/>
      </w:divBdr>
    </w:div>
    <w:div w:id="683089787">
      <w:bodyDiv w:val="1"/>
      <w:marLeft w:val="0"/>
      <w:marRight w:val="0"/>
      <w:marTop w:val="0"/>
      <w:marBottom w:val="0"/>
      <w:divBdr>
        <w:top w:val="none" w:sz="0" w:space="0" w:color="auto"/>
        <w:left w:val="none" w:sz="0" w:space="0" w:color="auto"/>
        <w:bottom w:val="none" w:sz="0" w:space="0" w:color="auto"/>
        <w:right w:val="none" w:sz="0" w:space="0" w:color="auto"/>
      </w:divBdr>
    </w:div>
    <w:div w:id="705713581">
      <w:bodyDiv w:val="1"/>
      <w:marLeft w:val="0"/>
      <w:marRight w:val="0"/>
      <w:marTop w:val="0"/>
      <w:marBottom w:val="0"/>
      <w:divBdr>
        <w:top w:val="none" w:sz="0" w:space="0" w:color="auto"/>
        <w:left w:val="none" w:sz="0" w:space="0" w:color="auto"/>
        <w:bottom w:val="none" w:sz="0" w:space="0" w:color="auto"/>
        <w:right w:val="none" w:sz="0" w:space="0" w:color="auto"/>
      </w:divBdr>
    </w:div>
    <w:div w:id="708577630">
      <w:bodyDiv w:val="1"/>
      <w:marLeft w:val="0"/>
      <w:marRight w:val="0"/>
      <w:marTop w:val="0"/>
      <w:marBottom w:val="0"/>
      <w:divBdr>
        <w:top w:val="none" w:sz="0" w:space="0" w:color="auto"/>
        <w:left w:val="none" w:sz="0" w:space="0" w:color="auto"/>
        <w:bottom w:val="none" w:sz="0" w:space="0" w:color="auto"/>
        <w:right w:val="none" w:sz="0" w:space="0" w:color="auto"/>
      </w:divBdr>
    </w:div>
    <w:div w:id="723603727">
      <w:bodyDiv w:val="1"/>
      <w:marLeft w:val="0"/>
      <w:marRight w:val="0"/>
      <w:marTop w:val="0"/>
      <w:marBottom w:val="0"/>
      <w:divBdr>
        <w:top w:val="none" w:sz="0" w:space="0" w:color="auto"/>
        <w:left w:val="none" w:sz="0" w:space="0" w:color="auto"/>
        <w:bottom w:val="none" w:sz="0" w:space="0" w:color="auto"/>
        <w:right w:val="none" w:sz="0" w:space="0" w:color="auto"/>
      </w:divBdr>
    </w:div>
    <w:div w:id="743451914">
      <w:bodyDiv w:val="1"/>
      <w:marLeft w:val="0"/>
      <w:marRight w:val="0"/>
      <w:marTop w:val="0"/>
      <w:marBottom w:val="0"/>
      <w:divBdr>
        <w:top w:val="none" w:sz="0" w:space="0" w:color="auto"/>
        <w:left w:val="none" w:sz="0" w:space="0" w:color="auto"/>
        <w:bottom w:val="none" w:sz="0" w:space="0" w:color="auto"/>
        <w:right w:val="none" w:sz="0" w:space="0" w:color="auto"/>
      </w:divBdr>
    </w:div>
    <w:div w:id="753476712">
      <w:bodyDiv w:val="1"/>
      <w:marLeft w:val="0"/>
      <w:marRight w:val="0"/>
      <w:marTop w:val="0"/>
      <w:marBottom w:val="0"/>
      <w:divBdr>
        <w:top w:val="none" w:sz="0" w:space="0" w:color="auto"/>
        <w:left w:val="none" w:sz="0" w:space="0" w:color="auto"/>
        <w:bottom w:val="none" w:sz="0" w:space="0" w:color="auto"/>
        <w:right w:val="none" w:sz="0" w:space="0" w:color="auto"/>
      </w:divBdr>
    </w:div>
    <w:div w:id="804661683">
      <w:bodyDiv w:val="1"/>
      <w:marLeft w:val="0"/>
      <w:marRight w:val="0"/>
      <w:marTop w:val="0"/>
      <w:marBottom w:val="0"/>
      <w:divBdr>
        <w:top w:val="none" w:sz="0" w:space="0" w:color="auto"/>
        <w:left w:val="none" w:sz="0" w:space="0" w:color="auto"/>
        <w:bottom w:val="none" w:sz="0" w:space="0" w:color="auto"/>
        <w:right w:val="none" w:sz="0" w:space="0" w:color="auto"/>
      </w:divBdr>
    </w:div>
    <w:div w:id="819620207">
      <w:bodyDiv w:val="1"/>
      <w:marLeft w:val="0"/>
      <w:marRight w:val="0"/>
      <w:marTop w:val="0"/>
      <w:marBottom w:val="0"/>
      <w:divBdr>
        <w:top w:val="none" w:sz="0" w:space="0" w:color="auto"/>
        <w:left w:val="none" w:sz="0" w:space="0" w:color="auto"/>
        <w:bottom w:val="none" w:sz="0" w:space="0" w:color="auto"/>
        <w:right w:val="none" w:sz="0" w:space="0" w:color="auto"/>
      </w:divBdr>
    </w:div>
    <w:div w:id="825558661">
      <w:bodyDiv w:val="1"/>
      <w:marLeft w:val="0"/>
      <w:marRight w:val="0"/>
      <w:marTop w:val="0"/>
      <w:marBottom w:val="0"/>
      <w:divBdr>
        <w:top w:val="none" w:sz="0" w:space="0" w:color="auto"/>
        <w:left w:val="none" w:sz="0" w:space="0" w:color="auto"/>
        <w:bottom w:val="none" w:sz="0" w:space="0" w:color="auto"/>
        <w:right w:val="none" w:sz="0" w:space="0" w:color="auto"/>
      </w:divBdr>
    </w:div>
    <w:div w:id="836841957">
      <w:bodyDiv w:val="1"/>
      <w:marLeft w:val="0"/>
      <w:marRight w:val="0"/>
      <w:marTop w:val="0"/>
      <w:marBottom w:val="0"/>
      <w:divBdr>
        <w:top w:val="none" w:sz="0" w:space="0" w:color="auto"/>
        <w:left w:val="none" w:sz="0" w:space="0" w:color="auto"/>
        <w:bottom w:val="none" w:sz="0" w:space="0" w:color="auto"/>
        <w:right w:val="none" w:sz="0" w:space="0" w:color="auto"/>
      </w:divBdr>
    </w:div>
    <w:div w:id="953172044">
      <w:bodyDiv w:val="1"/>
      <w:marLeft w:val="0"/>
      <w:marRight w:val="0"/>
      <w:marTop w:val="0"/>
      <w:marBottom w:val="0"/>
      <w:divBdr>
        <w:top w:val="none" w:sz="0" w:space="0" w:color="auto"/>
        <w:left w:val="none" w:sz="0" w:space="0" w:color="auto"/>
        <w:bottom w:val="none" w:sz="0" w:space="0" w:color="auto"/>
        <w:right w:val="none" w:sz="0" w:space="0" w:color="auto"/>
      </w:divBdr>
    </w:div>
    <w:div w:id="977228181">
      <w:bodyDiv w:val="1"/>
      <w:marLeft w:val="0"/>
      <w:marRight w:val="0"/>
      <w:marTop w:val="0"/>
      <w:marBottom w:val="0"/>
      <w:divBdr>
        <w:top w:val="none" w:sz="0" w:space="0" w:color="auto"/>
        <w:left w:val="none" w:sz="0" w:space="0" w:color="auto"/>
        <w:bottom w:val="none" w:sz="0" w:space="0" w:color="auto"/>
        <w:right w:val="none" w:sz="0" w:space="0" w:color="auto"/>
      </w:divBdr>
    </w:div>
    <w:div w:id="979963646">
      <w:bodyDiv w:val="1"/>
      <w:marLeft w:val="0"/>
      <w:marRight w:val="0"/>
      <w:marTop w:val="0"/>
      <w:marBottom w:val="0"/>
      <w:divBdr>
        <w:top w:val="none" w:sz="0" w:space="0" w:color="auto"/>
        <w:left w:val="none" w:sz="0" w:space="0" w:color="auto"/>
        <w:bottom w:val="none" w:sz="0" w:space="0" w:color="auto"/>
        <w:right w:val="none" w:sz="0" w:space="0" w:color="auto"/>
      </w:divBdr>
    </w:div>
    <w:div w:id="1006860540">
      <w:bodyDiv w:val="1"/>
      <w:marLeft w:val="0"/>
      <w:marRight w:val="0"/>
      <w:marTop w:val="0"/>
      <w:marBottom w:val="0"/>
      <w:divBdr>
        <w:top w:val="none" w:sz="0" w:space="0" w:color="auto"/>
        <w:left w:val="none" w:sz="0" w:space="0" w:color="auto"/>
        <w:bottom w:val="none" w:sz="0" w:space="0" w:color="auto"/>
        <w:right w:val="none" w:sz="0" w:space="0" w:color="auto"/>
      </w:divBdr>
    </w:div>
    <w:div w:id="1127702885">
      <w:bodyDiv w:val="1"/>
      <w:marLeft w:val="0"/>
      <w:marRight w:val="0"/>
      <w:marTop w:val="0"/>
      <w:marBottom w:val="0"/>
      <w:divBdr>
        <w:top w:val="none" w:sz="0" w:space="0" w:color="auto"/>
        <w:left w:val="none" w:sz="0" w:space="0" w:color="auto"/>
        <w:bottom w:val="none" w:sz="0" w:space="0" w:color="auto"/>
        <w:right w:val="none" w:sz="0" w:space="0" w:color="auto"/>
      </w:divBdr>
    </w:div>
    <w:div w:id="1144929808">
      <w:bodyDiv w:val="1"/>
      <w:marLeft w:val="0"/>
      <w:marRight w:val="0"/>
      <w:marTop w:val="0"/>
      <w:marBottom w:val="0"/>
      <w:divBdr>
        <w:top w:val="none" w:sz="0" w:space="0" w:color="auto"/>
        <w:left w:val="none" w:sz="0" w:space="0" w:color="auto"/>
        <w:bottom w:val="none" w:sz="0" w:space="0" w:color="auto"/>
        <w:right w:val="none" w:sz="0" w:space="0" w:color="auto"/>
      </w:divBdr>
    </w:div>
    <w:div w:id="1187018788">
      <w:bodyDiv w:val="1"/>
      <w:marLeft w:val="0"/>
      <w:marRight w:val="0"/>
      <w:marTop w:val="0"/>
      <w:marBottom w:val="0"/>
      <w:divBdr>
        <w:top w:val="none" w:sz="0" w:space="0" w:color="auto"/>
        <w:left w:val="none" w:sz="0" w:space="0" w:color="auto"/>
        <w:bottom w:val="none" w:sz="0" w:space="0" w:color="auto"/>
        <w:right w:val="none" w:sz="0" w:space="0" w:color="auto"/>
      </w:divBdr>
    </w:div>
    <w:div w:id="1215628219">
      <w:bodyDiv w:val="1"/>
      <w:marLeft w:val="0"/>
      <w:marRight w:val="0"/>
      <w:marTop w:val="0"/>
      <w:marBottom w:val="0"/>
      <w:divBdr>
        <w:top w:val="none" w:sz="0" w:space="0" w:color="auto"/>
        <w:left w:val="none" w:sz="0" w:space="0" w:color="auto"/>
        <w:bottom w:val="none" w:sz="0" w:space="0" w:color="auto"/>
        <w:right w:val="none" w:sz="0" w:space="0" w:color="auto"/>
      </w:divBdr>
    </w:div>
    <w:div w:id="1229917874">
      <w:bodyDiv w:val="1"/>
      <w:marLeft w:val="0"/>
      <w:marRight w:val="0"/>
      <w:marTop w:val="0"/>
      <w:marBottom w:val="0"/>
      <w:divBdr>
        <w:top w:val="none" w:sz="0" w:space="0" w:color="auto"/>
        <w:left w:val="none" w:sz="0" w:space="0" w:color="auto"/>
        <w:bottom w:val="none" w:sz="0" w:space="0" w:color="auto"/>
        <w:right w:val="none" w:sz="0" w:space="0" w:color="auto"/>
      </w:divBdr>
    </w:div>
    <w:div w:id="1232036547">
      <w:bodyDiv w:val="1"/>
      <w:marLeft w:val="0"/>
      <w:marRight w:val="0"/>
      <w:marTop w:val="0"/>
      <w:marBottom w:val="0"/>
      <w:divBdr>
        <w:top w:val="none" w:sz="0" w:space="0" w:color="auto"/>
        <w:left w:val="none" w:sz="0" w:space="0" w:color="auto"/>
        <w:bottom w:val="none" w:sz="0" w:space="0" w:color="auto"/>
        <w:right w:val="none" w:sz="0" w:space="0" w:color="auto"/>
      </w:divBdr>
    </w:div>
    <w:div w:id="1237206690">
      <w:bodyDiv w:val="1"/>
      <w:marLeft w:val="0"/>
      <w:marRight w:val="0"/>
      <w:marTop w:val="0"/>
      <w:marBottom w:val="0"/>
      <w:divBdr>
        <w:top w:val="none" w:sz="0" w:space="0" w:color="auto"/>
        <w:left w:val="none" w:sz="0" w:space="0" w:color="auto"/>
        <w:bottom w:val="none" w:sz="0" w:space="0" w:color="auto"/>
        <w:right w:val="none" w:sz="0" w:space="0" w:color="auto"/>
      </w:divBdr>
    </w:div>
    <w:div w:id="1245609054">
      <w:bodyDiv w:val="1"/>
      <w:marLeft w:val="0"/>
      <w:marRight w:val="0"/>
      <w:marTop w:val="0"/>
      <w:marBottom w:val="0"/>
      <w:divBdr>
        <w:top w:val="none" w:sz="0" w:space="0" w:color="auto"/>
        <w:left w:val="none" w:sz="0" w:space="0" w:color="auto"/>
        <w:bottom w:val="none" w:sz="0" w:space="0" w:color="auto"/>
        <w:right w:val="none" w:sz="0" w:space="0" w:color="auto"/>
      </w:divBdr>
    </w:div>
    <w:div w:id="1293557080">
      <w:bodyDiv w:val="1"/>
      <w:marLeft w:val="0"/>
      <w:marRight w:val="0"/>
      <w:marTop w:val="0"/>
      <w:marBottom w:val="0"/>
      <w:divBdr>
        <w:top w:val="none" w:sz="0" w:space="0" w:color="auto"/>
        <w:left w:val="none" w:sz="0" w:space="0" w:color="auto"/>
        <w:bottom w:val="none" w:sz="0" w:space="0" w:color="auto"/>
        <w:right w:val="none" w:sz="0" w:space="0" w:color="auto"/>
      </w:divBdr>
      <w:divsChild>
        <w:div w:id="704448918">
          <w:marLeft w:val="0"/>
          <w:marRight w:val="0"/>
          <w:marTop w:val="0"/>
          <w:marBottom w:val="0"/>
          <w:divBdr>
            <w:top w:val="none" w:sz="0" w:space="0" w:color="auto"/>
            <w:left w:val="none" w:sz="0" w:space="0" w:color="auto"/>
            <w:bottom w:val="none" w:sz="0" w:space="0" w:color="auto"/>
            <w:right w:val="none" w:sz="0" w:space="0" w:color="auto"/>
          </w:divBdr>
          <w:divsChild>
            <w:div w:id="1122573655">
              <w:marLeft w:val="0"/>
              <w:marRight w:val="0"/>
              <w:marTop w:val="0"/>
              <w:marBottom w:val="0"/>
              <w:divBdr>
                <w:top w:val="none" w:sz="0" w:space="0" w:color="auto"/>
                <w:left w:val="none" w:sz="0" w:space="0" w:color="auto"/>
                <w:bottom w:val="none" w:sz="0" w:space="0" w:color="auto"/>
                <w:right w:val="none" w:sz="0" w:space="0" w:color="auto"/>
              </w:divBdr>
              <w:divsChild>
                <w:div w:id="1766996551">
                  <w:marLeft w:val="0"/>
                  <w:marRight w:val="0"/>
                  <w:marTop w:val="0"/>
                  <w:marBottom w:val="0"/>
                  <w:divBdr>
                    <w:top w:val="none" w:sz="0" w:space="0" w:color="auto"/>
                    <w:left w:val="none" w:sz="0" w:space="0" w:color="auto"/>
                    <w:bottom w:val="none" w:sz="0" w:space="0" w:color="auto"/>
                    <w:right w:val="none" w:sz="0" w:space="0" w:color="auto"/>
                  </w:divBdr>
                  <w:divsChild>
                    <w:div w:id="1478763975">
                      <w:marLeft w:val="0"/>
                      <w:marRight w:val="0"/>
                      <w:marTop w:val="0"/>
                      <w:marBottom w:val="0"/>
                      <w:divBdr>
                        <w:top w:val="none" w:sz="0" w:space="0" w:color="auto"/>
                        <w:left w:val="none" w:sz="0" w:space="0" w:color="auto"/>
                        <w:bottom w:val="none" w:sz="0" w:space="0" w:color="auto"/>
                        <w:right w:val="none" w:sz="0" w:space="0" w:color="auto"/>
                      </w:divBdr>
                      <w:divsChild>
                        <w:div w:id="1077895950">
                          <w:marLeft w:val="0"/>
                          <w:marRight w:val="0"/>
                          <w:marTop w:val="0"/>
                          <w:marBottom w:val="0"/>
                          <w:divBdr>
                            <w:top w:val="none" w:sz="0" w:space="0" w:color="auto"/>
                            <w:left w:val="none" w:sz="0" w:space="0" w:color="auto"/>
                            <w:bottom w:val="none" w:sz="0" w:space="0" w:color="auto"/>
                            <w:right w:val="none" w:sz="0" w:space="0" w:color="auto"/>
                          </w:divBdr>
                          <w:divsChild>
                            <w:div w:id="105660676">
                              <w:marLeft w:val="0"/>
                              <w:marRight w:val="0"/>
                              <w:marTop w:val="0"/>
                              <w:marBottom w:val="0"/>
                              <w:divBdr>
                                <w:top w:val="none" w:sz="0" w:space="0" w:color="auto"/>
                                <w:left w:val="none" w:sz="0" w:space="0" w:color="auto"/>
                                <w:bottom w:val="none" w:sz="0" w:space="0" w:color="auto"/>
                                <w:right w:val="none" w:sz="0" w:space="0" w:color="auto"/>
                              </w:divBdr>
                              <w:divsChild>
                                <w:div w:id="1869832182">
                                  <w:marLeft w:val="0"/>
                                  <w:marRight w:val="0"/>
                                  <w:marTop w:val="0"/>
                                  <w:marBottom w:val="0"/>
                                  <w:divBdr>
                                    <w:top w:val="none" w:sz="0" w:space="0" w:color="auto"/>
                                    <w:left w:val="none" w:sz="0" w:space="0" w:color="auto"/>
                                    <w:bottom w:val="none" w:sz="0" w:space="0" w:color="auto"/>
                                    <w:right w:val="none" w:sz="0" w:space="0" w:color="auto"/>
                                  </w:divBdr>
                                  <w:divsChild>
                                    <w:div w:id="10677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7005">
                          <w:marLeft w:val="0"/>
                          <w:marRight w:val="0"/>
                          <w:marTop w:val="0"/>
                          <w:marBottom w:val="0"/>
                          <w:divBdr>
                            <w:top w:val="none" w:sz="0" w:space="0" w:color="auto"/>
                            <w:left w:val="none" w:sz="0" w:space="0" w:color="auto"/>
                            <w:bottom w:val="none" w:sz="0" w:space="0" w:color="auto"/>
                            <w:right w:val="none" w:sz="0" w:space="0" w:color="auto"/>
                          </w:divBdr>
                          <w:divsChild>
                            <w:div w:id="1505702297">
                              <w:marLeft w:val="0"/>
                              <w:marRight w:val="0"/>
                              <w:marTop w:val="0"/>
                              <w:marBottom w:val="0"/>
                              <w:divBdr>
                                <w:top w:val="none" w:sz="0" w:space="0" w:color="auto"/>
                                <w:left w:val="none" w:sz="0" w:space="0" w:color="auto"/>
                                <w:bottom w:val="none" w:sz="0" w:space="0" w:color="auto"/>
                                <w:right w:val="none" w:sz="0" w:space="0" w:color="auto"/>
                              </w:divBdr>
                              <w:divsChild>
                                <w:div w:id="10583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025629">
      <w:bodyDiv w:val="1"/>
      <w:marLeft w:val="0"/>
      <w:marRight w:val="0"/>
      <w:marTop w:val="0"/>
      <w:marBottom w:val="0"/>
      <w:divBdr>
        <w:top w:val="none" w:sz="0" w:space="0" w:color="auto"/>
        <w:left w:val="none" w:sz="0" w:space="0" w:color="auto"/>
        <w:bottom w:val="none" w:sz="0" w:space="0" w:color="auto"/>
        <w:right w:val="none" w:sz="0" w:space="0" w:color="auto"/>
      </w:divBdr>
    </w:div>
    <w:div w:id="1309240690">
      <w:bodyDiv w:val="1"/>
      <w:marLeft w:val="0"/>
      <w:marRight w:val="0"/>
      <w:marTop w:val="0"/>
      <w:marBottom w:val="0"/>
      <w:divBdr>
        <w:top w:val="none" w:sz="0" w:space="0" w:color="auto"/>
        <w:left w:val="none" w:sz="0" w:space="0" w:color="auto"/>
        <w:bottom w:val="none" w:sz="0" w:space="0" w:color="auto"/>
        <w:right w:val="none" w:sz="0" w:space="0" w:color="auto"/>
      </w:divBdr>
    </w:div>
    <w:div w:id="1311061642">
      <w:bodyDiv w:val="1"/>
      <w:marLeft w:val="0"/>
      <w:marRight w:val="0"/>
      <w:marTop w:val="0"/>
      <w:marBottom w:val="0"/>
      <w:divBdr>
        <w:top w:val="none" w:sz="0" w:space="0" w:color="auto"/>
        <w:left w:val="none" w:sz="0" w:space="0" w:color="auto"/>
        <w:bottom w:val="none" w:sz="0" w:space="0" w:color="auto"/>
        <w:right w:val="none" w:sz="0" w:space="0" w:color="auto"/>
      </w:divBdr>
    </w:div>
    <w:div w:id="1327056775">
      <w:bodyDiv w:val="1"/>
      <w:marLeft w:val="0"/>
      <w:marRight w:val="0"/>
      <w:marTop w:val="0"/>
      <w:marBottom w:val="0"/>
      <w:divBdr>
        <w:top w:val="none" w:sz="0" w:space="0" w:color="auto"/>
        <w:left w:val="none" w:sz="0" w:space="0" w:color="auto"/>
        <w:bottom w:val="none" w:sz="0" w:space="0" w:color="auto"/>
        <w:right w:val="none" w:sz="0" w:space="0" w:color="auto"/>
      </w:divBdr>
    </w:div>
    <w:div w:id="1340498780">
      <w:bodyDiv w:val="1"/>
      <w:marLeft w:val="0"/>
      <w:marRight w:val="0"/>
      <w:marTop w:val="0"/>
      <w:marBottom w:val="0"/>
      <w:divBdr>
        <w:top w:val="none" w:sz="0" w:space="0" w:color="auto"/>
        <w:left w:val="none" w:sz="0" w:space="0" w:color="auto"/>
        <w:bottom w:val="none" w:sz="0" w:space="0" w:color="auto"/>
        <w:right w:val="none" w:sz="0" w:space="0" w:color="auto"/>
      </w:divBdr>
    </w:div>
    <w:div w:id="1355884021">
      <w:bodyDiv w:val="1"/>
      <w:marLeft w:val="0"/>
      <w:marRight w:val="0"/>
      <w:marTop w:val="0"/>
      <w:marBottom w:val="0"/>
      <w:divBdr>
        <w:top w:val="none" w:sz="0" w:space="0" w:color="auto"/>
        <w:left w:val="none" w:sz="0" w:space="0" w:color="auto"/>
        <w:bottom w:val="none" w:sz="0" w:space="0" w:color="auto"/>
        <w:right w:val="none" w:sz="0" w:space="0" w:color="auto"/>
      </w:divBdr>
    </w:div>
    <w:div w:id="1364594539">
      <w:bodyDiv w:val="1"/>
      <w:marLeft w:val="0"/>
      <w:marRight w:val="0"/>
      <w:marTop w:val="0"/>
      <w:marBottom w:val="0"/>
      <w:divBdr>
        <w:top w:val="none" w:sz="0" w:space="0" w:color="auto"/>
        <w:left w:val="none" w:sz="0" w:space="0" w:color="auto"/>
        <w:bottom w:val="none" w:sz="0" w:space="0" w:color="auto"/>
        <w:right w:val="none" w:sz="0" w:space="0" w:color="auto"/>
      </w:divBdr>
    </w:div>
    <w:div w:id="1406878615">
      <w:bodyDiv w:val="1"/>
      <w:marLeft w:val="0"/>
      <w:marRight w:val="0"/>
      <w:marTop w:val="0"/>
      <w:marBottom w:val="0"/>
      <w:divBdr>
        <w:top w:val="none" w:sz="0" w:space="0" w:color="auto"/>
        <w:left w:val="none" w:sz="0" w:space="0" w:color="auto"/>
        <w:bottom w:val="none" w:sz="0" w:space="0" w:color="auto"/>
        <w:right w:val="none" w:sz="0" w:space="0" w:color="auto"/>
      </w:divBdr>
    </w:div>
    <w:div w:id="1429236071">
      <w:bodyDiv w:val="1"/>
      <w:marLeft w:val="0"/>
      <w:marRight w:val="0"/>
      <w:marTop w:val="0"/>
      <w:marBottom w:val="0"/>
      <w:divBdr>
        <w:top w:val="none" w:sz="0" w:space="0" w:color="auto"/>
        <w:left w:val="none" w:sz="0" w:space="0" w:color="auto"/>
        <w:bottom w:val="none" w:sz="0" w:space="0" w:color="auto"/>
        <w:right w:val="none" w:sz="0" w:space="0" w:color="auto"/>
      </w:divBdr>
    </w:div>
    <w:div w:id="1447575309">
      <w:bodyDiv w:val="1"/>
      <w:marLeft w:val="0"/>
      <w:marRight w:val="0"/>
      <w:marTop w:val="0"/>
      <w:marBottom w:val="0"/>
      <w:divBdr>
        <w:top w:val="none" w:sz="0" w:space="0" w:color="auto"/>
        <w:left w:val="none" w:sz="0" w:space="0" w:color="auto"/>
        <w:bottom w:val="none" w:sz="0" w:space="0" w:color="auto"/>
        <w:right w:val="none" w:sz="0" w:space="0" w:color="auto"/>
      </w:divBdr>
    </w:div>
    <w:div w:id="1472597739">
      <w:bodyDiv w:val="1"/>
      <w:marLeft w:val="0"/>
      <w:marRight w:val="0"/>
      <w:marTop w:val="0"/>
      <w:marBottom w:val="0"/>
      <w:divBdr>
        <w:top w:val="none" w:sz="0" w:space="0" w:color="auto"/>
        <w:left w:val="none" w:sz="0" w:space="0" w:color="auto"/>
        <w:bottom w:val="none" w:sz="0" w:space="0" w:color="auto"/>
        <w:right w:val="none" w:sz="0" w:space="0" w:color="auto"/>
      </w:divBdr>
    </w:div>
    <w:div w:id="1498380425">
      <w:bodyDiv w:val="1"/>
      <w:marLeft w:val="0"/>
      <w:marRight w:val="0"/>
      <w:marTop w:val="0"/>
      <w:marBottom w:val="0"/>
      <w:divBdr>
        <w:top w:val="none" w:sz="0" w:space="0" w:color="auto"/>
        <w:left w:val="none" w:sz="0" w:space="0" w:color="auto"/>
        <w:bottom w:val="none" w:sz="0" w:space="0" w:color="auto"/>
        <w:right w:val="none" w:sz="0" w:space="0" w:color="auto"/>
      </w:divBdr>
    </w:div>
    <w:div w:id="1552228072">
      <w:bodyDiv w:val="1"/>
      <w:marLeft w:val="0"/>
      <w:marRight w:val="0"/>
      <w:marTop w:val="0"/>
      <w:marBottom w:val="0"/>
      <w:divBdr>
        <w:top w:val="none" w:sz="0" w:space="0" w:color="auto"/>
        <w:left w:val="none" w:sz="0" w:space="0" w:color="auto"/>
        <w:bottom w:val="none" w:sz="0" w:space="0" w:color="auto"/>
        <w:right w:val="none" w:sz="0" w:space="0" w:color="auto"/>
      </w:divBdr>
    </w:div>
    <w:div w:id="1555392639">
      <w:bodyDiv w:val="1"/>
      <w:marLeft w:val="0"/>
      <w:marRight w:val="0"/>
      <w:marTop w:val="0"/>
      <w:marBottom w:val="0"/>
      <w:divBdr>
        <w:top w:val="none" w:sz="0" w:space="0" w:color="auto"/>
        <w:left w:val="none" w:sz="0" w:space="0" w:color="auto"/>
        <w:bottom w:val="none" w:sz="0" w:space="0" w:color="auto"/>
        <w:right w:val="none" w:sz="0" w:space="0" w:color="auto"/>
      </w:divBdr>
    </w:div>
    <w:div w:id="1595432394">
      <w:bodyDiv w:val="1"/>
      <w:marLeft w:val="0"/>
      <w:marRight w:val="0"/>
      <w:marTop w:val="0"/>
      <w:marBottom w:val="0"/>
      <w:divBdr>
        <w:top w:val="none" w:sz="0" w:space="0" w:color="auto"/>
        <w:left w:val="none" w:sz="0" w:space="0" w:color="auto"/>
        <w:bottom w:val="none" w:sz="0" w:space="0" w:color="auto"/>
        <w:right w:val="none" w:sz="0" w:space="0" w:color="auto"/>
      </w:divBdr>
    </w:div>
    <w:div w:id="1803762749">
      <w:bodyDiv w:val="1"/>
      <w:marLeft w:val="0"/>
      <w:marRight w:val="0"/>
      <w:marTop w:val="0"/>
      <w:marBottom w:val="0"/>
      <w:divBdr>
        <w:top w:val="none" w:sz="0" w:space="0" w:color="auto"/>
        <w:left w:val="none" w:sz="0" w:space="0" w:color="auto"/>
        <w:bottom w:val="none" w:sz="0" w:space="0" w:color="auto"/>
        <w:right w:val="none" w:sz="0" w:space="0" w:color="auto"/>
      </w:divBdr>
    </w:div>
    <w:div w:id="1811901957">
      <w:bodyDiv w:val="1"/>
      <w:marLeft w:val="0"/>
      <w:marRight w:val="0"/>
      <w:marTop w:val="0"/>
      <w:marBottom w:val="0"/>
      <w:divBdr>
        <w:top w:val="none" w:sz="0" w:space="0" w:color="auto"/>
        <w:left w:val="none" w:sz="0" w:space="0" w:color="auto"/>
        <w:bottom w:val="none" w:sz="0" w:space="0" w:color="auto"/>
        <w:right w:val="none" w:sz="0" w:space="0" w:color="auto"/>
      </w:divBdr>
    </w:div>
    <w:div w:id="1912302385">
      <w:bodyDiv w:val="1"/>
      <w:marLeft w:val="0"/>
      <w:marRight w:val="0"/>
      <w:marTop w:val="0"/>
      <w:marBottom w:val="0"/>
      <w:divBdr>
        <w:top w:val="none" w:sz="0" w:space="0" w:color="auto"/>
        <w:left w:val="none" w:sz="0" w:space="0" w:color="auto"/>
        <w:bottom w:val="none" w:sz="0" w:space="0" w:color="auto"/>
        <w:right w:val="none" w:sz="0" w:space="0" w:color="auto"/>
      </w:divBdr>
    </w:div>
    <w:div w:id="1927761190">
      <w:bodyDiv w:val="1"/>
      <w:marLeft w:val="0"/>
      <w:marRight w:val="0"/>
      <w:marTop w:val="0"/>
      <w:marBottom w:val="0"/>
      <w:divBdr>
        <w:top w:val="none" w:sz="0" w:space="0" w:color="auto"/>
        <w:left w:val="none" w:sz="0" w:space="0" w:color="auto"/>
        <w:bottom w:val="none" w:sz="0" w:space="0" w:color="auto"/>
        <w:right w:val="none" w:sz="0" w:space="0" w:color="auto"/>
      </w:divBdr>
    </w:div>
    <w:div w:id="1936788660">
      <w:bodyDiv w:val="1"/>
      <w:marLeft w:val="0"/>
      <w:marRight w:val="0"/>
      <w:marTop w:val="0"/>
      <w:marBottom w:val="0"/>
      <w:divBdr>
        <w:top w:val="none" w:sz="0" w:space="0" w:color="auto"/>
        <w:left w:val="none" w:sz="0" w:space="0" w:color="auto"/>
        <w:bottom w:val="none" w:sz="0" w:space="0" w:color="auto"/>
        <w:right w:val="none" w:sz="0" w:space="0" w:color="auto"/>
      </w:divBdr>
    </w:div>
    <w:div w:id="1963222877">
      <w:bodyDiv w:val="1"/>
      <w:marLeft w:val="0"/>
      <w:marRight w:val="0"/>
      <w:marTop w:val="0"/>
      <w:marBottom w:val="0"/>
      <w:divBdr>
        <w:top w:val="none" w:sz="0" w:space="0" w:color="auto"/>
        <w:left w:val="none" w:sz="0" w:space="0" w:color="auto"/>
        <w:bottom w:val="none" w:sz="0" w:space="0" w:color="auto"/>
        <w:right w:val="none" w:sz="0" w:space="0" w:color="auto"/>
      </w:divBdr>
    </w:div>
    <w:div w:id="2033216337">
      <w:bodyDiv w:val="1"/>
      <w:marLeft w:val="0"/>
      <w:marRight w:val="0"/>
      <w:marTop w:val="0"/>
      <w:marBottom w:val="0"/>
      <w:divBdr>
        <w:top w:val="none" w:sz="0" w:space="0" w:color="auto"/>
        <w:left w:val="none" w:sz="0" w:space="0" w:color="auto"/>
        <w:bottom w:val="none" w:sz="0" w:space="0" w:color="auto"/>
        <w:right w:val="none" w:sz="0" w:space="0" w:color="auto"/>
      </w:divBdr>
    </w:div>
    <w:div w:id="2034068170">
      <w:bodyDiv w:val="1"/>
      <w:marLeft w:val="0"/>
      <w:marRight w:val="0"/>
      <w:marTop w:val="0"/>
      <w:marBottom w:val="0"/>
      <w:divBdr>
        <w:top w:val="none" w:sz="0" w:space="0" w:color="auto"/>
        <w:left w:val="none" w:sz="0" w:space="0" w:color="auto"/>
        <w:bottom w:val="none" w:sz="0" w:space="0" w:color="auto"/>
        <w:right w:val="none" w:sz="0" w:space="0" w:color="auto"/>
      </w:divBdr>
    </w:div>
    <w:div w:id="2056004629">
      <w:bodyDiv w:val="1"/>
      <w:marLeft w:val="0"/>
      <w:marRight w:val="0"/>
      <w:marTop w:val="0"/>
      <w:marBottom w:val="0"/>
      <w:divBdr>
        <w:top w:val="none" w:sz="0" w:space="0" w:color="auto"/>
        <w:left w:val="none" w:sz="0" w:space="0" w:color="auto"/>
        <w:bottom w:val="none" w:sz="0" w:space="0" w:color="auto"/>
        <w:right w:val="none" w:sz="0" w:space="0" w:color="auto"/>
      </w:divBdr>
    </w:div>
    <w:div w:id="2067415236">
      <w:bodyDiv w:val="1"/>
      <w:marLeft w:val="0"/>
      <w:marRight w:val="0"/>
      <w:marTop w:val="0"/>
      <w:marBottom w:val="0"/>
      <w:divBdr>
        <w:top w:val="none" w:sz="0" w:space="0" w:color="auto"/>
        <w:left w:val="none" w:sz="0" w:space="0" w:color="auto"/>
        <w:bottom w:val="none" w:sz="0" w:space="0" w:color="auto"/>
        <w:right w:val="none" w:sz="0" w:space="0" w:color="auto"/>
      </w:divBdr>
    </w:div>
    <w:div w:id="212337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oleObject" Target="embeddings/oleObject11.bin"/><Relationship Id="rId42" Type="http://schemas.openxmlformats.org/officeDocument/2006/relationships/oleObject" Target="embeddings/oleObject19.bin"/><Relationship Id="rId47" Type="http://schemas.openxmlformats.org/officeDocument/2006/relationships/hyperlink" Target="https://au.int" TargetMode="External"/><Relationship Id="rId63" Type="http://schemas.openxmlformats.org/officeDocument/2006/relationships/hyperlink" Target="https://www.unep.org/resources/report/towards-green-" TargetMode="External"/><Relationship Id="rId68" Type="http://schemas.openxmlformats.org/officeDocument/2006/relationships/hyperlink" Target="https://www.worldbank.org" TargetMode="External"/><Relationship Id="rId7" Type="http://schemas.openxmlformats.org/officeDocument/2006/relationships/footer" Target="footer1.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6.bin"/><Relationship Id="rId29" Type="http://schemas.openxmlformats.org/officeDocument/2006/relationships/image" Target="media/image4.emf"/><Relationship Id="rId11" Type="http://schemas.openxmlformats.org/officeDocument/2006/relationships/oleObject" Target="embeddings/oleObject1.bin"/><Relationship Id="rId24" Type="http://schemas.openxmlformats.org/officeDocument/2006/relationships/chart" Target="charts/chart2.xml"/><Relationship Id="rId32" Type="http://schemas.openxmlformats.org/officeDocument/2006/relationships/oleObject" Target="embeddings/oleObject14.bin"/><Relationship Id="rId37" Type="http://schemas.openxmlformats.org/officeDocument/2006/relationships/image" Target="media/image8.emf"/><Relationship Id="rId40" Type="http://schemas.openxmlformats.org/officeDocument/2006/relationships/oleObject" Target="embeddings/oleObject18.bin"/><Relationship Id="rId45" Type="http://schemas.openxmlformats.org/officeDocument/2006/relationships/hyperlink" Target="https://doi.org/10.2991/jat.k.190528.001" TargetMode="External"/><Relationship Id="rId53" Type="http://schemas.openxmlformats.org/officeDocument/2006/relationships/hyperlink" Target="https://www.researchgate.net/publication/309904285_Exchange_Rate_Volatility_and_International_Trade_In_Nigeria" TargetMode="External"/><Relationship Id="rId58" Type="http://schemas.openxmlformats.org/officeDocument/2006/relationships/hyperlink" Target="https://doi.org/10.1108/01443570510633639" TargetMode="External"/><Relationship Id="rId66" Type="http://schemas.openxmlformats.org/officeDocument/2006/relationships/hyperlink" Target="https://documents.worldbank.org/curated/en/%20959091468775569769/pdf/multi0page.pdf" TargetMode="External"/><Relationship Id="rId5" Type="http://schemas.openxmlformats.org/officeDocument/2006/relationships/footnotes" Target="footnotes.xml"/><Relationship Id="rId61" Type="http://schemas.openxmlformats.org/officeDocument/2006/relationships/hyperlink" Target="https://unctad.org/publication/review-maritime-transport-2020" TargetMode="External"/><Relationship Id="rId19" Type="http://schemas.openxmlformats.org/officeDocument/2006/relationships/oleObject" Target="embeddings/oleObject9.bin"/><Relationship Id="rId14" Type="http://schemas.openxmlformats.org/officeDocument/2006/relationships/oleObject" Target="embeddings/oleObject4.bin"/><Relationship Id="rId22" Type="http://schemas.openxmlformats.org/officeDocument/2006/relationships/oleObject" Target="embeddings/oleObject12.bin"/><Relationship Id="rId27" Type="http://schemas.openxmlformats.org/officeDocument/2006/relationships/chart" Target="charts/chart5.xml"/><Relationship Id="rId30" Type="http://schemas.openxmlformats.org/officeDocument/2006/relationships/oleObject" Target="embeddings/oleObject13.bin"/><Relationship Id="rId35" Type="http://schemas.openxmlformats.org/officeDocument/2006/relationships/image" Target="media/image7.emf"/><Relationship Id="rId43" Type="http://schemas.openxmlformats.org/officeDocument/2006/relationships/image" Target="media/image11.emf"/><Relationship Id="rId48" Type="http://schemas.openxmlformats.org/officeDocument/2006/relationships/hyperlink" Target="https://doi.org/10.1057/s41278-020-00145-7" TargetMode="External"/><Relationship Id="rId56" Type="http://schemas.openxmlformats.org/officeDocument/2006/relationships/hyperlink" Target="https://www.hklaw.com/en/insights/publications/2025/01/an-overview-of-president-trumps-trade-policy-to-date?utm_source=chatgpt.com" TargetMode="External"/><Relationship Id="rId64" Type="http://schemas.openxmlformats.org/officeDocument/2006/relationships/hyperlink" Target="https://unctad.org" TargetMode="External"/><Relationship Id="rId69" Type="http://schemas.openxmlformats.org/officeDocument/2006/relationships/hyperlink" Target="https://documents1.worldbank.org/curated/en/099101624100574290/P502989-76dd5e27-3b7a-492b-8e9c-be0acefcb58e.txt" TargetMode="External"/><Relationship Id="rId8" Type="http://schemas.openxmlformats.org/officeDocument/2006/relationships/image" Target="media/image1.jpeg"/><Relationship Id="rId51" Type="http://schemas.openxmlformats.org/officeDocument/2006/relationships/hyperlink" Target="https://www.cbn.gov.ng/documents/" TargetMode="External"/><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oleObject" Target="embeddings/oleObject7.bin"/><Relationship Id="rId25" Type="http://schemas.openxmlformats.org/officeDocument/2006/relationships/chart" Target="charts/chart3.xml"/><Relationship Id="rId33" Type="http://schemas.openxmlformats.org/officeDocument/2006/relationships/image" Target="media/image6.emf"/><Relationship Id="rId38" Type="http://schemas.openxmlformats.org/officeDocument/2006/relationships/oleObject" Target="embeddings/oleObject17.bin"/><Relationship Id="rId46" Type="http://schemas.openxmlformats.org/officeDocument/2006/relationships/hyperlink" Target="https://sites.lsa.umich.edu/mje/2024/04/29/structural-adjustments-complex-legacy-in-sub-saharan-africa/" TargetMode="External"/><Relationship Id="rId59" Type="http://schemas.openxmlformats.org/officeDocument/2006/relationships/hyperlink" Target="https://archives.kdischool.ac.kr/handle/11125/34182" TargetMode="External"/><Relationship Id="rId67" Type="http://schemas.openxmlformats.org/officeDocument/2006/relationships/hyperlink" Target="https://worldbank.org" TargetMode="External"/><Relationship Id="rId20" Type="http://schemas.openxmlformats.org/officeDocument/2006/relationships/oleObject" Target="embeddings/oleObject10.bin"/><Relationship Id="rId41" Type="http://schemas.openxmlformats.org/officeDocument/2006/relationships/image" Target="media/image10.emf"/><Relationship Id="rId54" Type="http://schemas.openxmlformats.org/officeDocument/2006/relationships/hyperlink" Target="https://doi.org/10.1016/j.marpol.2020.103860" TargetMode="External"/><Relationship Id="rId62" Type="http://schemas.openxmlformats.org/officeDocument/2006/relationships/hyperlink" Target="https://unctad.org/publication/review-maritime-transport-2020?utm_source=chatgpt.com"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oleObject" Target="embeddings/oleObject16.bin"/><Relationship Id="rId49" Type="http://schemas.openxmlformats.org/officeDocument/2006/relationships/hyperlink" Target="https://www.researchgate.net/publication/367395797_THE_NIGERIAN_BLUE_ECONOMY_ECONOMIC_EXPANSION_ISSUES_AND_CHALLENGES" TargetMode="External"/><Relationship Id="rId57" Type="http://schemas.openxmlformats.org/officeDocument/2006/relationships/hyperlink" Target="https://www.ics-shipping.org" TargetMode="External"/><Relationship Id="rId10" Type="http://schemas.openxmlformats.org/officeDocument/2006/relationships/image" Target="media/image3.wmf"/><Relationship Id="rId31" Type="http://schemas.openxmlformats.org/officeDocument/2006/relationships/image" Target="media/image5.emf"/><Relationship Id="rId44" Type="http://schemas.openxmlformats.org/officeDocument/2006/relationships/oleObject" Target="embeddings/oleObject20.bin"/><Relationship Id="rId52" Type="http://schemas.openxmlformats.org/officeDocument/2006/relationships/hyperlink" Target="https://www.cbn.gov.ng/documents/Annual%20Reports.asp" TargetMode="External"/><Relationship Id="rId60" Type="http://schemas.openxmlformats.org/officeDocument/2006/relationships/hyperlink" Target="https://doi.org/10.1787/%209789264251724en" TargetMode="External"/><Relationship Id="rId65" Type="http://schemas.openxmlformats.org/officeDocument/2006/relationships/hyperlink" Target="https://en.wikipedia.org/wiki/%20Liberation_Day_tariffs" TargetMode="Externa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oleObject" Target="embeddings/oleObject3.bin"/><Relationship Id="rId18" Type="http://schemas.openxmlformats.org/officeDocument/2006/relationships/oleObject" Target="embeddings/oleObject8.bin"/><Relationship Id="rId39" Type="http://schemas.openxmlformats.org/officeDocument/2006/relationships/image" Target="media/image9.emf"/><Relationship Id="rId34" Type="http://schemas.openxmlformats.org/officeDocument/2006/relationships/oleObject" Target="embeddings/oleObject15.bin"/><Relationship Id="rId50" Type="http://schemas.openxmlformats.org/officeDocument/2006/relationships/hyperlink" Target="https://doi.org/10.2307/2223329" TargetMode="External"/><Relationship Id="rId55" Type="http://schemas.openxmlformats.org/officeDocument/2006/relationships/hyperlink" Target="https://www.fao.org/publications/sofia/2022/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idemi%20Adegboye\OneDrive\Documents\Irejeh%20Mina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bidemi%20Adegboye\OneDrive\Documents\Irejeh%20Mina_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bidemi%20Adegboye\OneDrive\Documents\Irejeh%20Mina_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bidemi%20Adegboye\OneDrive\Documents\Irejeh%20Mina_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bidemi%20Adegboye\OneDrive\Documents\Irejeh%20Mina_dat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bidemi%20Adegboye\OneDrive\Documents\Irejeh%20Mina_data.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45603674540682"/>
          <c:y val="0.11935554813753022"/>
          <c:w val="0.837321741032371"/>
          <c:h val="0.75377736760461056"/>
        </c:manualLayout>
      </c:layout>
      <c:scatterChart>
        <c:scatterStyle val="lineMarker"/>
        <c:varyColors val="0"/>
        <c:ser>
          <c:idx val="0"/>
          <c:order val="0"/>
          <c:tx>
            <c:strRef>
              <c:f>Sheet2!$AA$1</c:f>
              <c:strCache>
                <c:ptCount val="1"/>
                <c:pt idx="0">
                  <c:v>lSHPC</c:v>
                </c:pt>
              </c:strCache>
            </c:strRef>
          </c:tx>
          <c:spPr>
            <a:ln w="19050" cap="rnd">
              <a:noFill/>
              <a:round/>
            </a:ln>
            <a:effectLst/>
          </c:spPr>
          <c:marker>
            <c:symbol val="circle"/>
            <c:size val="5"/>
            <c:spPr>
              <a:solidFill>
                <a:schemeClr val="tx1"/>
              </a:solidFill>
              <a:ln w="9525">
                <a:solidFill>
                  <a:schemeClr val="accent1"/>
                </a:solidFill>
              </a:ln>
              <a:effectLst/>
            </c:spPr>
          </c:marker>
          <c:trendline>
            <c:spPr>
              <a:ln w="12700" cap="flat" cmpd="sng" algn="ctr">
                <a:solidFill>
                  <a:schemeClr val="dk1"/>
                </a:solidFill>
                <a:prstDash val="solid"/>
                <a:miter lim="800000"/>
              </a:ln>
              <a:effectLst/>
            </c:spPr>
            <c:trendlineType val="poly"/>
            <c:order val="2"/>
            <c:dispRSqr val="0"/>
            <c:dispEq val="0"/>
          </c:trendline>
          <c:xVal>
            <c:numRef>
              <c:f>Sheet2!$Z$2:$Z$36</c:f>
              <c:numCache>
                <c:formatCode>General</c:formatCode>
                <c:ptCount val="35"/>
                <c:pt idx="0">
                  <c:v>5.7493929859082504</c:v>
                </c:pt>
                <c:pt idx="1">
                  <c:v>6.47697236288968</c:v>
                </c:pt>
                <c:pt idx="2">
                  <c:v>6.68461172766792</c:v>
                </c:pt>
                <c:pt idx="3">
                  <c:v>7.8434564043761101</c:v>
                </c:pt>
                <c:pt idx="4">
                  <c:v>8.9069353390591601</c:v>
                </c:pt>
                <c:pt idx="5">
                  <c:v>9.4105837034040594</c:v>
                </c:pt>
                <c:pt idx="6">
                  <c:v>9.7439641320181494</c:v>
                </c:pt>
                <c:pt idx="7">
                  <c:v>9.9935567496249895</c:v>
                </c:pt>
                <c:pt idx="8">
                  <c:v>10.334782837345299</c:v>
                </c:pt>
                <c:pt idx="9">
                  <c:v>10.346601626429001</c:v>
                </c:pt>
                <c:pt idx="10">
                  <c:v>10.377109627304501</c:v>
                </c:pt>
                <c:pt idx="11">
                  <c:v>10.6020450707883</c:v>
                </c:pt>
                <c:pt idx="12">
                  <c:v>10.6491323020538</c:v>
                </c:pt>
                <c:pt idx="13">
                  <c:v>10.9402244374861</c:v>
                </c:pt>
                <c:pt idx="14">
                  <c:v>10.803648902480401</c:v>
                </c:pt>
                <c:pt idx="15">
                  <c:v>9.7379051117464499</c:v>
                </c:pt>
                <c:pt idx="16">
                  <c:v>11.034889664027199</c:v>
                </c:pt>
                <c:pt idx="17">
                  <c:v>10.651927518844699</c:v>
                </c:pt>
                <c:pt idx="18">
                  <c:v>11.373663397636699</c:v>
                </c:pt>
                <c:pt idx="19">
                  <c:v>11.4186147854989</c:v>
                </c:pt>
                <c:pt idx="20">
                  <c:v>11.5233707228317</c:v>
                </c:pt>
                <c:pt idx="21">
                  <c:v>11.652861305267701</c:v>
                </c:pt>
                <c:pt idx="22">
                  <c:v>11.8204836914268</c:v>
                </c:pt>
                <c:pt idx="23">
                  <c:v>11.9659736598165</c:v>
                </c:pt>
                <c:pt idx="24">
                  <c:v>12.059890135351999</c:v>
                </c:pt>
                <c:pt idx="25">
                  <c:v>12.085034317153101</c:v>
                </c:pt>
                <c:pt idx="26">
                  <c:v>12.114066999734099</c:v>
                </c:pt>
                <c:pt idx="27">
                  <c:v>12.489746696584399</c:v>
                </c:pt>
                <c:pt idx="28">
                  <c:v>12.508249164132399</c:v>
                </c:pt>
                <c:pt idx="29">
                  <c:v>12.534224650535601</c:v>
                </c:pt>
                <c:pt idx="30">
                  <c:v>12.666657052859399</c:v>
                </c:pt>
                <c:pt idx="31">
                  <c:v>12.454025875752899</c:v>
                </c:pt>
                <c:pt idx="32">
                  <c:v>12.796633237315</c:v>
                </c:pt>
                <c:pt idx="33">
                  <c:v>13.124361380067</c:v>
                </c:pt>
                <c:pt idx="34">
                  <c:v>13.5387816137263</c:v>
                </c:pt>
              </c:numCache>
            </c:numRef>
          </c:xVal>
          <c:yVal>
            <c:numRef>
              <c:f>Sheet2!$AA$2:$AA$36</c:f>
              <c:numCache>
                <c:formatCode>General</c:formatCode>
                <c:ptCount val="35"/>
                <c:pt idx="0">
                  <c:v>16.087952181973399</c:v>
                </c:pt>
                <c:pt idx="1">
                  <c:v>16.0391542835618</c:v>
                </c:pt>
                <c:pt idx="2">
                  <c:v>15.9878524407318</c:v>
                </c:pt>
                <c:pt idx="3">
                  <c:v>15.933775721106301</c:v>
                </c:pt>
                <c:pt idx="4">
                  <c:v>15.876606691350901</c:v>
                </c:pt>
                <c:pt idx="5">
                  <c:v>15.8159701264948</c:v>
                </c:pt>
                <c:pt idx="6">
                  <c:v>15.751418069739801</c:v>
                </c:pt>
                <c:pt idx="7">
                  <c:v>15.682409728751599</c:v>
                </c:pt>
                <c:pt idx="8">
                  <c:v>15.608283906875901</c:v>
                </c:pt>
                <c:pt idx="9">
                  <c:v>15.528220374124</c:v>
                </c:pt>
                <c:pt idx="10">
                  <c:v>15.062442778352599</c:v>
                </c:pt>
                <c:pt idx="11">
                  <c:v>15.0644335402836</c:v>
                </c:pt>
                <c:pt idx="12">
                  <c:v>15.0664203469541</c:v>
                </c:pt>
                <c:pt idx="13">
                  <c:v>15.0684032140498</c:v>
                </c:pt>
                <c:pt idx="14">
                  <c:v>15.111535513204799</c:v>
                </c:pt>
                <c:pt idx="15">
                  <c:v>15.138471028088199</c:v>
                </c:pt>
                <c:pt idx="16">
                  <c:v>15.1373070373874</c:v>
                </c:pt>
                <c:pt idx="17">
                  <c:v>15.151571756242699</c:v>
                </c:pt>
                <c:pt idx="18">
                  <c:v>15.165635851380801</c:v>
                </c:pt>
                <c:pt idx="19">
                  <c:v>15.1795048876437</c:v>
                </c:pt>
                <c:pt idx="20">
                  <c:v>15.193184202252301</c:v>
                </c:pt>
                <c:pt idx="21">
                  <c:v>15.206678915592001</c:v>
                </c:pt>
                <c:pt idx="22">
                  <c:v>15.219993943507401</c:v>
                </c:pt>
                <c:pt idx="23">
                  <c:v>15.233134008781599</c:v>
                </c:pt>
                <c:pt idx="24">
                  <c:v>15.246103649707001</c:v>
                </c:pt>
                <c:pt idx="25">
                  <c:v>15.258907230253101</c:v>
                </c:pt>
                <c:pt idx="26">
                  <c:v>15.36039863101</c:v>
                </c:pt>
                <c:pt idx="27">
                  <c:v>15.070547896689099</c:v>
                </c:pt>
                <c:pt idx="28">
                  <c:v>15.4086962272628</c:v>
                </c:pt>
                <c:pt idx="29">
                  <c:v>15.6700638674151</c:v>
                </c:pt>
                <c:pt idx="30">
                  <c:v>15.933195263396801</c:v>
                </c:pt>
                <c:pt idx="31">
                  <c:v>15.8987388174698</c:v>
                </c:pt>
                <c:pt idx="32">
                  <c:v>16.038389917485901</c:v>
                </c:pt>
                <c:pt idx="33">
                  <c:v>16.134479229177501</c:v>
                </c:pt>
                <c:pt idx="34">
                  <c:v>16.282294256310401</c:v>
                </c:pt>
              </c:numCache>
            </c:numRef>
          </c:yVal>
          <c:smooth val="0"/>
          <c:extLst>
            <c:ext xmlns:c16="http://schemas.microsoft.com/office/drawing/2014/chart" uri="{C3380CC4-5D6E-409C-BE32-E72D297353CC}">
              <c16:uniqueId val="{00000001-67B7-4430-BE28-26BC831C16D3}"/>
            </c:ext>
          </c:extLst>
        </c:ser>
        <c:dLbls>
          <c:showLegendKey val="0"/>
          <c:showVal val="0"/>
          <c:showCatName val="0"/>
          <c:showSerName val="0"/>
          <c:showPercent val="0"/>
          <c:showBubbleSize val="0"/>
        </c:dLbls>
        <c:axId val="305035104"/>
        <c:axId val="375629080"/>
      </c:scatterChart>
      <c:valAx>
        <c:axId val="305035104"/>
        <c:scaling>
          <c:orientation val="minMax"/>
          <c:min val="5"/>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Shipping cost</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5629080"/>
        <c:crosses val="autoZero"/>
        <c:crossBetween val="midCat"/>
      </c:valAx>
      <c:valAx>
        <c:axId val="37562908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Port revenue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50351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25457629693395"/>
          <c:y val="0.12892682926829269"/>
          <c:w val="0.80471326936223009"/>
          <c:h val="0.70325216055310147"/>
        </c:manualLayout>
      </c:layout>
      <c:scatterChart>
        <c:scatterStyle val="lineMarker"/>
        <c:varyColors val="0"/>
        <c:ser>
          <c:idx val="0"/>
          <c:order val="0"/>
          <c:tx>
            <c:strRef>
              <c:f>Sheet2!$AD$1</c:f>
              <c:strCache>
                <c:ptCount val="1"/>
                <c:pt idx="0">
                  <c:v>lPOR</c:v>
                </c:pt>
              </c:strCache>
            </c:strRef>
          </c:tx>
          <c:spPr>
            <a:ln w="19050" cap="rnd">
              <a:noFill/>
              <a:round/>
            </a:ln>
            <a:effectLst/>
          </c:spPr>
          <c:marker>
            <c:symbol val="circle"/>
            <c:size val="5"/>
            <c:spPr>
              <a:solidFill>
                <a:schemeClr val="tx1"/>
              </a:solidFill>
              <a:ln w="9525">
                <a:solidFill>
                  <a:schemeClr val="accent1"/>
                </a:solidFill>
              </a:ln>
              <a:effectLst/>
            </c:spPr>
          </c:marker>
          <c:trendline>
            <c:spPr>
              <a:ln w="12700" cap="flat" cmpd="sng" algn="ctr">
                <a:solidFill>
                  <a:schemeClr val="dk1"/>
                </a:solidFill>
                <a:prstDash val="solid"/>
                <a:miter lim="800000"/>
              </a:ln>
              <a:effectLst/>
            </c:spPr>
            <c:trendlineType val="linear"/>
            <c:dispRSqr val="0"/>
            <c:dispEq val="0"/>
          </c:trendline>
          <c:xVal>
            <c:numRef>
              <c:f>Sheet2!$AC$2:$AC$36</c:f>
              <c:numCache>
                <c:formatCode>General</c:formatCode>
                <c:ptCount val="35"/>
                <c:pt idx="0">
                  <c:v>12.433291879952799</c:v>
                </c:pt>
                <c:pt idx="1">
                  <c:v>12.767173045169701</c:v>
                </c:pt>
                <c:pt idx="2">
                  <c:v>12.9025891435597</c:v>
                </c:pt>
                <c:pt idx="3">
                  <c:v>13.0174805254248</c:v>
                </c:pt>
                <c:pt idx="4">
                  <c:v>13.165135469248201</c:v>
                </c:pt>
                <c:pt idx="5">
                  <c:v>13.187218098545401</c:v>
                </c:pt>
                <c:pt idx="6">
                  <c:v>13.1999260893521</c:v>
                </c:pt>
                <c:pt idx="7">
                  <c:v>13.296358700451799</c:v>
                </c:pt>
                <c:pt idx="8">
                  <c:v>13.370035625436399</c:v>
                </c:pt>
                <c:pt idx="9">
                  <c:v>13.394557630373701</c:v>
                </c:pt>
                <c:pt idx="10">
                  <c:v>13.8602927007361</c:v>
                </c:pt>
                <c:pt idx="11">
                  <c:v>13.8786740717123</c:v>
                </c:pt>
                <c:pt idx="12">
                  <c:v>13.897459140611399</c:v>
                </c:pt>
                <c:pt idx="13">
                  <c:v>13.904670042784</c:v>
                </c:pt>
                <c:pt idx="14">
                  <c:v>13.905351261964</c:v>
                </c:pt>
                <c:pt idx="15">
                  <c:v>13.915808279279601</c:v>
                </c:pt>
                <c:pt idx="16">
                  <c:v>13.9320928730441</c:v>
                </c:pt>
                <c:pt idx="17">
                  <c:v>13.934071069086</c:v>
                </c:pt>
                <c:pt idx="18">
                  <c:v>13.943503516739399</c:v>
                </c:pt>
                <c:pt idx="19">
                  <c:v>13.9511335117489</c:v>
                </c:pt>
                <c:pt idx="20">
                  <c:v>13.9656532163939</c:v>
                </c:pt>
                <c:pt idx="21">
                  <c:v>14.191203507738701</c:v>
                </c:pt>
                <c:pt idx="22">
                  <c:v>14.2751228841428</c:v>
                </c:pt>
                <c:pt idx="23">
                  <c:v>14.343783095333899</c:v>
                </c:pt>
                <c:pt idx="24">
                  <c:v>14.440062466555499</c:v>
                </c:pt>
                <c:pt idx="25">
                  <c:v>14.2500055258595</c:v>
                </c:pt>
                <c:pt idx="26">
                  <c:v>14.056101022882199</c:v>
                </c:pt>
                <c:pt idx="27">
                  <c:v>14.1576808157001</c:v>
                </c:pt>
                <c:pt idx="28">
                  <c:v>14.2601963792257</c:v>
                </c:pt>
                <c:pt idx="29">
                  <c:v>14.30233565959</c:v>
                </c:pt>
                <c:pt idx="30">
                  <c:v>14.252876061213801</c:v>
                </c:pt>
                <c:pt idx="31">
                  <c:v>14.2641047571974</c:v>
                </c:pt>
                <c:pt idx="32">
                  <c:v>14.2641047571974</c:v>
                </c:pt>
                <c:pt idx="33">
                  <c:v>14.285329795210799</c:v>
                </c:pt>
                <c:pt idx="34">
                  <c:v>14.2789017481426</c:v>
                </c:pt>
              </c:numCache>
            </c:numRef>
          </c:xVal>
          <c:yVal>
            <c:numRef>
              <c:f>Sheet2!$AD$2:$AD$36</c:f>
              <c:numCache>
                <c:formatCode>General</c:formatCode>
                <c:ptCount val="35"/>
                <c:pt idx="0">
                  <c:v>5.7493929859082504</c:v>
                </c:pt>
                <c:pt idx="1">
                  <c:v>6.47697236288968</c:v>
                </c:pt>
                <c:pt idx="2">
                  <c:v>6.68461172766792</c:v>
                </c:pt>
                <c:pt idx="3">
                  <c:v>7.8434564043761101</c:v>
                </c:pt>
                <c:pt idx="4">
                  <c:v>8.9069353390591601</c:v>
                </c:pt>
                <c:pt idx="5">
                  <c:v>9.4105837034040594</c:v>
                </c:pt>
                <c:pt idx="6">
                  <c:v>9.7439641320181494</c:v>
                </c:pt>
                <c:pt idx="7">
                  <c:v>9.9935567496249895</c:v>
                </c:pt>
                <c:pt idx="8">
                  <c:v>10.334782837345299</c:v>
                </c:pt>
                <c:pt idx="9">
                  <c:v>10.346601626429001</c:v>
                </c:pt>
                <c:pt idx="10">
                  <c:v>10.377109627304501</c:v>
                </c:pt>
                <c:pt idx="11">
                  <c:v>10.6020450707883</c:v>
                </c:pt>
                <c:pt idx="12">
                  <c:v>10.6491323020538</c:v>
                </c:pt>
                <c:pt idx="13">
                  <c:v>10.9402244374861</c:v>
                </c:pt>
                <c:pt idx="14">
                  <c:v>10.803648902480401</c:v>
                </c:pt>
                <c:pt idx="15">
                  <c:v>9.7379051117464499</c:v>
                </c:pt>
                <c:pt idx="16">
                  <c:v>11.034889664027199</c:v>
                </c:pt>
                <c:pt idx="17">
                  <c:v>10.651927518844699</c:v>
                </c:pt>
                <c:pt idx="18">
                  <c:v>11.373663397636699</c:v>
                </c:pt>
                <c:pt idx="19">
                  <c:v>11.4186147854989</c:v>
                </c:pt>
                <c:pt idx="20">
                  <c:v>11.5233707228317</c:v>
                </c:pt>
                <c:pt idx="21">
                  <c:v>11.652861305267701</c:v>
                </c:pt>
                <c:pt idx="22">
                  <c:v>11.8204836914268</c:v>
                </c:pt>
                <c:pt idx="23">
                  <c:v>11.9659736598165</c:v>
                </c:pt>
                <c:pt idx="24">
                  <c:v>12.059890135351999</c:v>
                </c:pt>
                <c:pt idx="25">
                  <c:v>12.085034317153101</c:v>
                </c:pt>
                <c:pt idx="26">
                  <c:v>12.114066999734099</c:v>
                </c:pt>
                <c:pt idx="27">
                  <c:v>12.489746696584399</c:v>
                </c:pt>
                <c:pt idx="28">
                  <c:v>12.508249164132399</c:v>
                </c:pt>
                <c:pt idx="29">
                  <c:v>12.534224650535601</c:v>
                </c:pt>
                <c:pt idx="30">
                  <c:v>12.666657052859399</c:v>
                </c:pt>
                <c:pt idx="31">
                  <c:v>12.454025875752899</c:v>
                </c:pt>
                <c:pt idx="32">
                  <c:v>12.796633237315</c:v>
                </c:pt>
                <c:pt idx="33">
                  <c:v>13.124361380067</c:v>
                </c:pt>
                <c:pt idx="34">
                  <c:v>13.5387816137263</c:v>
                </c:pt>
              </c:numCache>
            </c:numRef>
          </c:yVal>
          <c:smooth val="0"/>
          <c:extLst>
            <c:ext xmlns:c16="http://schemas.microsoft.com/office/drawing/2014/chart" uri="{C3380CC4-5D6E-409C-BE32-E72D297353CC}">
              <c16:uniqueId val="{00000001-0419-4E20-9E58-51C570055982}"/>
            </c:ext>
          </c:extLst>
        </c:ser>
        <c:dLbls>
          <c:showLegendKey val="0"/>
          <c:showVal val="0"/>
          <c:showCatName val="0"/>
          <c:showSerName val="0"/>
          <c:showPercent val="0"/>
          <c:showBubbleSize val="0"/>
        </c:dLbls>
        <c:axId val="375629472"/>
        <c:axId val="533549296"/>
      </c:scatterChart>
      <c:valAx>
        <c:axId val="3756294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Port revenue</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3549296"/>
        <c:crosses val="autoZero"/>
        <c:crossBetween val="midCat"/>
      </c:valAx>
      <c:valAx>
        <c:axId val="53354929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Cargo thruput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562947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Sheet2!$AG$1</c:f>
              <c:strCache>
                <c:ptCount val="1"/>
                <c:pt idx="0">
                  <c:v>lSHPC</c:v>
                </c:pt>
              </c:strCache>
            </c:strRef>
          </c:tx>
          <c:spPr>
            <a:ln w="19050" cap="rnd">
              <a:noFill/>
              <a:round/>
            </a:ln>
            <a:effectLst/>
          </c:spPr>
          <c:marker>
            <c:symbol val="circle"/>
            <c:size val="5"/>
            <c:spPr>
              <a:solidFill>
                <a:schemeClr val="tx1"/>
              </a:solidFill>
              <a:ln w="9525">
                <a:solidFill>
                  <a:schemeClr val="accent1"/>
                </a:solidFill>
              </a:ln>
              <a:effectLst/>
            </c:spPr>
          </c:marker>
          <c:trendline>
            <c:spPr>
              <a:ln w="12700" cap="flat" cmpd="sng" algn="ctr">
                <a:solidFill>
                  <a:schemeClr val="dk1"/>
                </a:solidFill>
                <a:prstDash val="solid"/>
                <a:miter lim="800000"/>
              </a:ln>
              <a:effectLst/>
            </c:spPr>
            <c:trendlineType val="poly"/>
            <c:order val="2"/>
            <c:dispRSqr val="0"/>
            <c:dispEq val="0"/>
          </c:trendline>
          <c:xVal>
            <c:numRef>
              <c:f>Sheet2!$AF$2:$AF$36</c:f>
              <c:numCache>
                <c:formatCode>General</c:formatCode>
                <c:ptCount val="35"/>
                <c:pt idx="0">
                  <c:v>12.433291879952799</c:v>
                </c:pt>
                <c:pt idx="1">
                  <c:v>12.767173045169701</c:v>
                </c:pt>
                <c:pt idx="2">
                  <c:v>12.9025891435597</c:v>
                </c:pt>
                <c:pt idx="3">
                  <c:v>13.0174805254248</c:v>
                </c:pt>
                <c:pt idx="4">
                  <c:v>13.165135469248201</c:v>
                </c:pt>
                <c:pt idx="5">
                  <c:v>13.187218098545401</c:v>
                </c:pt>
                <c:pt idx="6">
                  <c:v>13.1999260893521</c:v>
                </c:pt>
                <c:pt idx="7">
                  <c:v>13.296358700451799</c:v>
                </c:pt>
                <c:pt idx="8">
                  <c:v>13.370035625436399</c:v>
                </c:pt>
                <c:pt idx="9">
                  <c:v>13.394557630373701</c:v>
                </c:pt>
                <c:pt idx="10">
                  <c:v>13.8602927007361</c:v>
                </c:pt>
                <c:pt idx="11">
                  <c:v>13.8786740717123</c:v>
                </c:pt>
                <c:pt idx="12">
                  <c:v>13.897459140611399</c:v>
                </c:pt>
                <c:pt idx="13">
                  <c:v>13.904670042784</c:v>
                </c:pt>
                <c:pt idx="14">
                  <c:v>13.905351261964</c:v>
                </c:pt>
                <c:pt idx="15">
                  <c:v>13.915808279279601</c:v>
                </c:pt>
                <c:pt idx="16">
                  <c:v>13.9320928730441</c:v>
                </c:pt>
                <c:pt idx="17">
                  <c:v>13.934071069086</c:v>
                </c:pt>
                <c:pt idx="18">
                  <c:v>13.943503516739399</c:v>
                </c:pt>
                <c:pt idx="19">
                  <c:v>13.9511335117489</c:v>
                </c:pt>
                <c:pt idx="20">
                  <c:v>13.9656532163939</c:v>
                </c:pt>
                <c:pt idx="21">
                  <c:v>14.191203507738701</c:v>
                </c:pt>
                <c:pt idx="22">
                  <c:v>14.2751228841428</c:v>
                </c:pt>
                <c:pt idx="23">
                  <c:v>14.343783095333899</c:v>
                </c:pt>
                <c:pt idx="24">
                  <c:v>14.440062466555499</c:v>
                </c:pt>
                <c:pt idx="25">
                  <c:v>14.2500055258595</c:v>
                </c:pt>
                <c:pt idx="26">
                  <c:v>14.056101022882199</c:v>
                </c:pt>
                <c:pt idx="27">
                  <c:v>14.1576808157001</c:v>
                </c:pt>
                <c:pt idx="28">
                  <c:v>14.2601963792257</c:v>
                </c:pt>
                <c:pt idx="29">
                  <c:v>14.30233565959</c:v>
                </c:pt>
                <c:pt idx="30">
                  <c:v>14.252876061213801</c:v>
                </c:pt>
                <c:pt idx="31">
                  <c:v>14.2641047571974</c:v>
                </c:pt>
                <c:pt idx="32">
                  <c:v>14.2641047571974</c:v>
                </c:pt>
                <c:pt idx="33">
                  <c:v>14.285329795210799</c:v>
                </c:pt>
                <c:pt idx="34">
                  <c:v>14.2789017481426</c:v>
                </c:pt>
              </c:numCache>
            </c:numRef>
          </c:xVal>
          <c:yVal>
            <c:numRef>
              <c:f>Sheet2!$AG$2:$AG$36</c:f>
              <c:numCache>
                <c:formatCode>General</c:formatCode>
                <c:ptCount val="35"/>
                <c:pt idx="0">
                  <c:v>16.087952181973399</c:v>
                </c:pt>
                <c:pt idx="1">
                  <c:v>16.0391542835618</c:v>
                </c:pt>
                <c:pt idx="2">
                  <c:v>15.9878524407318</c:v>
                </c:pt>
                <c:pt idx="3">
                  <c:v>15.933775721106301</c:v>
                </c:pt>
                <c:pt idx="4">
                  <c:v>15.876606691350901</c:v>
                </c:pt>
                <c:pt idx="5">
                  <c:v>15.8159701264948</c:v>
                </c:pt>
                <c:pt idx="6">
                  <c:v>15.751418069739801</c:v>
                </c:pt>
                <c:pt idx="7">
                  <c:v>15.682409728751599</c:v>
                </c:pt>
                <c:pt idx="8">
                  <c:v>15.608283906875901</c:v>
                </c:pt>
                <c:pt idx="9">
                  <c:v>15.528220374124</c:v>
                </c:pt>
                <c:pt idx="10">
                  <c:v>15.062442778352599</c:v>
                </c:pt>
                <c:pt idx="11">
                  <c:v>15.0644335402836</c:v>
                </c:pt>
                <c:pt idx="12">
                  <c:v>15.0664203469541</c:v>
                </c:pt>
                <c:pt idx="13">
                  <c:v>15.0684032140498</c:v>
                </c:pt>
                <c:pt idx="14">
                  <c:v>15.111535513204799</c:v>
                </c:pt>
                <c:pt idx="15">
                  <c:v>15.138471028088199</c:v>
                </c:pt>
                <c:pt idx="16">
                  <c:v>15.1373070373874</c:v>
                </c:pt>
                <c:pt idx="17">
                  <c:v>15.151571756242699</c:v>
                </c:pt>
                <c:pt idx="18">
                  <c:v>15.165635851380801</c:v>
                </c:pt>
                <c:pt idx="19">
                  <c:v>15.1795048876437</c:v>
                </c:pt>
                <c:pt idx="20">
                  <c:v>15.193184202252301</c:v>
                </c:pt>
                <c:pt idx="21">
                  <c:v>15.206678915592001</c:v>
                </c:pt>
                <c:pt idx="22">
                  <c:v>15.219993943507401</c:v>
                </c:pt>
                <c:pt idx="23">
                  <c:v>15.233134008781599</c:v>
                </c:pt>
                <c:pt idx="24">
                  <c:v>15.246103649707001</c:v>
                </c:pt>
                <c:pt idx="25">
                  <c:v>15.258907230253101</c:v>
                </c:pt>
                <c:pt idx="26">
                  <c:v>15.36039863101</c:v>
                </c:pt>
                <c:pt idx="27">
                  <c:v>15.070547896689099</c:v>
                </c:pt>
                <c:pt idx="28">
                  <c:v>15.4086962272628</c:v>
                </c:pt>
                <c:pt idx="29">
                  <c:v>15.6700638674151</c:v>
                </c:pt>
                <c:pt idx="30">
                  <c:v>15.933195263396801</c:v>
                </c:pt>
                <c:pt idx="31">
                  <c:v>15.8987388174698</c:v>
                </c:pt>
                <c:pt idx="32">
                  <c:v>16.038389917485901</c:v>
                </c:pt>
                <c:pt idx="33">
                  <c:v>16.134479229177501</c:v>
                </c:pt>
                <c:pt idx="34">
                  <c:v>16.282294256310401</c:v>
                </c:pt>
              </c:numCache>
            </c:numRef>
          </c:yVal>
          <c:smooth val="0"/>
          <c:extLst>
            <c:ext xmlns:c16="http://schemas.microsoft.com/office/drawing/2014/chart" uri="{C3380CC4-5D6E-409C-BE32-E72D297353CC}">
              <c16:uniqueId val="{00000001-FA6E-42C4-A3D7-C68C1E9E1ABF}"/>
            </c:ext>
          </c:extLst>
        </c:ser>
        <c:dLbls>
          <c:showLegendKey val="0"/>
          <c:showVal val="0"/>
          <c:showCatName val="0"/>
          <c:showSerName val="0"/>
          <c:showPercent val="0"/>
          <c:showBubbleSize val="0"/>
        </c:dLbls>
        <c:axId val="371932176"/>
        <c:axId val="371932568"/>
      </c:scatterChart>
      <c:valAx>
        <c:axId val="37193217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rPr>
                  <a:t>Cargo thruput </a:t>
                </a:r>
                <a:endParaRPr lang="en-US" b="0"/>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1932568"/>
        <c:crosses val="autoZero"/>
        <c:crossBetween val="midCat"/>
      </c:valAx>
      <c:valAx>
        <c:axId val="37193256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rPr>
                  <a:t>shipping cost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193217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965441819772541E-2"/>
          <c:y val="0.14856481481481484"/>
          <c:w val="0.86403455818022734"/>
          <c:h val="0.7040277777777777"/>
        </c:manualLayout>
      </c:layout>
      <c:scatterChart>
        <c:scatterStyle val="lineMarker"/>
        <c:varyColors val="0"/>
        <c:ser>
          <c:idx val="0"/>
          <c:order val="0"/>
          <c:tx>
            <c:strRef>
              <c:f>Sheet2!$BT$1</c:f>
              <c:strCache>
                <c:ptCount val="1"/>
                <c:pt idx="0">
                  <c:v>lFSH</c:v>
                </c:pt>
              </c:strCache>
            </c:strRef>
          </c:tx>
          <c:spPr>
            <a:ln w="19050" cap="rnd">
              <a:noFill/>
              <a:round/>
            </a:ln>
            <a:effectLst/>
          </c:spPr>
          <c:marker>
            <c:symbol val="circle"/>
            <c:size val="5"/>
            <c:spPr>
              <a:solidFill>
                <a:schemeClr val="tx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2700" cap="flat" cmpd="sng" algn="ctr">
                <a:solidFill>
                  <a:schemeClr val="dk1"/>
                </a:solidFill>
                <a:prstDash val="solid"/>
                <a:miter lim="800000"/>
              </a:ln>
              <a:effectLst/>
            </c:spPr>
            <c:trendlineType val="linear"/>
            <c:dispRSqr val="0"/>
            <c:dispEq val="1"/>
            <c:trendlineLbl>
              <c:layout>
                <c:manualLayout>
                  <c:x val="-2.850262467191601E-2"/>
                  <c:y val="0.3756831437736949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rendlineLbl>
          </c:trendline>
          <c:xVal>
            <c:numRef>
              <c:f>Sheet2!$BS$2:$BS$36</c:f>
              <c:numCache>
                <c:formatCode>General</c:formatCode>
                <c:ptCount val="35"/>
                <c:pt idx="0">
                  <c:v>10.159678957896499</c:v>
                </c:pt>
                <c:pt idx="1">
                  <c:v>8.9020473456202698</c:v>
                </c:pt>
                <c:pt idx="2">
                  <c:v>9.6398474745645792</c:v>
                </c:pt>
                <c:pt idx="3">
                  <c:v>9.7461317417599194</c:v>
                </c:pt>
                <c:pt idx="4">
                  <c:v>9.7462487761096295</c:v>
                </c:pt>
                <c:pt idx="5">
                  <c:v>9.6178034827470196</c:v>
                </c:pt>
                <c:pt idx="6">
                  <c:v>9.7183018981275193</c:v>
                </c:pt>
                <c:pt idx="7">
                  <c:v>9.8777080995486397</c:v>
                </c:pt>
                <c:pt idx="8">
                  <c:v>10.0981081649171</c:v>
                </c:pt>
                <c:pt idx="9">
                  <c:v>9.9261292830169499</c:v>
                </c:pt>
                <c:pt idx="10">
                  <c:v>9.9867711566728605</c:v>
                </c:pt>
                <c:pt idx="11">
                  <c:v>10.154946414830301</c:v>
                </c:pt>
                <c:pt idx="12">
                  <c:v>10.102256440708601</c:v>
                </c:pt>
                <c:pt idx="13">
                  <c:v>10.3308119949971</c:v>
                </c:pt>
                <c:pt idx="14">
                  <c:v>10.3312684671277</c:v>
                </c:pt>
                <c:pt idx="15">
                  <c:v>10.690807903113299</c:v>
                </c:pt>
                <c:pt idx="16">
                  <c:v>10.939426246676099</c:v>
                </c:pt>
                <c:pt idx="17">
                  <c:v>11.345429464494799</c:v>
                </c:pt>
                <c:pt idx="18">
                  <c:v>11.351429541435101</c:v>
                </c:pt>
                <c:pt idx="19">
                  <c:v>11.8720464149955</c:v>
                </c:pt>
                <c:pt idx="20">
                  <c:v>11.9368589773614</c:v>
                </c:pt>
                <c:pt idx="21">
                  <c:v>12.208744074085301</c:v>
                </c:pt>
                <c:pt idx="22">
                  <c:v>12.306496998357</c:v>
                </c:pt>
                <c:pt idx="23">
                  <c:v>12.444687890544699</c:v>
                </c:pt>
                <c:pt idx="24">
                  <c:v>12.5379127417636</c:v>
                </c:pt>
                <c:pt idx="25">
                  <c:v>12.654696216489301</c:v>
                </c:pt>
                <c:pt idx="26">
                  <c:v>12.665795483076501</c:v>
                </c:pt>
                <c:pt idx="27">
                  <c:v>12.633843780760399</c:v>
                </c:pt>
                <c:pt idx="28">
                  <c:v>12.598759795479101</c:v>
                </c:pt>
                <c:pt idx="29">
                  <c:v>12.582187896232901</c:v>
                </c:pt>
                <c:pt idx="30">
                  <c:v>12.576059096917</c:v>
                </c:pt>
                <c:pt idx="31">
                  <c:v>12.4749951270341</c:v>
                </c:pt>
                <c:pt idx="32">
                  <c:v>12.526869084909</c:v>
                </c:pt>
                <c:pt idx="33">
                  <c:v>12.4649925233642</c:v>
                </c:pt>
                <c:pt idx="34">
                  <c:v>12.442661403597</c:v>
                </c:pt>
              </c:numCache>
            </c:numRef>
          </c:xVal>
          <c:yVal>
            <c:numRef>
              <c:f>Sheet2!$BT$2:$BT$36</c:f>
              <c:numCache>
                <c:formatCode>General</c:formatCode>
                <c:ptCount val="35"/>
                <c:pt idx="0">
                  <c:v>12.613033301415699</c:v>
                </c:pt>
                <c:pt idx="1">
                  <c:v>12.664534928929299</c:v>
                </c:pt>
                <c:pt idx="2">
                  <c:v>12.4976409069582</c:v>
                </c:pt>
                <c:pt idx="3">
                  <c:v>12.6711108423954</c:v>
                </c:pt>
                <c:pt idx="4">
                  <c:v>12.4509737747239</c:v>
                </c:pt>
                <c:pt idx="5">
                  <c:v>12.546935230452601</c:v>
                </c:pt>
                <c:pt idx="6">
                  <c:v>12.8106645305987</c:v>
                </c:pt>
                <c:pt idx="7">
                  <c:v>12.7868458848699</c:v>
                </c:pt>
                <c:pt idx="8">
                  <c:v>12.929312466397199</c:v>
                </c:pt>
                <c:pt idx="9">
                  <c:v>13.0887693646406</c:v>
                </c:pt>
                <c:pt idx="10">
                  <c:v>13.0760366764162</c:v>
                </c:pt>
                <c:pt idx="11">
                  <c:v>13.0542879420869</c:v>
                </c:pt>
                <c:pt idx="12">
                  <c:v>13.074315337792299</c:v>
                </c:pt>
                <c:pt idx="13">
                  <c:v>13.145530925235301</c:v>
                </c:pt>
                <c:pt idx="14">
                  <c:v>13.133973715820799</c:v>
                </c:pt>
                <c:pt idx="15">
                  <c:v>13.1405981095283</c:v>
                </c:pt>
                <c:pt idx="16">
                  <c:v>13.2699847878686</c:v>
                </c:pt>
                <c:pt idx="17">
                  <c:v>13.364369506463399</c:v>
                </c:pt>
                <c:pt idx="18">
                  <c:v>13.3302015974095</c:v>
                </c:pt>
                <c:pt idx="19">
                  <c:v>13.520568864783201</c:v>
                </c:pt>
                <c:pt idx="20">
                  <c:v>13.529168920061799</c:v>
                </c:pt>
                <c:pt idx="21">
                  <c:v>13.6140257534274</c:v>
                </c:pt>
                <c:pt idx="22">
                  <c:v>13.6607426877141</c:v>
                </c:pt>
                <c:pt idx="23">
                  <c:v>13.7350074109714</c:v>
                </c:pt>
                <c:pt idx="24">
                  <c:v>13.8155715561038</c:v>
                </c:pt>
                <c:pt idx="25">
                  <c:v>13.8860240061216</c:v>
                </c:pt>
                <c:pt idx="26">
                  <c:v>13.842208962486399</c:v>
                </c:pt>
                <c:pt idx="27">
                  <c:v>13.856170619374</c:v>
                </c:pt>
                <c:pt idx="28">
                  <c:v>14.0081742582817</c:v>
                </c:pt>
                <c:pt idx="29">
                  <c:v>13.972068053371499</c:v>
                </c:pt>
                <c:pt idx="30">
                  <c:v>13.9239669015977</c:v>
                </c:pt>
                <c:pt idx="31">
                  <c:v>13.8593479248762</c:v>
                </c:pt>
                <c:pt idx="32">
                  <c:v>13.893262952564299</c:v>
                </c:pt>
                <c:pt idx="33">
                  <c:v>13.8578322274097</c:v>
                </c:pt>
                <c:pt idx="34">
                  <c:v>13.8516033072121</c:v>
                </c:pt>
              </c:numCache>
            </c:numRef>
          </c:yVal>
          <c:smooth val="0"/>
          <c:extLst>
            <c:ext xmlns:c16="http://schemas.microsoft.com/office/drawing/2014/chart" uri="{C3380CC4-5D6E-409C-BE32-E72D297353CC}">
              <c16:uniqueId val="{00000002-2CAA-4991-AC59-4B7F4A15AEB7}"/>
            </c:ext>
          </c:extLst>
        </c:ser>
        <c:dLbls>
          <c:showLegendKey val="0"/>
          <c:showVal val="0"/>
          <c:showCatName val="0"/>
          <c:showSerName val="0"/>
          <c:showPercent val="0"/>
          <c:showBubbleSize val="0"/>
        </c:dLbls>
        <c:axId val="371933352"/>
        <c:axId val="371933744"/>
      </c:scatterChart>
      <c:valAx>
        <c:axId val="371933352"/>
        <c:scaling>
          <c:orientation val="minMax"/>
          <c:min val="8"/>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Fishery</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mn-lt"/>
                <a:ea typeface="+mn-ea"/>
                <a:cs typeface="+mn-cs"/>
              </a:defRPr>
            </a:pPr>
            <a:endParaRPr lang="en-US"/>
          </a:p>
        </c:txPr>
        <c:crossAx val="371933744"/>
        <c:crosses val="autoZero"/>
        <c:crossBetween val="midCat"/>
      </c:valAx>
      <c:valAx>
        <c:axId val="37193374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Aquaculture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mn-lt"/>
                <a:ea typeface="+mn-ea"/>
                <a:cs typeface="+mn-cs"/>
              </a:defRPr>
            </a:pPr>
            <a:endParaRPr lang="en-US"/>
          </a:p>
        </c:txPr>
        <c:crossAx val="37193335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54198313706363"/>
          <c:y val="0.13467592592592595"/>
          <c:w val="0.79766950038324858"/>
          <c:h val="0.74106481481481468"/>
        </c:manualLayout>
      </c:layout>
      <c:scatterChart>
        <c:scatterStyle val="lineMarker"/>
        <c:varyColors val="0"/>
        <c:ser>
          <c:idx val="0"/>
          <c:order val="0"/>
          <c:tx>
            <c:strRef>
              <c:f>Sheet2!$CD$1</c:f>
              <c:strCache>
                <c:ptCount val="1"/>
                <c:pt idx="0">
                  <c:v>lFSH</c:v>
                </c:pt>
              </c:strCache>
            </c:strRef>
          </c:tx>
          <c:spPr>
            <a:ln w="19050" cap="rnd">
              <a:noFill/>
              <a:round/>
            </a:ln>
            <a:effectLst/>
          </c:spPr>
          <c:marker>
            <c:symbol val="circle"/>
            <c:size val="5"/>
            <c:spPr>
              <a:solidFill>
                <a:schemeClr val="tx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2700" cap="flat" cmpd="sng" algn="ctr">
                <a:solidFill>
                  <a:schemeClr val="dk1"/>
                </a:solidFill>
                <a:prstDash val="solid"/>
                <a:miter lim="800000"/>
              </a:ln>
              <a:effectLst/>
            </c:spPr>
            <c:trendlineType val="linear"/>
            <c:dispRSqr val="0"/>
            <c:dispEq val="1"/>
            <c:trendlineLbl>
              <c:layout>
                <c:manualLayout>
                  <c:x val="6.6924759405074365E-3"/>
                  <c:y val="0.3745833333333333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rendlineLbl>
          </c:trendline>
          <c:xVal>
            <c:numRef>
              <c:f>Sheet2!$CC$2:$CC$36</c:f>
              <c:numCache>
                <c:formatCode>General</c:formatCode>
                <c:ptCount val="35"/>
                <c:pt idx="0">
                  <c:v>12.5231035467243</c:v>
                </c:pt>
                <c:pt idx="1">
                  <c:v>12.641035065316199</c:v>
                </c:pt>
                <c:pt idx="2">
                  <c:v>12.4385326634817</c:v>
                </c:pt>
                <c:pt idx="3">
                  <c:v>12.615951332786199</c:v>
                </c:pt>
                <c:pt idx="4">
                  <c:v>12.381742965138599</c:v>
                </c:pt>
                <c:pt idx="5">
                  <c:v>12.4920106980629</c:v>
                </c:pt>
                <c:pt idx="6">
                  <c:v>12.7642073371838</c:v>
                </c:pt>
                <c:pt idx="7">
                  <c:v>12.730780464191501</c:v>
                </c:pt>
                <c:pt idx="8">
                  <c:v>12.868562145302599</c:v>
                </c:pt>
                <c:pt idx="9">
                  <c:v>13.045534167577999</c:v>
                </c:pt>
                <c:pt idx="10">
                  <c:v>13.0294319660855</c:v>
                </c:pt>
                <c:pt idx="11">
                  <c:v>12.9976546645146</c:v>
                </c:pt>
                <c:pt idx="12">
                  <c:v>13.021760415507799</c:v>
                </c:pt>
                <c:pt idx="13">
                  <c:v>13.0837389664275</c:v>
                </c:pt>
                <c:pt idx="14">
                  <c:v>13.0714110775031</c:v>
                </c:pt>
                <c:pt idx="15">
                  <c:v>13.0503323238842</c:v>
                </c:pt>
                <c:pt idx="16">
                  <c:v>13.1676846748635</c:v>
                </c:pt>
                <c:pt idx="17">
                  <c:v>13.2218882990562</c:v>
                </c:pt>
                <c:pt idx="18">
                  <c:v>13.1814244245335</c:v>
                </c:pt>
                <c:pt idx="19">
                  <c:v>13.3069623389423</c:v>
                </c:pt>
                <c:pt idx="20">
                  <c:v>13.3016971418553</c:v>
                </c:pt>
                <c:pt idx="21">
                  <c:v>13.332593508247999</c:v>
                </c:pt>
                <c:pt idx="22">
                  <c:v>13.3621453394712</c:v>
                </c:pt>
                <c:pt idx="23">
                  <c:v>13.4131715584828</c:v>
                </c:pt>
                <c:pt idx="24">
                  <c:v>13.4888866667978</c:v>
                </c:pt>
                <c:pt idx="25">
                  <c:v>13.5408473708597</c:v>
                </c:pt>
                <c:pt idx="26">
                  <c:v>13.473486337564401</c:v>
                </c:pt>
                <c:pt idx="27">
                  <c:v>13.507259724811</c:v>
                </c:pt>
                <c:pt idx="28">
                  <c:v>13.7280816065298</c:v>
                </c:pt>
                <c:pt idx="29">
                  <c:v>13.6855783946217</c:v>
                </c:pt>
                <c:pt idx="30">
                  <c:v>13.623154725793899</c:v>
                </c:pt>
                <c:pt idx="31">
                  <c:v>13.5710178260566</c:v>
                </c:pt>
                <c:pt idx="32">
                  <c:v>13.598858391945299</c:v>
                </c:pt>
                <c:pt idx="33">
                  <c:v>13.572322450091299</c:v>
                </c:pt>
                <c:pt idx="34">
                  <c:v>13.5234629705028</c:v>
                </c:pt>
              </c:numCache>
            </c:numRef>
          </c:xVal>
          <c:yVal>
            <c:numRef>
              <c:f>Sheet2!$CD$2:$CD$36</c:f>
              <c:numCache>
                <c:formatCode>General</c:formatCode>
                <c:ptCount val="35"/>
                <c:pt idx="0">
                  <c:v>12.613033301415699</c:v>
                </c:pt>
                <c:pt idx="1">
                  <c:v>12.664534928929299</c:v>
                </c:pt>
                <c:pt idx="2">
                  <c:v>12.4976409069582</c:v>
                </c:pt>
                <c:pt idx="3">
                  <c:v>12.6711108423954</c:v>
                </c:pt>
                <c:pt idx="4">
                  <c:v>12.4509737747239</c:v>
                </c:pt>
                <c:pt idx="5">
                  <c:v>12.546935230452601</c:v>
                </c:pt>
                <c:pt idx="6">
                  <c:v>12.8106645305987</c:v>
                </c:pt>
                <c:pt idx="7">
                  <c:v>12.7868458848699</c:v>
                </c:pt>
                <c:pt idx="8">
                  <c:v>12.929312466397199</c:v>
                </c:pt>
                <c:pt idx="9">
                  <c:v>13.0887693646406</c:v>
                </c:pt>
                <c:pt idx="10">
                  <c:v>13.0760366764162</c:v>
                </c:pt>
                <c:pt idx="11">
                  <c:v>13.0542879420869</c:v>
                </c:pt>
                <c:pt idx="12">
                  <c:v>13.074315337792299</c:v>
                </c:pt>
                <c:pt idx="13">
                  <c:v>13.145530925235301</c:v>
                </c:pt>
                <c:pt idx="14">
                  <c:v>13.133973715820799</c:v>
                </c:pt>
                <c:pt idx="15">
                  <c:v>13.1405981095283</c:v>
                </c:pt>
                <c:pt idx="16">
                  <c:v>13.2699847878686</c:v>
                </c:pt>
                <c:pt idx="17">
                  <c:v>13.364369506463399</c:v>
                </c:pt>
                <c:pt idx="18">
                  <c:v>13.3302015974095</c:v>
                </c:pt>
                <c:pt idx="19">
                  <c:v>13.520568864783201</c:v>
                </c:pt>
                <c:pt idx="20">
                  <c:v>13.529168920061799</c:v>
                </c:pt>
                <c:pt idx="21">
                  <c:v>13.6140257534274</c:v>
                </c:pt>
                <c:pt idx="22">
                  <c:v>13.6607426877141</c:v>
                </c:pt>
                <c:pt idx="23">
                  <c:v>13.7350074109714</c:v>
                </c:pt>
                <c:pt idx="24">
                  <c:v>13.8155715561038</c:v>
                </c:pt>
                <c:pt idx="25">
                  <c:v>13.8860240061216</c:v>
                </c:pt>
                <c:pt idx="26">
                  <c:v>13.842208962486399</c:v>
                </c:pt>
                <c:pt idx="27">
                  <c:v>13.856170619374</c:v>
                </c:pt>
                <c:pt idx="28">
                  <c:v>14.0081742582817</c:v>
                </c:pt>
                <c:pt idx="29">
                  <c:v>13.972068053371499</c:v>
                </c:pt>
                <c:pt idx="30">
                  <c:v>13.9239669015977</c:v>
                </c:pt>
                <c:pt idx="31">
                  <c:v>13.8593479248762</c:v>
                </c:pt>
                <c:pt idx="32">
                  <c:v>13.893262952564299</c:v>
                </c:pt>
                <c:pt idx="33">
                  <c:v>13.8578322274097</c:v>
                </c:pt>
                <c:pt idx="34">
                  <c:v>13.8516033072121</c:v>
                </c:pt>
              </c:numCache>
            </c:numRef>
          </c:yVal>
          <c:smooth val="0"/>
          <c:extLst>
            <c:ext xmlns:c16="http://schemas.microsoft.com/office/drawing/2014/chart" uri="{C3380CC4-5D6E-409C-BE32-E72D297353CC}">
              <c16:uniqueId val="{00000002-513A-4B32-AC65-5375EA5F40BE}"/>
            </c:ext>
          </c:extLst>
        </c:ser>
        <c:dLbls>
          <c:showLegendKey val="0"/>
          <c:showVal val="0"/>
          <c:showCatName val="0"/>
          <c:showSerName val="0"/>
          <c:showPercent val="0"/>
          <c:showBubbleSize val="0"/>
        </c:dLbls>
        <c:axId val="168502568"/>
        <c:axId val="168502960"/>
      </c:scatterChart>
      <c:valAx>
        <c:axId val="1685025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Fishery</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mn-lt"/>
                <a:ea typeface="+mn-ea"/>
                <a:cs typeface="+mn-cs"/>
              </a:defRPr>
            </a:pPr>
            <a:endParaRPr lang="en-US"/>
          </a:p>
        </c:txPr>
        <c:crossAx val="168502960"/>
        <c:crosses val="autoZero"/>
        <c:crossBetween val="midCat"/>
      </c:valAx>
      <c:valAx>
        <c:axId val="16850296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Desalinisation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16850256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423665791776024E-2"/>
          <c:y val="0.12236111111111111"/>
          <c:w val="0.85677777777777775"/>
          <c:h val="0.74016951006124221"/>
        </c:manualLayout>
      </c:layout>
      <c:scatterChart>
        <c:scatterStyle val="lineMarker"/>
        <c:varyColors val="0"/>
        <c:ser>
          <c:idx val="0"/>
          <c:order val="0"/>
          <c:tx>
            <c:strRef>
              <c:f>Sheet2!$BZ$1</c:f>
              <c:strCache>
                <c:ptCount val="1"/>
                <c:pt idx="0">
                  <c:v>lAQT</c:v>
                </c:pt>
              </c:strCache>
            </c:strRef>
          </c:tx>
          <c:spPr>
            <a:ln w="19050" cap="rnd">
              <a:noFill/>
              <a:round/>
            </a:ln>
            <a:effectLst/>
          </c:spPr>
          <c:marker>
            <c:symbol val="circle"/>
            <c:size val="5"/>
            <c:spPr>
              <a:solidFill>
                <a:schemeClr val="tx1"/>
              </a:solidFill>
              <a:ln w="9525">
                <a:solidFill>
                  <a:schemeClr val="accent1"/>
                </a:solidFill>
              </a:ln>
              <a:effectLst/>
            </c:spPr>
          </c:marker>
          <c:trendline>
            <c:spPr>
              <a:ln w="12700" cap="flat" cmpd="sng" algn="ctr">
                <a:solidFill>
                  <a:schemeClr val="dk1"/>
                </a:solidFill>
                <a:prstDash val="solid"/>
                <a:miter lim="800000"/>
              </a:ln>
              <a:effectLst/>
            </c:spPr>
            <c:trendlineType val="linear"/>
            <c:dispRSqr val="0"/>
            <c:dispEq val="1"/>
            <c:trendlineLbl>
              <c:layout>
                <c:manualLayout>
                  <c:x val="-5.7899168853893263E-2"/>
                  <c:y val="0.4169637649460484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rendlineLbl>
          </c:trendline>
          <c:xVal>
            <c:numRef>
              <c:f>Sheet2!$BY$2:$BY$36</c:f>
              <c:numCache>
                <c:formatCode>General</c:formatCode>
                <c:ptCount val="35"/>
                <c:pt idx="0">
                  <c:v>12.5231035467243</c:v>
                </c:pt>
                <c:pt idx="1">
                  <c:v>12.641035065316199</c:v>
                </c:pt>
                <c:pt idx="2">
                  <c:v>12.4385326634817</c:v>
                </c:pt>
                <c:pt idx="3">
                  <c:v>12.615951332786199</c:v>
                </c:pt>
                <c:pt idx="4">
                  <c:v>12.381742965138599</c:v>
                </c:pt>
                <c:pt idx="5">
                  <c:v>12.4920106980629</c:v>
                </c:pt>
                <c:pt idx="6">
                  <c:v>12.7642073371838</c:v>
                </c:pt>
                <c:pt idx="7">
                  <c:v>12.730780464191501</c:v>
                </c:pt>
                <c:pt idx="8">
                  <c:v>12.868562145302599</c:v>
                </c:pt>
                <c:pt idx="9">
                  <c:v>13.045534167577999</c:v>
                </c:pt>
                <c:pt idx="10">
                  <c:v>13.0294319660855</c:v>
                </c:pt>
                <c:pt idx="11">
                  <c:v>12.9976546645146</c:v>
                </c:pt>
                <c:pt idx="12">
                  <c:v>13.021760415507799</c:v>
                </c:pt>
                <c:pt idx="13">
                  <c:v>13.0837389664275</c:v>
                </c:pt>
                <c:pt idx="14">
                  <c:v>13.0714110775031</c:v>
                </c:pt>
                <c:pt idx="15">
                  <c:v>13.0503323238842</c:v>
                </c:pt>
                <c:pt idx="16">
                  <c:v>13.1676846748635</c:v>
                </c:pt>
                <c:pt idx="17">
                  <c:v>13.2218882990562</c:v>
                </c:pt>
                <c:pt idx="18">
                  <c:v>13.1814244245335</c:v>
                </c:pt>
                <c:pt idx="19">
                  <c:v>13.3069623389423</c:v>
                </c:pt>
                <c:pt idx="20">
                  <c:v>13.3016971418553</c:v>
                </c:pt>
                <c:pt idx="21">
                  <c:v>13.332593508247999</c:v>
                </c:pt>
                <c:pt idx="22">
                  <c:v>13.3621453394712</c:v>
                </c:pt>
                <c:pt idx="23">
                  <c:v>13.4131715584828</c:v>
                </c:pt>
                <c:pt idx="24">
                  <c:v>13.4888866667978</c:v>
                </c:pt>
                <c:pt idx="25">
                  <c:v>13.5408473708597</c:v>
                </c:pt>
                <c:pt idx="26">
                  <c:v>13.473486337564401</c:v>
                </c:pt>
                <c:pt idx="27">
                  <c:v>13.507259724811</c:v>
                </c:pt>
                <c:pt idx="28">
                  <c:v>13.7280816065298</c:v>
                </c:pt>
                <c:pt idx="29">
                  <c:v>13.6855783946217</c:v>
                </c:pt>
                <c:pt idx="30">
                  <c:v>13.623154725793899</c:v>
                </c:pt>
                <c:pt idx="31">
                  <c:v>13.5710178260566</c:v>
                </c:pt>
                <c:pt idx="32">
                  <c:v>13.598858391945299</c:v>
                </c:pt>
                <c:pt idx="33">
                  <c:v>13.572322450091299</c:v>
                </c:pt>
                <c:pt idx="34">
                  <c:v>13.5234629705028</c:v>
                </c:pt>
              </c:numCache>
            </c:numRef>
          </c:xVal>
          <c:yVal>
            <c:numRef>
              <c:f>Sheet2!$BZ$2:$BZ$36</c:f>
              <c:numCache>
                <c:formatCode>General</c:formatCode>
                <c:ptCount val="35"/>
                <c:pt idx="0">
                  <c:v>10.159678957896499</c:v>
                </c:pt>
                <c:pt idx="1">
                  <c:v>8.9020473456202698</c:v>
                </c:pt>
                <c:pt idx="2">
                  <c:v>9.6398474745645792</c:v>
                </c:pt>
                <c:pt idx="3">
                  <c:v>9.7461317417599194</c:v>
                </c:pt>
                <c:pt idx="4">
                  <c:v>9.7462487761096295</c:v>
                </c:pt>
                <c:pt idx="5">
                  <c:v>9.6178034827470196</c:v>
                </c:pt>
                <c:pt idx="6">
                  <c:v>9.7183018981275193</c:v>
                </c:pt>
                <c:pt idx="7">
                  <c:v>9.8777080995486397</c:v>
                </c:pt>
                <c:pt idx="8">
                  <c:v>10.0981081649171</c:v>
                </c:pt>
                <c:pt idx="9">
                  <c:v>9.9261292830169499</c:v>
                </c:pt>
                <c:pt idx="10">
                  <c:v>9.9867711566728605</c:v>
                </c:pt>
                <c:pt idx="11">
                  <c:v>10.154946414830301</c:v>
                </c:pt>
                <c:pt idx="12">
                  <c:v>10.102256440708601</c:v>
                </c:pt>
                <c:pt idx="13">
                  <c:v>10.3308119949971</c:v>
                </c:pt>
                <c:pt idx="14">
                  <c:v>10.3312684671277</c:v>
                </c:pt>
                <c:pt idx="15">
                  <c:v>10.690807903113299</c:v>
                </c:pt>
                <c:pt idx="16">
                  <c:v>10.939426246676099</c:v>
                </c:pt>
                <c:pt idx="17">
                  <c:v>11.345429464494799</c:v>
                </c:pt>
                <c:pt idx="18">
                  <c:v>11.351429541435101</c:v>
                </c:pt>
                <c:pt idx="19">
                  <c:v>11.8720464149955</c:v>
                </c:pt>
                <c:pt idx="20">
                  <c:v>11.9368589773614</c:v>
                </c:pt>
                <c:pt idx="21">
                  <c:v>12.208744074085301</c:v>
                </c:pt>
                <c:pt idx="22">
                  <c:v>12.306496998357</c:v>
                </c:pt>
                <c:pt idx="23">
                  <c:v>12.444687890544699</c:v>
                </c:pt>
                <c:pt idx="24">
                  <c:v>12.5379127417636</c:v>
                </c:pt>
                <c:pt idx="25">
                  <c:v>12.654696216489301</c:v>
                </c:pt>
                <c:pt idx="26">
                  <c:v>12.665795483076501</c:v>
                </c:pt>
                <c:pt idx="27">
                  <c:v>12.633843780760399</c:v>
                </c:pt>
                <c:pt idx="28">
                  <c:v>12.598759795479101</c:v>
                </c:pt>
                <c:pt idx="29">
                  <c:v>12.582187896232901</c:v>
                </c:pt>
                <c:pt idx="30">
                  <c:v>12.576059096917</c:v>
                </c:pt>
                <c:pt idx="31">
                  <c:v>12.4749951270341</c:v>
                </c:pt>
                <c:pt idx="32">
                  <c:v>12.526869084909</c:v>
                </c:pt>
                <c:pt idx="33">
                  <c:v>12.4649925233642</c:v>
                </c:pt>
                <c:pt idx="34">
                  <c:v>12.442661403597</c:v>
                </c:pt>
              </c:numCache>
            </c:numRef>
          </c:yVal>
          <c:smooth val="0"/>
          <c:extLst>
            <c:ext xmlns:c16="http://schemas.microsoft.com/office/drawing/2014/chart" uri="{C3380CC4-5D6E-409C-BE32-E72D297353CC}">
              <c16:uniqueId val="{00000001-BC71-4423-9475-81047BFF54D8}"/>
            </c:ext>
          </c:extLst>
        </c:ser>
        <c:dLbls>
          <c:showLegendKey val="0"/>
          <c:showVal val="0"/>
          <c:showCatName val="0"/>
          <c:showSerName val="0"/>
          <c:showPercent val="0"/>
          <c:showBubbleSize val="0"/>
        </c:dLbls>
        <c:axId val="168503744"/>
        <c:axId val="525109672"/>
      </c:scatterChart>
      <c:valAx>
        <c:axId val="1685037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Aquaculture</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525109672"/>
        <c:crosses val="autoZero"/>
        <c:crossBetween val="midCat"/>
      </c:valAx>
      <c:valAx>
        <c:axId val="525109672"/>
        <c:scaling>
          <c:orientation val="minMax"/>
          <c:min val="8"/>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Desalinisation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mn-lt"/>
                <a:ea typeface="+mn-ea"/>
                <a:cs typeface="+mn-cs"/>
              </a:defRPr>
            </a:pPr>
            <a:endParaRPr lang="en-US"/>
          </a:p>
        </c:txPr>
        <c:crossAx val="16850374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6201</TotalTime>
  <Pages>260</Pages>
  <Words>66140</Words>
  <Characters>376998</Characters>
  <Application>Microsoft Office Word</Application>
  <DocSecurity>0</DocSecurity>
  <Lines>3141</Lines>
  <Paragraphs>884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Mina</cp:lastModifiedBy>
  <cp:revision>149</cp:revision>
  <cp:lastPrinted>2025-10-06T06:14:00Z</cp:lastPrinted>
  <dcterms:created xsi:type="dcterms:W3CDTF">2025-10-01T18:35:00Z</dcterms:created>
  <dcterms:modified xsi:type="dcterms:W3CDTF">2026-02-09T06:24:00Z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4fd8ca999dd17cd99adc0a5e0b21d6bc4c4a76e4d798898666269fd08eea8f77</vt:lpwstr>
  </property>
</Properties>
</file>